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7233.xml.htm"/>
      <w:bookmarkStart w:id="1" w:name="kswkform4_17764572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Upadhyay Suketu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PHARMACEUTICALS INC / MA</w:t>
              </w:r>
            </w:hyperlink>
            <w:r>
              <w:rPr/>
              <w:t xml:space="preserve"> [ </w:t>
            </w:r>
            <w:r>
              <w:rPr>
                <w:rFonts w:ascii="Times;serif" w:hAnsi="Times;serif"/>
                <w:color w:val="0000FF"/>
                <w:sz w:val="24"/>
                <w:shd w:fill="FFFFFF" w:val="clear"/>
              </w:rPr>
              <w:t>VRTX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80.508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442.5</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2,799.156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represents one share of common stock and is paid out in common stock upon the earliest to occur of (i) termination of Mr. Upadhyay's service on our board of directors, (ii) a change of control of our company and (iii) Mr. Upadhyay's disability or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3149" TargetMode="External"/><Relationship Id="rId5" Type="http://schemas.openxmlformats.org/officeDocument/2006/relationships/hyperlink" Target="http://www.sec.gov/cgi-bin/browse-edgar?action=getcompany&amp;CIK=000087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3353</Characters>
  <CharactersWithSpaces>3908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