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10-K</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ectPr>
          <w:pgSz w:w="11900" w:h="16838" w:orient="portrait"/>
          <w:cols w:equalWidth="0" w:num="1">
            <w:col w:w="10227"/>
          </w:cols>
          <w:pgMar w:left="232" w:top="927" w:right="1440" w:bottom="1440" w:gutter="0" w:footer="0" w:header="0"/>
        </w:sectPr>
      </w:pPr>
    </w:p>
    <w:p>
      <w:pPr>
        <w:spacing w:after="0" w:line="17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200" w:lineRule="exact"/>
        <w:rPr>
          <w:sz w:val="24"/>
          <w:szCs w:val="24"/>
          <w:color w:val="auto"/>
        </w:rPr>
      </w:pPr>
    </w:p>
    <w:p>
      <w:pPr>
        <w:sectPr>
          <w:pgSz w:w="11900" w:h="16838" w:orient="portrait"/>
          <w:cols w:equalWidth="0" w:num="2">
            <w:col w:w="268" w:space="280"/>
            <w:col w:w="9679"/>
          </w:cols>
          <w:pgMar w:left="232" w:top="927" w:right="1440" w:bottom="1440" w:gutter="0" w:footer="0" w:header="0"/>
          <w:type w:val="continuous"/>
        </w:sectPr>
      </w:pPr>
    </w:p>
    <w:p>
      <w:pPr>
        <w:spacing w:after="0" w:line="149"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For the fiscal year ended December 31, 1997</w:t>
      </w:r>
    </w:p>
    <w:p>
      <w:pPr>
        <w:spacing w:after="0" w:line="177"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27"/>
          </w:cols>
          <w:pgMar w:left="232" w:top="927" w:right="1440" w:bottom="1440" w:gutter="0" w:footer="0" w:header="0"/>
          <w:type w:val="continuous"/>
        </w:sectPr>
      </w:pPr>
    </w:p>
    <w:p>
      <w:pPr>
        <w:spacing w:after="0" w:line="178" w:lineRule="exact"/>
        <w:rPr>
          <w:sz w:val="24"/>
          <w:szCs w:val="24"/>
          <w:color w:val="auto"/>
        </w:rPr>
      </w:pPr>
    </w:p>
    <w:p>
      <w:pPr>
        <w:ind w:left="548" w:right="3639" w:hanging="548"/>
        <w:spacing w:after="0" w:line="243" w:lineRule="auto"/>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5"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For the transition period from _________ to ________</w:t>
      </w:r>
    </w:p>
    <w:p>
      <w:pPr>
        <w:spacing w:after="0" w:line="177"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Commission file number 0-19319</w:t>
      </w:r>
    </w:p>
    <w:p>
      <w:pPr>
        <w:spacing w:after="0" w:line="177" w:lineRule="exact"/>
        <w:rPr>
          <w:sz w:val="24"/>
          <w:szCs w:val="24"/>
          <w:color w:val="auto"/>
        </w:rPr>
      </w:pPr>
    </w:p>
    <w:p>
      <w:pPr>
        <w:jc w:val="center"/>
        <w:ind w:right="2912"/>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927" w:right="1440" w:bottom="1440" w:gutter="0" w:footer="0" w:header="0"/>
          <w:type w:val="continuous"/>
        </w:sectPr>
      </w:pPr>
    </w:p>
    <w:p>
      <w:pPr>
        <w:spacing w:after="0" w:line="177"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MASSACHUSETTS</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04-3039129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87" w:lineRule="exact"/>
        <w:rPr>
          <w:sz w:val="24"/>
          <w:szCs w:val="24"/>
          <w:color w:val="auto"/>
        </w:rPr>
      </w:pPr>
    </w:p>
    <w:p>
      <w:pPr>
        <w:sectPr>
          <w:pgSz w:w="11900" w:h="16838" w:orient="portrait"/>
          <w:cols w:equalWidth="0" w:num="2">
            <w:col w:w="3248" w:space="720"/>
            <w:col w:w="6259"/>
          </w:cols>
          <w:pgMar w:left="232" w:top="927" w:right="1440" w:bottom="1440" w:gutter="0" w:footer="0" w:header="0"/>
          <w:type w:val="continuous"/>
        </w:sectPr>
      </w:pPr>
    </w:p>
    <w:p>
      <w:pPr>
        <w:ind w:left="728"/>
        <w:spacing w:after="0"/>
        <w:rPr>
          <w:sz w:val="20"/>
          <w:szCs w:val="20"/>
          <w:color w:val="auto"/>
        </w:rPr>
      </w:pPr>
      <w:r>
        <w:rPr>
          <w:rFonts w:ascii="Courier New" w:cs="Courier New" w:eastAsia="Courier New" w:hAnsi="Courier New"/>
          <w:sz w:val="15"/>
          <w:szCs w:val="15"/>
          <w:color w:val="auto"/>
        </w:rPr>
        <w:t>130 WAVERLY STREET</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CAMBRIDGE, MASSACHUSETTS</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02139-4242</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7" w:lineRule="exact"/>
        <w:rPr>
          <w:sz w:val="24"/>
          <w:szCs w:val="24"/>
          <w:color w:val="auto"/>
        </w:rPr>
      </w:pPr>
    </w:p>
    <w:p>
      <w:pPr>
        <w:sectPr>
          <w:pgSz w:w="11900" w:h="16838" w:orient="portrait"/>
          <w:cols w:equalWidth="0" w:num="2">
            <w:col w:w="4608" w:space="720"/>
            <w:col w:w="4899"/>
          </w:cols>
          <w:pgMar w:left="232" w:top="927" w:right="1440" w:bottom="1440" w:gutter="0" w:footer="0" w:header="0"/>
          <w:type w:val="continuous"/>
        </w:sectPr>
      </w:pPr>
    </w:p>
    <w:p>
      <w:pPr>
        <w:jc w:val="center"/>
        <w:ind w:right="3012"/>
        <w:spacing w:after="0"/>
        <w:rPr>
          <w:sz w:val="20"/>
          <w:szCs w:val="20"/>
          <w:color w:val="auto"/>
        </w:rPr>
      </w:pPr>
      <w:r>
        <w:rPr>
          <w:rFonts w:ascii="Courier New" w:cs="Courier New" w:eastAsia="Courier New" w:hAnsi="Courier New"/>
          <w:sz w:val="15"/>
          <w:szCs w:val="15"/>
          <w:color w:val="auto"/>
        </w:rPr>
        <w:t>(617) 577-6000</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7" w:lineRule="exact"/>
        <w:rPr>
          <w:sz w:val="24"/>
          <w:szCs w:val="24"/>
          <w:color w:val="auto"/>
        </w:rPr>
      </w:pPr>
    </w:p>
    <w:p>
      <w:pPr>
        <w:jc w:val="center"/>
        <w:ind w:right="2912"/>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7" w:lineRule="exact"/>
        <w:rPr>
          <w:sz w:val="24"/>
          <w:szCs w:val="24"/>
          <w:color w:val="auto"/>
        </w:rPr>
      </w:pPr>
    </w:p>
    <w:p>
      <w:pPr>
        <w:ind w:left="2348"/>
        <w:spacing w:after="0"/>
        <w:rPr>
          <w:sz w:val="20"/>
          <w:szCs w:val="20"/>
          <w:color w:val="auto"/>
        </w:rPr>
      </w:pPr>
      <w:r>
        <w:rPr>
          <w:rFonts w:ascii="Courier New" w:cs="Courier New" w:eastAsia="Courier New" w:hAnsi="Courier New"/>
          <w:sz w:val="15"/>
          <w:szCs w:val="15"/>
          <w:color w:val="auto"/>
        </w:rPr>
        <w:t>Common Stock, $0.01 par value</w:t>
      </w:r>
    </w:p>
    <w:p>
      <w:pPr>
        <w:spacing w:after="0" w:line="3" w:lineRule="exact"/>
        <w:rPr>
          <w:sz w:val="24"/>
          <w:szCs w:val="24"/>
          <w:color w:val="auto"/>
        </w:rPr>
      </w:pPr>
    </w:p>
    <w:p>
      <w:pPr>
        <w:ind w:left="2888"/>
        <w:spacing w:after="0"/>
        <w:rPr>
          <w:sz w:val="20"/>
          <w:szCs w:val="20"/>
          <w:color w:val="auto"/>
        </w:rPr>
      </w:pPr>
      <w:r>
        <w:rPr>
          <w:rFonts w:ascii="Courier New" w:cs="Courier New" w:eastAsia="Courier New" w:hAnsi="Courier New"/>
          <w:sz w:val="15"/>
          <w:szCs w:val="15"/>
          <w:color w:val="auto"/>
        </w:rPr>
        <w:t>(Title of class)</w:t>
      </w:r>
    </w:p>
    <w:p>
      <w:pPr>
        <w:spacing w:after="0" w:line="178" w:lineRule="exact"/>
        <w:rPr>
          <w:sz w:val="24"/>
          <w:szCs w:val="24"/>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of 15(d) of the Securities Exchange Act of 1934 during the preceding 12 months (or for such shorter period that the registrant was required to file such reports), and (2) has been subject to such filing requirements for the past 90 days. Yes /X/ No / /</w:t>
      </w:r>
    </w:p>
    <w:p>
      <w:pPr>
        <w:spacing w:after="0" w:line="177" w:lineRule="exact"/>
        <w:rPr>
          <w:sz w:val="24"/>
          <w:szCs w:val="24"/>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77" w:lineRule="exact"/>
        <w:rPr>
          <w:sz w:val="24"/>
          <w:szCs w:val="24"/>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As of March 16, 1998 there were outstanding 25,267,905 shares of Common Stock, $.01 par value per share. The aggregate market value of shares of Common Stock held by non-affiliates of the registrant, based upon the last sales price for such stock on that date as reported by The Nasdaq Stock Market, was approximately $868,075,000.</w:t>
      </w:r>
    </w:p>
    <w:p>
      <w:pPr>
        <w:spacing w:after="0" w:line="176"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8" w:lineRule="exact"/>
        <w:rPr>
          <w:sz w:val="24"/>
          <w:szCs w:val="24"/>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Portions of the definitive Proxy Statement for the 1998 Annual Meeting of Stockholders to be held on May 27, 1998 are incorporated by reference into Part III.</w:t>
      </w:r>
    </w:p>
    <w:p>
      <w:pPr>
        <w:spacing w:after="0" w:line="175" w:lineRule="exact"/>
        <w:rPr>
          <w:sz w:val="24"/>
          <w:szCs w:val="24"/>
          <w:color w:val="auto"/>
        </w:rPr>
      </w:pPr>
    </w:p>
    <w:p>
      <w:pPr>
        <w:ind w:left="3328"/>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27"/>
          </w:cols>
          <w:pgMar w:left="232" w:top="927" w:right="1440" w:bottom="1440" w:gutter="0" w:footer="0" w:header="0"/>
          <w:type w:val="continuous"/>
        </w:sectPr>
      </w:pPr>
    </w:p>
    <w:bookmarkStart w:id="1" w:name="page2"/>
    <w:bookmarkEnd w:id="1"/>
    <w:p>
      <w:pPr>
        <w:ind w:right="3019" w:firstLine="811"/>
        <w:spacing w:after="0" w:line="243" w:lineRule="auto"/>
        <w:rPr>
          <w:sz w:val="20"/>
          <w:szCs w:val="20"/>
          <w:color w:val="auto"/>
        </w:rPr>
      </w:pPr>
      <w:r>
        <w:rPr>
          <w:rFonts w:ascii="Courier New" w:cs="Courier New" w:eastAsia="Courier New" w:hAnsi="Courier New"/>
          <w:sz w:val="15"/>
          <w:szCs w:val="15"/>
          <w:color w:val="auto"/>
        </w:rPr>
        <w:t>The "Company" and "Vertex," as used in this Annual Report on Form 10-K, refer to Vertex Pharmaceuticals Incorporated.</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Annual Report on Form 10-K contains forward-looking statements based on current management expectations. When used in this Report, the words "expects" "anticipates," "estimates," "plans," "believes," and similar expressions are intended to identify forward-looking statements. Such statements are subject to risks and uncertainties. Factors that could cause actual results to differ from these expectations include, but are not limited to, those discussed in the section of Item 1 entitled "Risk Factors." These forward-looking statements speak only as of the date of this Report. The Company expressly disclaims any obligation or undertaking to release publicly any updates or revisions to any forward-looking statements contained herein to reflect any change in the Company's expectations with regard thereto or any change in the events, conditions or circumstances on which any such statement is based.</w:t>
      </w:r>
    </w:p>
    <w:p>
      <w:pPr>
        <w:spacing w:after="0" w:line="182" w:lineRule="exact"/>
        <w:rPr>
          <w:sz w:val="20"/>
          <w:szCs w:val="20"/>
          <w:color w:val="auto"/>
        </w:rPr>
      </w:pPr>
    </w:p>
    <w:p>
      <w:pPr>
        <w:ind w:right="3019" w:firstLine="811"/>
        <w:spacing w:after="0" w:line="270" w:lineRule="auto"/>
        <w:rPr>
          <w:sz w:val="20"/>
          <w:szCs w:val="20"/>
          <w:color w:val="auto"/>
        </w:rPr>
      </w:pPr>
      <w:r>
        <w:rPr>
          <w:rFonts w:ascii="Courier New" w:cs="Courier New" w:eastAsia="Courier New" w:hAnsi="Courier New"/>
          <w:sz w:val="14"/>
          <w:szCs w:val="14"/>
          <w:color w:val="auto"/>
        </w:rPr>
        <w:t>Vertex is a registered trademark of Vertex Pharmaceuticals Incorporated, and Incel is a trademark of Vertex Pharmaceuticals Incorporated. CLEC is a registered trademark of the Company's subsidiary, Altus Biologics Inc.</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Vertex is engaged in the discovery, development and commercialization of novel, small molecule pharmaceuticals for the treatment of diseases for which there are currently limited or no effective treatments. The Company is a leader in the use of structure-based drug design, an approach to drug discovery that integrates advanced biology, biophysics and chemistry in a coordinated and simultaneous fashion. The Company believes that this integrated approach is applicable to therapeutic targets in a broad range of diseases. Vertex's goal is to create a portfolio of highly specific, proprietary, small molecule drugs based on its knowledge of the atomic structure of proteins involved in the control of disease processes. The Company's drug candidates currently in clinical trials include amprenavir for the treatment of human immunodeficiency virus ("HIV") infection and acquired immune deficiency syndrome ("AIDS"), two compounds for treatment of cancer multidrug resistance ("MDR") and an inosine monophosphate dehydrogenase ("IMPDH") inhibitor for the treatment of autoimmune diseases. In addition, the Company has preclinical and research programs aimed at developing orally available small molecule compounds to treat inflammatory diseases, neurodegenerative diseases and hepatitis C infection.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Structure-Based Drug Design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Drugs are natural or synthetic compounds that interact with a target molecule, typically a protein, either to induce or to inhibit that molecule's function within the human body. Traditionally, pharmaceutical products have been discovered through the screening of thousands of compounds, either from existing chemical libraries or from fermentation broths, against a predictive assay for a particular disease target. The Company believes that traditional pharmaceutical discovery is an essentially random process which is costly and inefficient. Advances in biotechnology have led to another method of developing drugs based on the isolation and production of human recombinant proteins. The Company believes that this approach also has limitations because the resulting pharmaceuticals are large molecules that cannot be administered orally, are difficult to manufacture and have applications which are limited to the disease state in which the protein is involved.</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Vertex is developing pharmaceutical products using a structure-based drug design approach, which is distinct from the traditional pharmaceutical and biotechnological approaches. By determining and modeling the three dimensional atomic structure of a target protein, the</w:t>
      </w: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812" w:right="1440" w:bottom="1440" w:gutter="0" w:footer="0" w:header="0"/>
        </w:sectPr>
      </w:pPr>
    </w:p>
    <w:bookmarkStart w:id="2" w:name="page3"/>
    <w:bookmarkEnd w:id="2"/>
    <w:p>
      <w:pPr>
        <w:ind w:right="3019"/>
        <w:spacing w:after="0" w:line="244" w:lineRule="auto"/>
        <w:rPr>
          <w:sz w:val="20"/>
          <w:szCs w:val="20"/>
          <w:color w:val="auto"/>
        </w:rPr>
      </w:pPr>
      <w:r>
        <w:rPr>
          <w:rFonts w:ascii="Courier New" w:cs="Courier New" w:eastAsia="Courier New" w:hAnsi="Courier New"/>
          <w:sz w:val="15"/>
          <w:szCs w:val="15"/>
          <w:color w:val="auto"/>
        </w:rPr>
        <w:t>Company intends to rationally design or alter chemical compounds to specifically interact with the targeted protein. The Company believes that structure-based drug design increases the chances for the discovery of multiple lead compounds for selected protein targets, including targets for which traditional drug discovery has met with limited success. Moreover, the Company believes that the structure-based drug design process may accelerate optimization of lead compounds, since modification of a lead compound may be undertaken with knowledge of the relationship between the compound's structure and its desired therapeutic effect, rather than through experimentation with randomly generated modifications to that compound.</w:t>
      </w:r>
    </w:p>
    <w:p>
      <w:pPr>
        <w:spacing w:after="0" w:line="180"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The Company's approach to structure-based design is an integrated approach combining efforts in biology, biophysics and chemistry in a coordinated and simultaneous fashion. To acquire structural information, Vertex applies advanced biophysical and computational tools, including x-ray crystallography, nuclear magnetic resonance spectroscopy and high resolution computer modeling. As structural information is gathered, the Company uses combinatorial, computational and medicinal chemistry to design and produce novel, highly specific small molecule compounds that possess the characteristics required for therapeutic benefit. To arrive at initial lead compounds, the Company may use traditional approaches, such as screening chemical libraries, natural products or combinatorial libraries in addition to using known chemical compounds or may apply direct computational methods (de novo design). Throughout the process, the Company develops biological assays and proprietary animal models, some of which employ the latest advances in genomics techniques, in order to analyze the function of target proteins. Using these tools, the Company optimizes compounds for potency and pharmaceutical properties, including tolerability and pharmacokinetics, and manufacturability. The Company selects clinical candidates from among optimized compounds based on the results of in vitro and in vivo tests designed to predict the compounds' safety and efficacy.</w:t>
      </w:r>
    </w:p>
    <w:p>
      <w:pPr>
        <w:spacing w:after="0" w:line="33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Vertex expects to employ all of its core technologies from the initial phases of a program through the entire discovery process. Information generated through the application of one scientific technique becomes part of the information base from which further advances may be made by Vertex scientists using other development techniques. Using its approach to structure-based drug design, Vertex has demonstrated that it is able to solve atomic structures of target proteins, generate lead compounds that bind to the target in vitro and optimize those compounds to produce drug candidates with desirable pharmaceutical attributes. The Company believes that its integrated structure-based approach to drug discovery and the applicability of this approach to a broad range of protein targets provides the Company with significant competitive advantages in the discovery and development of novel therapeutics for a variety of diseases.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Strategy</w:t>
      </w:r>
    </w:p>
    <w:p>
      <w:pPr>
        <w:spacing w:after="0" w:line="178" w:lineRule="exact"/>
        <w:rPr>
          <w:sz w:val="20"/>
          <w:szCs w:val="20"/>
          <w:color w:val="auto"/>
        </w:rPr>
      </w:pPr>
    </w:p>
    <w:p>
      <w:pPr>
        <w:ind w:right="3199" w:firstLine="811"/>
        <w:spacing w:after="0" w:line="264" w:lineRule="auto"/>
        <w:rPr>
          <w:sz w:val="20"/>
          <w:szCs w:val="20"/>
          <w:color w:val="auto"/>
        </w:rPr>
      </w:pPr>
      <w:r>
        <w:rPr>
          <w:rFonts w:ascii="Courier New" w:cs="Courier New" w:eastAsia="Courier New" w:hAnsi="Courier New"/>
          <w:sz w:val="14"/>
          <w:szCs w:val="14"/>
          <w:color w:val="auto"/>
        </w:rPr>
        <w:t>Vertex is concentrating on the discovery and development of drugs for the treatment of viral diseases, multidrug resistance in cancer, autoimmune diseases, inflammatory diseases and neurodegenerative diseases. The Company's research and development strategy is to identify therapeutic areas in which there is (i) an unmet clinical need, (ii) evidence that interaction with known protein targets will produce a therapeutic effect and (iii) evidence that the protein targets will be appropriate for structural analysis using Vertex's scientific approach. The Company's business strategy is to form collaborations with pharmaceutical companies in programs for which they can provide resources and access to competencies complementary to Vertex's in-house capabilities.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and Research Programs</w:t>
      </w:r>
    </w:p>
    <w:p>
      <w:pPr>
        <w:spacing w:after="0" w:line="17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The following are the Company's most advanced product development and research programs.</w:t>
      </w:r>
    </w:p>
    <w:p>
      <w:pPr>
        <w:spacing w:after="0" w:line="200" w:lineRule="exact"/>
        <w:rPr>
          <w:sz w:val="20"/>
          <w:szCs w:val="20"/>
          <w:color w:val="auto"/>
        </w:rPr>
      </w:pPr>
    </w:p>
    <w:p>
      <w:pPr>
        <w:spacing w:after="0" w:line="32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19"/>
          </w:cols>
          <w:pgMar w:left="240" w:top="8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Clinical Development Programs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HIV Program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Vertex is developing orally deliverable antiviral drugs to treat HIV infection and AIDS. Vertex's HIV Program is focused on the HIV protease, a key enzyme involved in viral replication. The Company is collaborating with Glaxo Wellcome plc. ("Glaxo Wellcome") and Kissei Pharmaceutical Co., Ltd. ("Kissei") in the development of its most advanced HIV protease inhibitor, amprenavir (VX-478 or 141W94). Glaxo Wellcome has been conducting pivotal Phase III clinical trials of amprenavir since early 1997. These Phase III clinical trials are intended to support the submission of a New Drug Application ("NDA") for market approval in the United States and equivalent submissions in Europe and other territories. However, there can be no assurance that these clinical trials will result in the submission or approval of an NDA for amprenavir.</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Background</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Recent World Health Organization ("WHO") estimates place the number of people infected with HIV at 860,000 in the United States in 1997. The U.S. Centers for Disease Control ("CDC") estimates that 240,000 HIV-infected individuals in the United States have progressed to and are living with AIDS. The WHO recently revised upward estimates of worldwide HIV prevalence to 30.6 million, with 5.8 million new infections and 2.3 million deaths in 1997.</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With the advent of combination therapy strategies and the introduction of several new drugs, world sales of antiviral drugs for the treatment of HIV have increased fivefold over a period of two years, reaching approximately $2.5 billion in 1997. Despite this dramatic market increase and the success of new agents, there remains a signficant need for new therapeutic options for the management of HIV infection. In the United States and elsewhere, the majority of HIV-infected patients are undiagnosed and untreated with any antiviral drug.</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Three classes of antiviral drugs - nucleoside reverse transcriptase inhibitors ("NRTIs"), non-nucleoside reverse transcriptase inhibitors ("NNRTIs"), and protease inhibitors - are currently approved for the treatment of HIV/AIDS. NRTIs (which include AZT, ddI, ddC and 3TC) and NNRTIs (which include nevirapine and delavirdine) both act by inhibiting reverse transcriptase, a viral enzyme required for replication. The clinical utility of each of these drugs is limited by significant side effects and by the development of viral resistance. HIV protease inhibitors work by an alternative mechanism, blocking another viral enzyme involved in HIV replication. Indinavir, saquinavir, ritonavir, and nelfinavir are protease inhibitors that have received U.S. Food and Drug Administration ("FDA") marketing approval. However, clinician and patient acceptance of these products may be limited by complex dosing regimens, which can result in poor patient compliance, and by dose-limiting side effects. Amprenavir is being studied using twice daily dosing, without restrictions regarding dosing with or without food, in contrast with certain of the currently available protease inhibitors which are approved for dosage three times daily with food restrictions. The Company believes that amprenavir will compare favorably with the protease inhibitors currently on the market in terms of potency, tolerability, dosing regimen and resistance profile, even if twice-daily dosing regimens now being studied for some of the other protease inhibitors receive FDA approval. See "Risk Factors--Early Stage of Development; Technological Uncertainty" and "--Rapid Technological Change and Competition."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Clinical Status</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Amprenavir is a second generation HIV protease inhibitor designed by Vertex to effectively</w:t>
      </w: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19"/>
          </w:cols>
          <w:pgMar w:left="240" w:top="811" w:right="1440" w:bottom="1440" w:gutter="0" w:footer="0" w:header="0"/>
        </w:sectPr>
      </w:pPr>
    </w:p>
    <w:bookmarkStart w:id="4" w:name="page5"/>
    <w:bookmarkEnd w:id="4"/>
    <w:p>
      <w:pPr>
        <w:ind w:right="3279"/>
        <w:spacing w:after="0" w:line="244" w:lineRule="auto"/>
        <w:rPr>
          <w:sz w:val="20"/>
          <w:szCs w:val="20"/>
          <w:color w:val="auto"/>
        </w:rPr>
      </w:pPr>
      <w:r>
        <w:rPr>
          <w:rFonts w:ascii="Courier New" w:cs="Courier New" w:eastAsia="Courier New" w:hAnsi="Courier New"/>
          <w:sz w:val="15"/>
          <w:szCs w:val="15"/>
          <w:color w:val="auto"/>
        </w:rPr>
        <w:t>block the replication of HIV and to possess key competitive characteristics. Through a series of advanced clinical studies, underway or planned by Glaxo Wellcome, amprenavir is being assessed in a wide array of clinical trials for the treatment of HIV and AIDS. Glaxo Wellcome is conducting three Phase III pivotal clinical trials in the US, Canada and Europe to assess the tolerability and antiviral activity of amprenavir in combination therapy in HIV-positive adults and children. Two Phase III clinical trials, including one trial comparing amprenavir with indinavir, are fully enrolled. Three different formulations of amprenavir are being tested in clinical trials: a 150 mg capsule, a 50 mg capsule, and an oral solution. Amprenavir is being studied in Phase III pediatric trials utilizing the 50 mg capsule or the oral solution. Data generated from 16 weeks of treatment in the Phase III studies is intended to support filing for market approval of amprenavir. Glaxo Wellcome is expected to file an NDA in the United States later in 1998 and to seek regulatory approval for amprenavir in Europe and other countries shortly thereafter. However, there can be no assurance that clinical trials will result in the submission or approval of an NDA for amprenavir or that trials that have not yet begun will commence. See "Risk Factors -- Uncertainties Related to Clinical Trials."</w:t>
      </w:r>
    </w:p>
    <w:p>
      <w:pPr>
        <w:spacing w:after="0" w:line="18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addition to the Phase III trials discussed above, Phase II trials are being conducted evaluating amprenavir in combination with available and/or experimental protease inhibitors, NRTIs, and NNRTIs. One study compares the combinations of amprenavir and nelfinavir, amprenavir and indinavir, amprenavir and saquinavir (soft gel caps), and amprenavir and the nucleoside analogues 3TC and AZT over 16 weeks of treatment. Preliminary results presented in February 1998 at the 5th Conference on Retroviruses and Opportunistic Infections in Chicago indicate that combining amprenavir with any one of three currently available protease inhibitors may result in highly potent antiviral regimens that appear to be generally well tolerated by patients.</w:t>
      </w:r>
    </w:p>
    <w:p>
      <w:pPr>
        <w:spacing w:after="0" w:line="180"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Data from other studies presented at the same meeting suggested that amprenavir in combination with Glaxo Wellcome's investigational NRTI abacavir (1592) results in highly potent antiviral activity. In one study, 11 of 11 patients evaluated at 24 weeks achieved 99.9% reduction in viral load. This result was consistent with another trial that compared amprenavir/abacavir therapy with other protease inhibitor/abacavir combinations.</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Data from these trials are preliminary and incomplete. Many trials are ongoing. There can be no assurance that these results are predictive of results that will be obtained in any future clinical trials. See "Risk Factors -- Uncertainties Related to Clinical Trials."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1995, Kissei completed single dose and multi-dose, placebo-controlled, Phase I clinical trials. Vertex expects that in 1998 Kissei will initiate Phase II/III efficacy trials in HIV-positive patients in Japan and that the results of such trials, together with clinical data from the Glaxo Wellcome trials, could form the basis for a filing for marketing approval of amprenavir in Japan. There can be no assurance, however, that these clinical trials will commence or proceed as currently anticipated. See "Risk Factors -- Uncertainties Related to Clinical Trials" and "-- Dependence on Collaborative Partners."</w:t>
      </w:r>
    </w:p>
    <w:p>
      <w:pPr>
        <w:spacing w:after="0" w:line="179"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In collaboration with Glaxo Wellcome, Vertex is also engaged in research to develop new formulations of amprenavir. In addition, Vertex and Glaxo Wellcome are continuing efforts to develop new lead classes of HIV protease inhibitors.</w:t>
      </w:r>
    </w:p>
    <w:p>
      <w:pPr>
        <w:spacing w:after="0" w:line="176"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The Company has four issued United States patents, 13 United States patent applications pending (including two which are under a Notice of Allowance), and foreign counterparts to some of those applications, that claim classes of chemical compounds, pharmaceutical formulations and/or uses of the same for treating HIV infection and AIDS. Two of the issued patents and five of the 13 United States patent applications (including both applications under a Notice of Allowance), have claims that include amprenavir, the Company's lead drug candidate for treating HIV infection and AIDS, pharmaceutical formulations containing amprenavir or the use of amprenavir to treat HIV infection or AIDS-related central nervous system disorders within their</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19"/>
          </w:cols>
          <w:pgMar w:left="240" w:top="812" w:right="1440" w:bottom="1440" w:gutter="0" w:footer="0" w:header="0"/>
        </w:sectPr>
      </w:pPr>
    </w:p>
    <w:bookmarkStart w:id="5" w:name="page6"/>
    <w:bookmarkEnd w:id="5"/>
    <w:p>
      <w:pPr>
        <w:ind w:right="3019"/>
        <w:spacing w:after="0" w:line="244" w:lineRule="auto"/>
        <w:rPr>
          <w:sz w:val="20"/>
          <w:szCs w:val="20"/>
          <w:color w:val="auto"/>
        </w:rPr>
      </w:pPr>
      <w:r>
        <w:rPr>
          <w:rFonts w:ascii="Courier New" w:cs="Courier New" w:eastAsia="Courier New" w:hAnsi="Courier New"/>
          <w:sz w:val="15"/>
          <w:szCs w:val="15"/>
          <w:color w:val="auto"/>
        </w:rPr>
        <w:t>literal scope. In addition, the Company has one issued United States patent that claims processes for preparing synthetic intermediates useful in the synthesis of a class of compounds that includes amprenavir. The Company also has a non-exclusive, worldwide license under certain G.D. Searle &amp; Company ("Searle") patent applications claiming HIV protease inhibitors.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Cancer Multidrug Resistance Program</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Vertex is developing novel compounds to treat and prevent the occurrence of drug resistance associated with the failure of cancer chemotherapy by inhibiting cellular mechanisms believed to be responsible for MDR. Vertex is developing two compounds, Incel(TM) (biricodar dicitrate; VX-710) and VX-853, that block two major multidrug resistance mechanisms, P-glycoprotein ("MDR1") and multidrug resistance associated protein, ("MRP"). Incel, an intravenous compound, and VX-853, an oral compound, are intended to be administered in combination with cancer chemotherapy agents, such as doxorubicin and paclitaxel. Vertex is conducting Phase II clinical trials of Incel in liver and breast cancer. In addition, BioChem Therapeutic, Inc. ("BioChem"), a subsidiary of Biochem Pharma (International) Inc., Vertex's partner for the development and marketing of Incel in Canada, is conducting Phase II clinical trials of Incel in soft tissue sarcoma and ovarian cancer. Vertex is conducting a Phase I/II clinical trial of VX-853, initiated in 1996, in patients with solid tumors.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Background</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American Cancer Society estimates that during 1998 more than 1.2 million people in the United States will be diagnosed with invasive cancer and more than 560,000 people in the U.S. will die from such cancers. The Company believes that a significant number of these patients may not be effectively treated by chemotherapy because of MDR.</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Multidrug resistance is frequently associated with the failure of chemotherapy. A major contributing factor to MDR is the presence of molecular pumps, including MDR1 and MRP, that function to expel chemotherapeutic agents from cancer cells, preventing the sustained delivery of potent levels of the chemotherapeutic agents required for therapeutic benefit. As a consequence, such resistant tumor cells cannot be killed efficiently by anticancer drugs such as doxorubicin, vincristine, etoposide and paclitaxel. MDR1 has been implicated in MDR in a variety of cancers including liver cancer, breast cancer, soft tissue sarcoma, prostate cancer, colon cancer, pancreatic cancer, acute myelogenous leukemia, multiple myeloma and certain lung cancers. MRP was recently identified as another drug efflux pump and is believed responsible for resistance observed in additional tumor types.</w:t>
      </w:r>
    </w:p>
    <w:p>
      <w:pPr>
        <w:spacing w:after="0" w:line="18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No drug has been approved by the FDA specifically for the treatment of MDR, but several compounds are in advanced clinical studies. Certain agents, such as dex-verapamil and an analog of cyclosporin A, have been shown in preliminary human studies to have some effectiveness in overcoming clinical resistance to certain commonly used chemotherapeutic agents. The Company believes these drugs may have side effects that could limit broad use.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Clinical Status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Vertex's lead compound, Incel, has displayed potent activity in vitro as an inhibitor of MDR for a number of chemotherapeutic agents in a variety of tumor types. Vertex has completed two Phase I/II studies with Incel in combination with doxorubicin and with paclitaxel. Vertex initiated a Phase II multi-center clinical trial in June 1996 to assess the safety and efficacy of the co-administration of Incel and doxorubicin in patients with liver cancer in comparison with doxorubicin alone. In 1997, the Company initiated a Phase II multi-center trial to assess the safety</w:t>
      </w:r>
    </w:p>
    <w:p>
      <w:pPr>
        <w:spacing w:after="0" w:line="35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19"/>
          </w:cols>
          <w:pgMar w:left="240" w:top="638" w:right="1440" w:bottom="1440" w:gutter="0" w:footer="0" w:header="0"/>
        </w:sectPr>
      </w:pPr>
    </w:p>
    <w:bookmarkStart w:id="6" w:name="page7"/>
    <w:bookmarkEnd w:id="6"/>
    <w:p>
      <w:pPr>
        <w:ind w:right="3019"/>
        <w:spacing w:after="0" w:line="244" w:lineRule="auto"/>
        <w:rPr>
          <w:sz w:val="20"/>
          <w:szCs w:val="20"/>
          <w:color w:val="auto"/>
        </w:rPr>
      </w:pPr>
      <w:r>
        <w:rPr>
          <w:rFonts w:ascii="Courier New" w:cs="Courier New" w:eastAsia="Courier New" w:hAnsi="Courier New"/>
          <w:sz w:val="15"/>
          <w:szCs w:val="15"/>
          <w:color w:val="auto"/>
        </w:rPr>
        <w:t>and efficacy of the co-administration of Incel and paclitaxel in patients with breast cancer. In addition, in 1997 BioChem initiated Phase II clinical trials of Incel in combination with paclitaxel in patients with ovarian cancer and in combination with doxorubicin in patients with soft tissue sarcoma. The Company intends to expand its Incel clinical development program to explore a variety of alternative indications for the drug. However, there can be no assurance that clinical trials will commence or proceed as currently anticipated. See "Risk Factors -- Uncertainties Related to Clinical Trials," "-- Manufacturing Uncertainties; Reliance on Third Party Manufacturers" and "-- Dependence on Collaborative Partners."</w:t>
      </w:r>
    </w:p>
    <w:p>
      <w:pPr>
        <w:spacing w:after="0" w:line="180"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 Phase I/II dose-escalating clinical trial of VX-853 in combination with doxorubicin in patients with solid tumors is being conducted, based on Vertex research that showed that VX-853 potently blocks MDR mediated by both MDR1 and MRP. The current clinical trial is expected to provide data regarding the safety of VX-853 at various dose levels, alone and in combination with escalating doses of doxorubicin.</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has five issued United States patents, two United States patent applications pending (one of which is under a Notice of Allowance) and several foreign counterpart applications claiming Incel and other compounds for treating multidrug resistance. One of the issued United States patents claims Incel and structurally related compounds. One of the issued United States patents claims VX-853 and structurally related compounds. The Company may seek orphan drug status for certain indications of its MDR compounds. See "Risk Factors - Extensive Government Regulation; Uncertainty of Product Clearance and Approval."</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IMPDH Program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Vertex is developing novel, orally deliverable immunosuppressive drugs that it believes could selectively halt the growth of lymphocytes by blocking IMPDH, an enzyme which controls DNA synthesis in lymphocytes. In 1997, Vertex initiated a Phase I clinical trial with VX-497, a novel, orally administered IMPDH inhibitor designed by Vertex.</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8" w:lineRule="exact"/>
        <w:rPr>
          <w:sz w:val="20"/>
          <w:szCs w:val="20"/>
          <w:color w:val="auto"/>
        </w:rPr>
      </w:pPr>
    </w:p>
    <w:p>
      <w:pPr>
        <w:ind w:right="3379" w:firstLine="811"/>
        <w:spacing w:after="0" w:line="263" w:lineRule="auto"/>
        <w:rPr>
          <w:sz w:val="20"/>
          <w:szCs w:val="20"/>
          <w:color w:val="auto"/>
        </w:rPr>
      </w:pPr>
      <w:r>
        <w:rPr>
          <w:rFonts w:ascii="Courier New" w:cs="Courier New" w:eastAsia="Courier New" w:hAnsi="Courier New"/>
          <w:sz w:val="14"/>
          <w:szCs w:val="14"/>
          <w:color w:val="auto"/>
        </w:rPr>
        <w:t>IMPDH is an enzyme involved in the immune response that enables lymphocyte proliferation and recruitment by catalyzing a key step in one of two DNA nucleotide biosynthesis pathways. IMPDH inhibition appears to selectively suppress immune system cells while leaving other cells unaffected, and may play an important role in down regulating inappropriate immune responses common to a range of human diseases, including asthma, psoriasis, rheumatoid arthritis and systemic lupus, as well as with transplant rejection. Vertex believes that blocking the enzyme IMPDH with an oral compound designed to specifically bind to IMPDH may provide a novel way to inhibit the progress of autoimmune diseases. IMPDH inhibition may also have an anti-inflammatory effect that may be useful in certain indications.</w:t>
      </w:r>
    </w:p>
    <w:p>
      <w:pPr>
        <w:spacing w:after="0" w:line="16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is aware of only one specific inhibitor of IMPDH currently on the market in the United States, Hoffmann-La Roche's mycophenolate mofetil, which is approved for acute kidney transplant and heart transplant rejection. The Company believes that compound-specific side effects of mycophenolate mofetil may limit its use for chronic autoimmune disorders. See, however, "Risk Factors--Early Stage of Development; Technological Uncertainty" and "--Rapid Technological Change and Competition."</w:t>
      </w: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19"/>
          </w:cols>
          <w:pgMar w:left="240" w:top="812" w:right="1440" w:bottom="1440" w:gutter="0" w:footer="0" w:header="0"/>
        </w:sectPr>
      </w:pPr>
    </w:p>
    <w:bookmarkStart w:id="7" w:name="page8"/>
    <w:bookmarkEnd w:id="7"/>
    <w:p>
      <w:pPr>
        <w:ind w:left="180"/>
        <w:spacing w:after="0"/>
        <w:rPr>
          <w:sz w:val="20"/>
          <w:szCs w:val="20"/>
          <w:color w:val="auto"/>
        </w:rPr>
      </w:pPr>
      <w:r>
        <w:rPr>
          <w:rFonts w:ascii="Courier New" w:cs="Courier New" w:eastAsia="Courier New" w:hAnsi="Courier New"/>
          <w:sz w:val="15"/>
          <w:szCs w:val="15"/>
          <w:color w:val="auto"/>
        </w:rPr>
        <w:t>Clinical Status</w:t>
      </w:r>
    </w:p>
    <w:p>
      <w:pPr>
        <w:spacing w:after="0" w:line="178" w:lineRule="exact"/>
        <w:rPr>
          <w:sz w:val="20"/>
          <w:szCs w:val="20"/>
          <w:color w:val="auto"/>
        </w:rPr>
      </w:pPr>
    </w:p>
    <w:p>
      <w:pPr>
        <w:ind w:right="3279" w:firstLine="902"/>
        <w:spacing w:after="0" w:line="244" w:lineRule="auto"/>
        <w:rPr>
          <w:sz w:val="20"/>
          <w:szCs w:val="20"/>
          <w:color w:val="auto"/>
        </w:rPr>
      </w:pPr>
      <w:r>
        <w:rPr>
          <w:rFonts w:ascii="Courier New" w:cs="Courier New" w:eastAsia="Courier New" w:hAnsi="Courier New"/>
          <w:sz w:val="15"/>
          <w:szCs w:val="15"/>
          <w:color w:val="auto"/>
        </w:rPr>
        <w:t>Vertex research, using cluster-based screening to sort families of compounds as potential inhibitors, led to the selection of VX-497 as a lead candidate in 1996. VX-497 has displayed potent immunosuppressive activity in animal models of rheumatoid arthritis and organ transplant rejection. A Phase I clinical trial is currently under way to test the pharmacokinetics and tolerability of VX-497 in escalating single doses in healthy subjects in the United Kingdom. The Company plans to follow the current Phase I clinical trial with multidose safety studies. Data from Phase I studies will be used by Vertex to design dose-ranging trials to assess the safety and efficacy of VX-497 in one or more indications. Phase II clinical trials in one or more indications are planned for 1998. There can be no assurance, however, that clinical trials will commence or proceed as currently anticipated. See "Risk Factors -- Early Stages of Development; Technological Uncertainty," "-- Manufacturing Uncertainties; Reliance on Third Party Manufacturers" and " -- Uncertainties Related to Clinical Trials."</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has five United States patent applications pending, claiming inhibitors of IMPDH, including VX-497 and related compounds. The Company has two United States patent applications pending that claim the crystal structure of IMPDH and the use of that structure to design inhibitors.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Preclinical Development Programs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ICE Program</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Vertex is developing novel drugs to treat acute and chronic inflammatory conditions, including rheumatoid arthritis and osteoarthritis. The Company is collaborating with Hoechst Marion Roussel ("HMR") in the development of VX-740 to block interleukin-1 beta converting enzyme ("ICE"), which mediates the production and release of the inflammatory cytokine IL-1 beta, as well as the production of gamma interferon. Inside specialized immune system cells, ICE activates the proteins interleukin-1 beta (IL-1 beta) and gamma interferon, and triggers a cascade of events that produces inflammation. Vertex and HMR scientists have designed several classes of small molecule ICE inhibitors, including VX-740, the development candidate in the collaboration. Inhibitors of ICE may have application to a wide range of chronic and acute inflammatory diseases, such as rheumatoid arthritis, osteoarthritis, inflammatory bowel disease, sepsis, and pancreatitis.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Elevation of IL-1 beta levels has been correlated to a number of acute and chronic inflammatory diseases. There are approximately 2,100,000 patients with rheumatoid arthritis in the United States alone. Numerous companies are seeking to develop drugs to treat these conditions through various mechanisms. However, although several companies are pursuing ICE as a drug target, Vertex is not aware of any company with an ICE-inhibiting compound in clinical development, and there currently are no IL-1 beta inhibitors approved for marketing.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Preclinical Status</w:t>
      </w:r>
    </w:p>
    <w:p>
      <w:pPr>
        <w:spacing w:after="0" w:line="178"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VX-740 has been designed by Vertex and HMR as a potential small molecule inhibitor of ICE that could be used for the treatment of both acute and chronic inflammatory disorders. VX-740 has been shown to be orally active in several animal models of human inflammatory disease, including models for acute and chronic arthritis. In December 1997, Vertex announced that it had earned the first of a series of milestone payments to be made by HMR to Vertex as VX-740</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19"/>
          </w:cols>
          <w:pgMar w:left="240" w:top="985" w:right="1440" w:bottom="1440" w:gutter="0" w:footer="0" w:header="0"/>
        </w:sectPr>
      </w:pPr>
    </w:p>
    <w:bookmarkStart w:id="8" w:name="page9"/>
    <w:bookmarkEnd w:id="8"/>
    <w:p>
      <w:pPr>
        <w:ind w:right="3279"/>
        <w:spacing w:after="0" w:line="244" w:lineRule="auto"/>
        <w:rPr>
          <w:sz w:val="20"/>
          <w:szCs w:val="20"/>
          <w:color w:val="auto"/>
        </w:rPr>
      </w:pPr>
      <w:r>
        <w:rPr>
          <w:rFonts w:ascii="Courier New" w:cs="Courier New" w:eastAsia="Courier New" w:hAnsi="Courier New"/>
          <w:sz w:val="15"/>
          <w:szCs w:val="15"/>
          <w:color w:val="auto"/>
        </w:rPr>
        <w:t>advances through preclinical development, clinical development and commercialization. The $3.0 million milestone payment related to progress made in the preclinical development of VX-740 in 1997. Phase I clinical trials are planned to start in 1998 for VX-740. However, there can be no assurance that clinical trials will commence or proceed as currently anticipated. See "Risk Factors--Uncertainties Related to Clinical Trials," "--Manufacturing Uncertainties; Reliance on Third Party Manufacturers" and "--Dependence on Collaborative Partners." Based on Vertex's discovery of the ICE's role in the production of gamma interferon, a key immunoregulator that modulates antigen presentation, T-cell activation, and cell adhesion, Vertex also plans to investigate ICE inhibitors for additional therapeutic uses such as in metastatic cancer, and diabetes.</w:t>
      </w:r>
    </w:p>
    <w:p>
      <w:pPr>
        <w:spacing w:after="0" w:line="18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has 10 issued United States patents, 28 United States patent applications pending and several foreign counterpart patent applications claiming inhibitors of ICE, including a series of patents and applications purchased from Sanofi S.A., in July 1997. The Company has two patent applications pending in the United States and several foreign counterpart applications claiming the crystal structure of ICE and derivatives thereof and various uses of those structures. The company also has one United States patent that claims DNA sequences encoding ICE. That patent, which was purchased from Sanofi S.A., is currently involved in an interference in the United States Patent and Trademark Office.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Programs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Neurophilin Program</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Vertex has designed orally administerable small molecule compounds that promote nerve growth in central and peripheral nerve injury. Data supporting the nerve regeneration in spinal cord and peripheral nerve injury models were presented at the Society for Neuroscience 27th Annual Meeting in October 1997. Vertex is testing neurophilin compounds in additional animal models of nerve injury with the goal of selecting a compound for development to treat neurodegenerative diseases, such as Alzheimer's and Parkinson's diseases, peripheral neuropathies, which result from degeneration of sensory and motor nerves, as well as to treat nerve injury resulting from trauma or stroke. The Company expects to select a compound in 1998 as a clinical development candidate.</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has five United States patent applications (one of which is under a Notice of Allowance) claiming the use of certain of its immunosuppressive compounds and certain of its multidrug resistance compounds for nerve growth applications. The Company also has nine issued United States patents and three United States patent applications pending (one of which is under a Notice of Allowance) that claim compounds that are useful in nerve growth applications.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MAP Kinase Program</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mitogen-activated protein (MAP) kinases are a family of structurally-related human enzymes involved in intracellular signaling pathways that enable cells to respond to their environment. Vertex is designing and developing compounds that inhibit cytokine translation by blocking MAP kinases.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Vertex's first MAP kinase research program focuses on the p38 MAP kinase, a human enzyme involved with the onset and progression of inflammation and programmed cell death. When activated, the p38 MAP kinase triggers production of interleukin-1 ("IL-1") and tumor necrosis factor TNF-alpha, cytokines that play a central role in the body's inflammatory response. Excess levels of IL-1 and TNF-alpha are associated with a broad range of acute and chronic inflammatory diseases, as well as playing an important role in programmed cell death associated with ischemia and stroke, and in neurodegenerative diseases such as Alzheimer's and Parkinson's disease. In 1997 Vertex and Kissei signed an agreement to collaborate on the design, development and commercialization of inhibitors of p38 MAP kinase. The objective of the research collaboration is to identify and extensively evaluate compounds that target p38 MAP kinase to develop novel, orally active drugs for the treatment of inflammatory and neurological diseases. Vertex and Kissei</w:t>
      </w:r>
    </w:p>
    <w:p>
      <w:pPr>
        <w:spacing w:after="0" w:line="18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19"/>
          </w:cols>
          <w:pgMar w:left="240" w:top="638" w:right="1440" w:bottom="1440" w:gutter="0" w:footer="0" w:header="0"/>
        </w:sectPr>
      </w:pPr>
    </w:p>
    <w:bookmarkStart w:id="9" w:name="page10"/>
    <w:bookmarkEnd w:id="9"/>
    <w:p>
      <w:pPr>
        <w:ind w:right="3279"/>
        <w:spacing w:after="0" w:line="244" w:lineRule="auto"/>
        <w:rPr>
          <w:sz w:val="20"/>
          <w:szCs w:val="20"/>
          <w:color w:val="auto"/>
        </w:rPr>
      </w:pPr>
      <w:r>
        <w:rPr>
          <w:rFonts w:ascii="Courier New" w:cs="Courier New" w:eastAsia="Courier New" w:hAnsi="Courier New"/>
          <w:sz w:val="15"/>
          <w:szCs w:val="15"/>
          <w:color w:val="auto"/>
        </w:rPr>
        <w:t>researchers are currently evaluating compounds in animal models and initial preclinical toxicology tests to determine a potential clinical candidate. Vertex expects to advance a compound from this program to preclinical testing in 1998. However, there can be no assurance that studies will commence or proceed as currently anticipated.</w:t>
      </w:r>
    </w:p>
    <w:p>
      <w:pPr>
        <w:spacing w:after="0" w:line="177" w:lineRule="exact"/>
        <w:rPr>
          <w:sz w:val="20"/>
          <w:szCs w:val="20"/>
          <w:color w:val="auto"/>
        </w:rPr>
      </w:pPr>
    </w:p>
    <w:p>
      <w:pPr>
        <w:ind w:right="3379" w:firstLine="811"/>
        <w:spacing w:after="0" w:line="270" w:lineRule="auto"/>
        <w:rPr>
          <w:sz w:val="20"/>
          <w:szCs w:val="20"/>
          <w:color w:val="auto"/>
        </w:rPr>
      </w:pPr>
      <w:r>
        <w:rPr>
          <w:rFonts w:ascii="Courier New" w:cs="Courier New" w:eastAsia="Courier New" w:hAnsi="Courier New"/>
          <w:sz w:val="14"/>
          <w:szCs w:val="14"/>
          <w:color w:val="auto"/>
        </w:rPr>
        <w:t>Vertex has two United States patent application pending claiming inhibitors of p38 MAP kinase. Vertex also has one United States patent application pending claiming methods of designing inhibitors of MAP kinases.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Hepatitis C Virus Programs</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The Company is conducting two discovery research programs to develop compounds to treat hepatitis C. Identified in 1989, the hepatitis C virus ("HCV") causes chronic inflammation in the liver. In a majority of patients, HCV establishes a chronic infection that can persist for decades and eventually lead to cirrhosis, liver failure and liver cancer. HCV infection represents a significant medical problem worldwide for which there is inadequate or no therapy for a majority of patients. Sources at the U.S. Centers for Disease Control and Prevention have estimated that approximately 3.9 million Americans, or more than one percent of the population, may be infected with HCV. Currently, there is no vaccine available to prevent hepatitis C infection. In addition, the only drug approved for the treatment of hepatitis C, interferon alpha, provides long-term therapeutic benefit to less than 25 percent of patients treated.</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Hepatitis C Protease</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Hepatitis C protease is an enzyme generally believed to be essential for replication of HCV. Under an agreement signed during 1997, Vertex and Eli Lilly and Company ("Lilly") are collaborating on the research, development and commercialization of novel, orally active protease inhibitors for the treatment of chronic infection caused by HCV, using structural information developed by Vertex researchers.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Vertex has one international patent application pending (which designates the United States among other countries) claiming inhibitors of HCV protease. Vertex also has one United States patent application pending claiming the crystal structure of HCV protease and the use of that structure to design inhibitors. Vertex has an additional United States patent application claiming methods of identifying HCV protease inhibitors.</w:t>
      </w:r>
    </w:p>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Hepatitis C Helicase</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Vertex is also conducting discovery research to design orally deliverable drugs to inhibit hepatitis C helicase. The NS3 helicase enzyme is believed to play an essential role in the infectious cycle of the hepatitis C virus by aligning viral DNA in its proper configuration for replication. Therefore, helicase represents an attractive target for drug discovery.</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Researchers from Vertex have solved the three-dimensional atomic structure of the hepatitis C virus NS3 helicase. This achievement was described in a paper published on January 15, 1998 in the journal Structure. Vertex is using the structural information to identify and optimize inhibitors of the enzyme, employing structure-based techniques, including cluster-based screening, and computational, combinatorial, and medicinal chemistry, to design novel small molecule inhibitors of HCV helicase for clinical development as new antiviral drugs to treat HCV infection.</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Vertex has one United States patent application pending disclosing the crystal structure of HCV helicase.</w:t>
      </w:r>
    </w:p>
    <w:p>
      <w:pPr>
        <w:spacing w:after="0" w:line="200" w:lineRule="exact"/>
        <w:rPr>
          <w:sz w:val="20"/>
          <w:szCs w:val="20"/>
          <w:color w:val="auto"/>
        </w:rPr>
      </w:pPr>
    </w:p>
    <w:p>
      <w:pPr>
        <w:spacing w:after="0" w:line="32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19"/>
          </w:cols>
          <w:pgMar w:left="240" w:top="638"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Caspase Program</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Vertex is conducting research to design novel drugs for apoptosis (programmed cell death) for neurodegenerative diseases and other neurodegenerative conditions. This drug discovery effort is based on the Company's knowledge of ICE and its homologues, the caspases. Vertex has gained a detailed understanding of apoptotic pathways using biological, genomic, and structural data from ICE homologues. Vertex has solved the X-ray structure of CPP32, a caspase believed to be important in neuronal apoptosis, and is using structural information to design small molecule lead compounds that selectively block CPP32 and other caspases. The goal of Vertex's caspases program is to discover and develop drugs useful for treating neurodegenerative disorders such as Alzheimer's disease and Parkinson's disease as well as for the prevention of tissue damage resulting from myocardial and cerebral ischemia.</w:t>
      </w:r>
    </w:p>
    <w:p>
      <w:pPr>
        <w:spacing w:after="0" w:line="181"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The Company has one United States patent application claiming a protein involved in apoptosis.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Collaborations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Vertex has entered into corporate collaborations with pharmaceutical companies that provide financial and other resources, including capabilities in research, development and sales and marketing, to support the Company's research and development programs. At present, the Company has the following major corporate collaborations.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Glaxo Wellcome plc.</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Vertex and Glaxo Wellcome are collaborating on the development of Vertex's HIV protease inhibitors. Under the collaborative agreement, which commenced in December 1993, Glaxo Wellcome is obligated to pay Vertex up to $42.0 million, comprised of a $15.0 million initial license payment paid in December 1993, $14.0 million of product research funding over five years and $13.0 million of development and commercialization milestone payments for an initial drug candidate. From the inception of the agreement in December 1993 through December 31, 1997, Vertex has recognized as revenue $28 million. Glaxo Wellcome is also obligated to pay to Vertex additional development and commercialization milestone payments for subsequent drug candidates. In addition, Glaxo Wellcome is required to bear the costs of development in its territory under the collaboration. Glaxo Wellcome has exclusive rights to develop and commercialize Vertex HIV protease inhibitors in all parts of the world except the Far East and will pay Vertex a royalty on sales. Vertex has retained certain bulk drug manufacturing rights and certain co-promotion rights in the territories licensed to Glaxo Wellcome. See "-- HIV Program."</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Glaxo Wellcome has the right to terminate the research collaboration under its agreement with the Company without cause upon twelve months' notice given at any time and has the right to terminate the license arrangements under its agreement with the Company without cause upon twelve months' notice, provided such notice is not given before the research collaboration has been terminated. Termination by Glaxo Wellcome of the research collaboration under its agreement with the Company will relieve Glaxo Wellcome of its obligation to make further research support payments under the agreement. Termination by Glaxo Wellcome of the license arrangements under the agreement will relieve Glaxo Wellcome of its obligation to make further commercialization and development milestone and royalty payments, and will end any license granted to Glaxo Wellcome by Vertex thereunder, and could have a material adverse effect on the Company's business and result of operations. See "Risk Factors -Dependence on Collaborative Partners."</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Vertex and Glaxo Wellcome have a non-exclusive, worldwide license under certain Searle patent applications claiming HIV protease inhibitors to permit Vertex and Glaxo Wellcome to develop, manufacture and market amprenavir free of the risk of intellectual property claims by</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19"/>
          </w:cols>
          <w:pgMar w:left="240" w:top="811" w:right="1440" w:bottom="1440" w:gutter="0" w:footer="0" w:header="0"/>
        </w:sectPr>
      </w:pPr>
    </w:p>
    <w:bookmarkStart w:id="11" w:name="page12"/>
    <w:bookmarkEnd w:id="11"/>
    <w:p>
      <w:pPr>
        <w:ind w:right="3199"/>
        <w:spacing w:after="0" w:line="244" w:lineRule="auto"/>
        <w:rPr>
          <w:sz w:val="20"/>
          <w:szCs w:val="20"/>
          <w:color w:val="auto"/>
        </w:rPr>
      </w:pPr>
      <w:r>
        <w:rPr>
          <w:rFonts w:ascii="Courier New" w:cs="Courier New" w:eastAsia="Courier New" w:hAnsi="Courier New"/>
          <w:sz w:val="15"/>
          <w:szCs w:val="15"/>
          <w:color w:val="auto"/>
        </w:rPr>
        <w:t>Searle. The terms of the license require Vertex to pay Searle a royalty on sales. In connection with this transaction, Glaxo Wellcome purchased shares of the Company's Common Stock for approximately $5.0 million in June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Kissei Pharmaceutical Co.,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Amprenavir</w:t>
      </w:r>
    </w:p>
    <w:p>
      <w:pPr>
        <w:spacing w:after="0" w:line="178"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Vertex and Kissei are collaborating on the development of amprenavir, Vertex's HIV protease inhibitor. Under the collaborative agreement, which commenced in April 1993, Kissei is obligated to pay to Vertex up to $20.0 million, comprised of $9.8 million of product research funding over three years, $7.0 million of development and commercialization milestone payments and a $3.2 million equity investment. From the inception of the agreement in April 1993 through December 31, 1997, $14.6 million has been recognized as revenue. During 1997, the Company also received $4.0 million related to reimbursements of certain development costs. The Company has received the full amount of research funding specified under the agreement. Kissei has exclusive rights to develop and commercialize amprenavir in Japan, the People's Republic of China and several other countries in the Far East and will pay Vertex a royalty on sales. Vertex is responsible for the manufacture of bulk product for Kissei. See "-- HIV Program."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p38 MAP Kinase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September 1997, the Company and Kissei entered into a collaborative agreement for the p38 MAP kinase program for the development and commercialization of novel, orally active drugs for the treatment of inflammatory and neurological diseases. Under the terms of the agreement, Kissei will pay the Company up to $22 million composed of a $4 million license payment paid in September 1997, $11 million of product research funding over three years and $7 million of development and commercialization milestone payments. From the inception of the agreement in September 1997 through December 31, 1997, $5.5 million has been recognized as revenue. The Company and Kissei will collaborate to identify and extensively evaluate compounds that target p38 MAP kinase. Kissei will have the right to develop and commercialize these compounds in its licensed territories. Kissei has exclusive rights to p38 MAP kinase compounds in Japan and certain Southeast Asian countries and semi-exclusive rights in China, Taiwan and South Korea. The Company retains exclusive marketing rights in the United States, Canada, Europe, and the rest of the world. In addition, the Company will have the right to supply bulk drug material to Kissei for sale in its territory, and will receive royalties and drug supply payments on any product sales. Kissei has the right to terminate the agreement without cause upon six months' notice after June 1998. See "--MAP Kinase Program."</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BioChem Therapeutic, Inc.</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and BioChem are collaborating on the development and commercialization of Incel, the Company's lead compound in its cancer multidrug resistance program. Under the collaborative agreement, which commenced in May 1996, BioChem is obligated to pay the Company up to $4.0 million comprised of an initial license payment of $500,000 and development and commercialization milestone payments. From the inception of the agreement in May 1996 through December 31, 1997, $0.8 million has been recognized as revenue. BioChem also is obligated to bear the costs of development of Incel in Canada. BioChem has exclusive rights to develop and commercialize Incel in Canada. The Company will supply BioChem's requirements of bulk and finished forms of Incel. BioChem will make payments to the Company for those materials based on sales of products by BioChem, which will cover Vertex's cost of supplying materials and will provide a profit to Vertex.</w:t>
      </w:r>
    </w:p>
    <w:p>
      <w:pPr>
        <w:spacing w:after="0" w:line="182"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BioChem has the right to terminate the agreement without cause upon six months' notice.</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19"/>
          </w:cols>
          <w:pgMar w:left="240" w:top="638" w:right="1440" w:bottom="1440" w:gutter="0" w:footer="0" w:header="0"/>
        </w:sectPr>
      </w:pPr>
    </w:p>
    <w:bookmarkStart w:id="12" w:name="page13"/>
    <w:bookmarkEnd w:id="12"/>
    <w:p>
      <w:pPr>
        <w:ind w:right="3019"/>
        <w:spacing w:after="0" w:line="244" w:lineRule="auto"/>
        <w:rPr>
          <w:sz w:val="20"/>
          <w:szCs w:val="20"/>
          <w:color w:val="auto"/>
        </w:rPr>
      </w:pPr>
      <w:r>
        <w:rPr>
          <w:rFonts w:ascii="Courier New" w:cs="Courier New" w:eastAsia="Courier New" w:hAnsi="Courier New"/>
          <w:sz w:val="15"/>
          <w:szCs w:val="15"/>
          <w:color w:val="auto"/>
        </w:rPr>
        <w:t>Termination will relieve BioChem of any further payment obligations and will end any license granted to BioChem by Vertex under the agreement. See "-- Cancer Multidrug Resistance Program."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Hoechst Marion Roussel</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Vertex and HMR are collaborating on the development of ICE inhibitors as anti-inflammatory agents. Under the collaborative agreement, which commenced in September 1993, HMR is obligated to pay to Vertex up to $30.5 million, comprised of $18.5 million of product research funding over five years and $12.0 million of development and commercialization milestone payments. From the inception of the agreement in September 1993 through December 31, 1997, $21.5 million has been recognized as revenue. The Company received additional revenue related to reimbursements for clinical development in 1997. The Company has received the full amount of research funding specified under the agreement. HMR has exclusive rights to develop and market drugs resulting from the collaborative effort in Europe, Africa and the Middle East, and Vertex has exclusive development and marketing rights in the rest of the world, except the Far East, where Vertex shares those rights with HMR. HMR is obligated to pay a royalty to Vertex on any sales made in Europe, and Vertex is obligated to pay a royalty to HMR on any sales made in the United States or the rest of the Americas. Each party will have the option to co-promote products in the other party's exclusive territory. Vertex and HMR will each have rights to develop and market the drugs in Far Eastern countries including Japan.</w:t>
      </w:r>
    </w:p>
    <w:p>
      <w:pPr>
        <w:spacing w:after="0" w:line="18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HMR has the right to terminate the agreement at any time without cause upon twelve months' notice. For a period of one year after any such termination, HMR retains the right to select one or more compounds for development and to license such compound or compounds from Vertex, provided HMR resumes research funding and commercialization milestone payments and makes all such payments that would otherwise have been due but for such termination. See "-- ICE Program."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 Lilly &amp; Company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June 1997, Vertex and Lilly entered into a collaborative agreement for the research, development and commercialization of novel, small molecule compounds to treat hepatitis C infection. Under the terms of the agreement, Lilly will pay the Company up to $51 million composed of a $3 million up front payment paid in June 1997, $33 million of product research funding over six years and $15 million of development and commercialization milestone payments. From the inception of the agreement in June 1997 through December 31, 1997, $5.7 million has been recognized as revenue. The Company and Lilly will jointly manage the research, development, manufacturing and marketing of drug candidates emerging from the collaboration. The Company will have primary responsibility for drug design, process development and pre-commercial drug substance manufacturing, and Lilly will have primary responsibility for formulation, preclinical and clinical development and global marketing. The Company has the option to supply 100 percent of Lilly's commercial drug substance supply needs. The Company will receive royalties on future product sales, if any. If the Company exercises its commercial supply option, the Company will receive drug supply payments in addition to royalties on future product sales, if any. Lilly has the right to terminate the agreement without cause upon six months' notice after June 1999. See "--Hepatitis C Protease."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Altus Biologics Inc.</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Altus Biologics Inc. ("Altus") is a subsidiary of Vertex that develops, manufactures and markets a unique class of products based on a novel and proprietary technology for stabilizing proteins. This technology is used to create cross-linked protein crystals ("CLPCs"), facilitating the use of proteins in a broad array of applications, ranging from pharmaceutical to industrial uses. CLPCs are high-performance products designed to solve critical process chemistry and protein</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19"/>
          </w:cols>
          <w:pgMar w:left="240" w:top="639" w:right="1440" w:bottom="1440" w:gutter="0" w:footer="0" w:header="0"/>
        </w:sectPr>
      </w:pPr>
    </w:p>
    <w:bookmarkStart w:id="13" w:name="page14"/>
    <w:bookmarkEnd w:id="13"/>
    <w:p>
      <w:pPr>
        <w:ind w:right="3019"/>
        <w:spacing w:after="0" w:line="244" w:lineRule="auto"/>
        <w:rPr>
          <w:sz w:val="20"/>
          <w:szCs w:val="20"/>
          <w:color w:val="auto"/>
        </w:rPr>
      </w:pPr>
      <w:r>
        <w:rPr>
          <w:rFonts w:ascii="Courier New" w:cs="Courier New" w:eastAsia="Courier New" w:hAnsi="Courier New"/>
          <w:sz w:val="15"/>
          <w:szCs w:val="15"/>
          <w:color w:val="auto"/>
        </w:rPr>
        <w:t>stability issues in the development, manufacture and administration of pharmaceutical substances. Altus has concentrated its early development efforts on the application of the CLPC technology to enzymes, producing cross-linked enzyme crystals. In addition, responding to expressions of interest for other CLPCs to meet needs in a variety of areas, Altus intends to pursue with collaborators the development of its technology for other high value applications, such as consumer care products and catalysts for the destruction of chemical warfare agents. Since 1994, Altus has introduced 10 CLEC(R) products derived from five enzymes which are being used by pharmaceutical companies in trial and scale-up stages of pharmaceutical development and manufacturing. Over 300 organizations in 29 countries have purchased trial stage quantities of Altus' CLEC products, including over 70 companies which have purchased larger scale-up quantities.</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As of March 17, 1998, Altus owned seven pending United States patent applications, and had been granted an exclusive, worldwide, royalty-free license to one issued United States patent, six pending United States patent applications and international and foreign counterparts thereof pursuant to an exclusive, worldwide, royalty-free license from Vertex. Altus has also filed international and foreign counterparts based on its United States patent applications. Altus is also a co-owner with Vertex of an additional United States patent application and an international counterpart thereof.</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Proprietary Information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has rights in certain patents and pending patent applications that relate to compounds it is developing and methods of using such compounds. The Company actively seeks, when appropriate, protection for its products and proprietary information by means of United States and foreign patents, trademarks and contractual arrangements. In addition, the Company relies upon trade secrets and contractual arrangements to protect certain of its proprietary information and products.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As of March 13, 1997, the Company had a total of 27 United States patents and 75 United States pending patent applications. The Company also has an exclusive license under four United States patents, one of which is subject to a reissue application that has been allowed. Three of the licensed patents and the allowed reissue application claim the use of certain compounds for treating hemoglobin disorders, including sickle cell disease and beta thalassemia. The Company has a non-exclusive, worldwide license under certain Searle patent applications claiming HIV protease inhibitors. The Company's non-exclusive, worldwide license permits Vertex to develop, manufacture and market amprenavir free of intellectual property claims by Searle. The Company has four issued United States patents and 13 United States patent applications claiming antiviral compounds, pharmaceutical formulations thereof and/or their uses, for treating HIV infection and AIDS. Two of those 13 United States patent applications are under a Notice of Allowance. Two of the issued patents and five of the 13 applications (including the two under a Notice of Allowance) have claims that include amprenavir, the Company's lead drug candidate, within their literal scope. Another one of the three issued patents contains claims covering the use of amprenavir to treat AIDS-related central nervous system disorders. The Company also has a United States patent that claims processes for preparing synthetic intermediates useful in the synthesis of a class of compounds that includes amprenavir.</w:t>
      </w:r>
    </w:p>
    <w:p>
      <w:pPr>
        <w:spacing w:after="0" w:line="18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has five issued United States patents and two United States patent applications claiming Incel and other compounds for treating multidrug resistance. One of those issued patents contains claims covering Incel and structurally related compounds. Another of the issued patents claims VX-853 and structurally related compounds. The Company has five United States patent applications pending, claiming inhibitors of IMPDH, including VX-497 and related compounds. The Company has two United States patent applications pending that claim the crystal structure of IMPDH and the use of that structure to design inhibitors. The Company has ten issued</w:t>
      </w:r>
    </w:p>
    <w:p>
      <w:pPr>
        <w:spacing w:after="0" w:line="17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639" w:right="1440" w:bottom="1440" w:gutter="0" w:footer="0" w:header="0"/>
        </w:sectPr>
      </w:pPr>
    </w:p>
    <w:bookmarkStart w:id="14" w:name="page15"/>
    <w:bookmarkEnd w:id="14"/>
    <w:p>
      <w:pPr>
        <w:ind w:right="3019"/>
        <w:spacing w:after="0" w:line="262" w:lineRule="auto"/>
        <w:rPr>
          <w:sz w:val="20"/>
          <w:szCs w:val="20"/>
          <w:color w:val="auto"/>
        </w:rPr>
      </w:pPr>
      <w:r>
        <w:rPr>
          <w:rFonts w:ascii="Courier New" w:cs="Courier New" w:eastAsia="Courier New" w:hAnsi="Courier New"/>
          <w:sz w:val="14"/>
          <w:szCs w:val="14"/>
          <w:color w:val="auto"/>
        </w:rPr>
        <w:t>United States patents and 28 United States patent applications pending claiming inhibitors of ICE. The Company has two patent applications pending in the United States claiming the crystal structure of ICE and derivatives thereof and various uses of those structures. The company also has one United States patent that claims DNA sequences encoding ICE. That patent, which was purchased from Sanofi S.A., is currently involved in an interference in the United States Patent and Trademark Office with an application filed by Merck &amp; Co. The Company has five United States patent applications pending claiming the use of certain of its immunosuppressive compounds and certain of its multidrug resistance compounds for nerve growth applications. Vertex recently received a Notice of Allowance in one of those applications. The Company also has nine issued United States patents and three patent applications pending that claim compounds that are useful in nerve growth application. The Company has one United States patent application claiming a protein involved in apoptosis. The Company has two United States patent application pending claiming inhibitors of p38 MAP kinase. The Company also has one United States patent application pending that claims methods of designing inhibitors of MAP kinase. The Company also has one international patent application pending (designating the United States and other countries) claiming inhibitors of HCV protease. The Company has one United States patent application pending claiming the crystal structure of HCV protease and the use of that structure to design inhibitors. The Company has one United States patent application pending claiming an assay for HCV protease activity. The Company has one United States patent application pending disclosing the crystal structure of HCV helicase. The Company has one United States patent application pending claiming methods of assaying and designing inhibitors of enzymes using proprietary technology. The Company has one United States patent application pending claiming processes useful in NMR technology. The Company has one United States patent claiming a novel device useful in pharmaceutical research. The Company also has filed international and foreign counterparts based on several of its United States patents and patent applications.</w:t>
      </w:r>
    </w:p>
    <w:p>
      <w:pPr>
        <w:spacing w:after="0" w:line="35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There can be no assurance that any patents will issue from any of the Company's patent applications or, even if patents issue or have issued, that the claims thereof will provide the Company with any significant protection against competitive products or otherwise be valuable commercially. Legal standards relating to the validity of patents and the proper scope of their claims in the biopharmaceutical field are still evolving, and there is no consistent policy regarding the breadth of claims allowed in biopharmaceutical patents. No assurance can be given as to the Company's ability to avoid infringing, and thus having to negotiate a license under, any patents issued to others, or that a license to such patents would be available on commercially acceptable terms, if at all. Further, there can be no assurance that any patents issued to or licensed by the Company will not be infringed by the products of others, which may require the Company to engage in patent infringement litigation. In addition to being a party to patent infringement litigation, the Company could be required to participate in interference proceedings declared by the United States Patent and Trademark Office. Defense or prosecution of patent infringement litigation, as well as participation in interference proceedings, can be expensive and time consuming, even in those instances in which the outcome is favorable to the Company. If the outcome of any such litigation or proceeding were adverse, the Company could be subject to significant liabilities to third parties, could be required to obtain licenses from third parties or could be required to cease sales of the affected products, any of which could have a material adverse effect on the Company. See "Risk Factors -- Uncertainty Related to Patents and Proprietary Information."</w:t>
      </w:r>
    </w:p>
    <w:p>
      <w:pPr>
        <w:spacing w:after="0" w:line="18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has licensed on an exclusive basis four United States patents from Children's Hospital. One of those patents was subject to a reissue application for which the Company recently received a Notice of Allowance. The patents and the allowed reissue application claim the use of certain compounds in the treatment of hemoglobin disorders, including sickle cell disease and beta thalassemia. Because Children's Hospital did not foreign file the application corresponding to the reissue application within one year of filing its corresponding United States application, the Company's foreign patent rights may be limited. In addition, there can be no</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638" w:right="1440" w:bottom="1440" w:gutter="0" w:footer="0" w:header="0"/>
        </w:sectPr>
      </w:pPr>
    </w:p>
    <w:bookmarkStart w:id="15" w:name="page16"/>
    <w:bookmarkEnd w:id="15"/>
    <w:p>
      <w:pPr>
        <w:ind w:right="3019"/>
        <w:spacing w:after="0" w:line="244" w:lineRule="auto"/>
        <w:rPr>
          <w:sz w:val="20"/>
          <w:szCs w:val="20"/>
          <w:color w:val="auto"/>
        </w:rPr>
      </w:pPr>
      <w:r>
        <w:rPr>
          <w:rFonts w:ascii="Courier New" w:cs="Courier New" w:eastAsia="Courier New" w:hAnsi="Courier New"/>
          <w:sz w:val="15"/>
          <w:szCs w:val="15"/>
          <w:color w:val="auto"/>
        </w:rPr>
        <w:t>assurance that others will not develop independently substantially equivalent technology, obtain access to the Company's know-how or be issued patents which may prevent the sale of Company products or require licensing and the payment of significant fees or royalties by the Company in order for it to carry on its business. Furthermore, there can be no assurance that any such license will be available.</w:t>
      </w:r>
    </w:p>
    <w:p>
      <w:pPr>
        <w:spacing w:after="0" w:line="177"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Much of the Company's technology and many of its processes are dependent upon the knowledge, experience and skills of key scientific and technical personnel. To protect its rights to its proprietary know-how and technology, the Company requires all employees, consultants, advisors and collaborators to enter into confidentiality agreements that prohibit the disclosure of confidential information to anyone outside the Company. These agreements require disclosure and assignment to the Company of ideas, developments, discoveries and inventions made by employees, consultants, advisors and collaborators. There can be no assurance that these agreements will effectively prevent disclosure of the Company's confidential information or will provide meaningful protection for the Company's confidential information if there is unauthorized use or disclosure. Furthermore, in the absence of patent protection, the Company's business may be adversely affected by competitors who independently develop substantially equivalent technology. See "-- Corporate Collaborations," and "Risk Factors -- Dependence on Collaborative Partners" and "-- Uncertainty Relating to Patents and Proprietary Information."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relies on third party manufacturers to produce its compounds for preclinical and clinical purposes and may do so for commercial production of any compounds that are approved for marketing. The Company expects that commercial manufacturing of amprenavir will be done, at least initially, by Glaxo Wellcome. The Company has established a quality assurance program, including a set of standard operating procedures, intended to ensure that third party manufacturers under contract produce the Company's compounds in accordance with the FDA's current Good Manufacturing Practices ("cGMP") and other applicable regulations. See "-- Government Regulation."</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believes that all of its existing compounds can be produced using established manufacturing methods, primarily through standard techniques of pharmaceutical synthesis. The Company currently does not have the capacity to manufacture its potential products, is dependent on third party manufacturers or collaborative partners for the production of its compounds for preclinical research and clinical trial purposes and expects to be dependent on such manufacturers or collaborative partners for some or all commercial production of any of its compounds that are approved for marketing. The Company believes that it will be able to continue to negotiate such arrangements on commercially reasonable terms and that it will not be necessary for it to develop internal manufacturing capability in order to successfully commercialize its products. In the event that the Company is unable to obtain contract manufacturing, or obtain such manufacturing on commercially reasonable terms, it may not be able to commercialize its products as planned. The Company's objective is to maintain flexibility in deciding whether to develop internal manufacturing capabilities for certain of its potential products. The Company has limited experience in manufacturing pharmaceutical or other products or in conducting manufacturing testing programs required to obtain FDA and other regulatory approvals, and there can be no assurance that the Company will further develop such capabilities successfully.</w:t>
      </w:r>
    </w:p>
    <w:p>
      <w:pPr>
        <w:spacing w:after="0" w:line="186"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Since the Company's potential products are at an early stage of development, the Company will need to improve or modify its existing manufacturing processes and capabilities to produce commercial quantities of any drug product economically. The Company cannot quantify the time or expense that may ultimately be required to improve or modify its existing process technologies, but it is possible that such time or expense could be substantial.</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19"/>
          </w:cols>
          <w:pgMar w:left="240" w:top="638"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The production of Vertex's compounds is based in part on technology</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that the Company believes to be proprietary. Vertex may license this technology to contract manufacturers to enable them to manufacture compounds for the Company. There can be no assurance that such manufacturers will abide by any limitations or confidentiality restrictions in licenses with Vertex. In addition, any such manufacturer may develop process technology related to the manufacture of Vertex's compounds that such manufacturer owns either independently or jointly with the Company. This would increase the Company's reliance on such manufacturer or require the Company to obtain a license from such manufacturer in order to have its products manufactured. There can be no assurance that any such license would be available on terms acceptable to the Company, if at all.</w:t>
      </w:r>
    </w:p>
    <w:p>
      <w:pPr>
        <w:spacing w:after="0" w:line="180"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Some of the Company's current corporate partners have certain manufacturing rights with respect to the Company's products under development, and there can be no assurance that such corporate partners' rights will not impede the Company's ability to conduct the development programs and commercialize any resulting products in accordance with the schedules and in the manner currently contemplated by the Company. See "Risk Factors -- Manufacturing Uncertainties; Reliance on Third Party Manufacturers."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Company is engaged in pharmaceutical fields characterized by extensive research efforts, rapid technological progress and intense competition. There are many public and private companies, including pharmaceutical companies, chemical companies and biotechnology companies, engaged in developing products for the human therapeutic applications targeted by Vertex. Further, the Company believes that interest in the application of structure-based drug design and related technologies may continue and may accelerate as the technologies become more widely understood. The Company is aware of efforts by others to develop products in each of the areas in which the Company has products in development. In the field of HIV protease inhibition, Merck &amp; Co., Inc., Abbott Laboratories, Inc., Hoffmann-La Roche, and Agouron Pharmaceuticals, Inc. have HIV protease inhibitor drugs that are already on the market. The Company is also aware of other companies that have HIV protease inhibitors in development. There also are a number of competitors that have products under development for the treatment of MDR in cancer. In order for the Company to compete successfully in these areas, it must demonstrate improved safety, efficacy, ease of manufacturing and market acceptance over its competitors, who have received regulatory approval and are currently marketing. Furthermore, academic institutions, governmental agencies and other public and private research organizations are conducting research to develop technologies and products that may compete with those under development by the Company. In addition, other technologies are, or may in the future become, the basis for competing products. There can be no assurance that the Company's competitors will not succeed in developing technologies and products that are more effective than any being developed by the Company or that would render the Company's technology and products obsolete or noncompetitive. In addition, there can be no assurance that the Company's products in development will be able to compete effectively with products which are currently on the market.</w:t>
      </w:r>
    </w:p>
    <w:p>
      <w:pPr>
        <w:spacing w:after="0" w:line="192"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Many of the Company's competitors have substantially greater financial, technical and human resources than those of the Company. In addition, many of the Company's competitors have significantly greater experience than the Company in conducting preclinical testing and human clinical trials of new pharmaceutical products, and in obtaining FDA and other regulatory approvals of products. Accordingly, certain of the Company's competitors may succeed in obtaining regulatory approval for products more rapidly than the Company. If the Company obtains regulatory approval and commences commercial sales of its products, it will also compete with respect to manufacturing efficiency and sales and marketing capabilities, areas in which it currently has no experience. See "Risk Factors -- Rapid Technological Change and Competition."</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19"/>
          </w:cols>
          <w:pgMar w:left="240" w:top="81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Pharmaceutical Pricing and Reimbursement</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Company's ability to commercialize its products successfully</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will depend in part on the extent to which appropriate reimbursement levels for the cost of such products and related treatment are obtained from government authorities, private health insurers and other organizations, such as health maintenance organizations ("HMOs"). Third party payors and government authorities are continuing efforts to contain or reduce the cost of health care. For example, in certain foreign markets, pricing and/or profitability of prescription pharmaceuticals are subject to government control. There can be no assurance that similar controls will not be implemented in the United States. Also, the trend toward managed health care in the United States and the concurrent growth of organizations such as HMOs, which could control or significantly influence the purchase of health care services and products, may result in lower prices for the Company's products. The cost containment measures that health care providers and third party payors are instituting and any proposed or future health care reform measures, including any reductions in Government reimbursement programs such as Medicaid and Medicare, could affect the Company's ability to sell its products and may have a material adverse effect on the Company.</w:t>
      </w:r>
    </w:p>
    <w:p>
      <w:pPr>
        <w:spacing w:after="0" w:line="184"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success of the Company's products in the United States and other significant markets will depend, in part, upon the extent to which a consumer will be able to obtain reimbursement for the cost of such products from government health administration authorities, third-party payors and other organizations. Significant uncertainty exists as to the reimbursement status of newly approved therapeutic products. Even if a product is approved for marketing, there can be no assurance that adequate reimbursement will be available. The Company is unable to predict what additional legislation or regulation relating to the health care industry or third-party coverage and reimbursement may be enacted in the future or what effect the legislation or regulation would have on the Company's business. Failure to obtain reimbursement could have a material adverse effect on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Company's development, manufacture and potential sale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therapeutics are subject to extensive regulation by United States and foreign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authorities. In particular, pharmaceutical products are subject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rigorous preclinical and clinical testing and to other approval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requirements by the FDA in the United States under the Food, Drug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Cosmetic Act and by comparable agencies in most foreign countries.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 an initial step in the FDA regulatory approval process,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preclinical studies are typically conducted in animals to identify potential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safety problems. For certain diseases, animal models exist that are believed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predictive of human efficacy. For such diseases, a drug candidate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tested in an animal model. The results of the studies are submitted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FDA as a part of the Investigational New Drug application ("IND"), which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to comply with FDA regulations prior to commencement of human clinical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testing. For other diseases for which no appropriately predictive animal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model exists, no such results can be filed. For several of the Company's drug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candidates, no appropriately predictive model exists. As a result, no in vivo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evidence of efficacy would be available until such compounds progress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clinical trials.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Clinical trials are typically conducted in three sequential phases, although the phases may overlap. In Phase I, which frequently begins with the initial introduction of the drug into healthy human subjects prior to introduction into patients, the compound will be tested for safety, dosage tolerance, absorption, bioavailability, biodistribution, metabolism, excretion, clinical pharmacology and, if possible, for early information on effectiveness. Phase II typically involves studies in a small sample of the intended patient population to assess the efficacy of the drug for a specific indication, to determine dose tolerance and the optimal dose range and to gather additional information relating to safety and potential adverse effects. Phase III trials are undertaken to further</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19"/>
          </w:cols>
          <w:pgMar w:left="240" w:top="638" w:right="1440" w:bottom="1440" w:gutter="0" w:footer="0" w:header="0"/>
        </w:sectPr>
      </w:pPr>
    </w:p>
    <w:bookmarkStart w:id="18" w:name="page19"/>
    <w:bookmarkEnd w:id="18"/>
    <w:p>
      <w:pPr>
        <w:ind w:right="3459"/>
        <w:spacing w:after="0" w:line="244" w:lineRule="auto"/>
        <w:rPr>
          <w:sz w:val="20"/>
          <w:szCs w:val="20"/>
          <w:color w:val="auto"/>
        </w:rPr>
      </w:pPr>
      <w:r>
        <w:rPr>
          <w:rFonts w:ascii="Courier New" w:cs="Courier New" w:eastAsia="Courier New" w:hAnsi="Courier New"/>
          <w:sz w:val="15"/>
          <w:szCs w:val="15"/>
          <w:color w:val="auto"/>
        </w:rPr>
        <w:t>evaluate clinical safety and efficacy in an expanded patient population at geographically dispersed study sites, to determine the overall risk-benefit ratio of the drug and to provide an adequate basis for physician labeling.</w:t>
      </w:r>
    </w:p>
    <w:p>
      <w:pPr>
        <w:spacing w:after="0" w:line="2"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Each trial is conducted in accordance with certain standards under protocols that detail the objectives of the study, the parameters to be used to monitor safety and the efficacy criteria to be evaluated. Each protocol must be submitted to the FDA as part of the IND. Further, each clinical study must be evaluated by an independent Institutional Review Board ("IRB") at the institution at which the study will be conducted. The IRB will consider, among other things, ethical factors, the safety of human subjects and the possible liability of the institution.</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Data from preclinical testing and clinical trials are submitted to</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FDA in a New Drug Application ("NDA") for marketing approval. The process of completing clinical testing and obtaining FDA approval for a new drug is likely to take a number of years and require the expenditure of substantial resources. Preparing an NDA involves considerable data collection, verification, analysis and expense, and there can be no assurance that approval will be granted on a timely basis, if at all. The approval process is affected by a number of factors, including the severity of the disease, the availability of alternative treatments and the risks and benefits demonstrated in clinical trials. The FDA may deny an NDA if applicable regulatory criteria are not satisfied or may require additional testing or information. Among the conditions for marketing approval is the requirement that the prospective manufacturer's quality control and manufacturing procedures conform to the FDA's cGMP regulations, which must be followed at all times. In complying with standards set forth in these regulations, manufacturers must continue to expend time, monies and effort in the area of production and quality control to ensure full technical compliance. Manufacturing establishments, both foreign and domestic, also are subject to inspections by or under the authority of the FDA and by or under the authority of other federal, state or local agencies.</w:t>
      </w:r>
    </w:p>
    <w:p>
      <w:pPr>
        <w:spacing w:after="0" w:line="18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Even after initial FDA approval has been obtained, further studies, including post-marketing studies, may be required to provide additional data on safety and will be required to gain approval for the use of a product as a treatment for clinical indications other than those for which the product was initially tested. Also, the FDA will require post-marketing reporting to monitor the side effects of the drug. Results of post-marketing programs may limit or expand further marketing of the products. Further, if there are any modifications to the drug, including changes in indication, manufacturing process, labeling or manufacturing facilities, an NDA supplement may be required to be submitted to the FDA.</w:t>
      </w:r>
    </w:p>
    <w:p>
      <w:pPr>
        <w:spacing w:after="0" w:line="180"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diseases or conditions that affect more than 200,000 individuals in the United States if the sponsor does not realistically anticipate its product becoming profitable from sales in the United States. Under the Orphan Drug Act, a manufacturer of a designated orphan product can seek tax benefits, and the holder of the first FDA approval of a designated orphan product will be granted a seven-year period of marketing exclusivity for that product for the orphan indication. While the marketing exclusivity of an orphan drug would prevent other sponsors from obtaining approval of the same compound for the same indication, it would not prevent other types of drugs from being approved for the same use. The Company may apply for orphan drug status for certain indications of MDR in cancer.</w:t>
      </w:r>
    </w:p>
    <w:p>
      <w:pPr>
        <w:spacing w:after="0" w:line="35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Under the Drug Price Competition and Patent Term Restoration Act of 1984, a sponsor may be granted marketing exclusivity for a period of time following FDA approval of certain drug applications if FDA approval is received before the expiration of the patent's original term. This marketing exclusivity would prevent a third party from obtaining FDA approval for a similar or identical drug through an Abbreviated New Drug Application ("ANDA"), which is the application form typically used by manufacturers seeking approval of a generic drug. The statute also allows a patent owner to extend the term of the patent for a period equal to one-half the period of time</w:t>
      </w:r>
    </w:p>
    <w:p>
      <w:pPr>
        <w:spacing w:after="0" w:line="200" w:lineRule="exact"/>
        <w:rPr>
          <w:sz w:val="20"/>
          <w:szCs w:val="20"/>
          <w:color w:val="auto"/>
        </w:rPr>
      </w:pP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19"/>
          </w:cols>
          <w:pgMar w:left="240" w:top="639" w:right="1440" w:bottom="1440" w:gutter="0" w:footer="0" w:header="0"/>
        </w:sectPr>
      </w:pPr>
    </w:p>
    <w:bookmarkStart w:id="19" w:name="page20"/>
    <w:bookmarkEnd w:id="19"/>
    <w:p>
      <w:pPr>
        <w:ind w:right="3379"/>
        <w:spacing w:after="0" w:line="244" w:lineRule="auto"/>
        <w:rPr>
          <w:sz w:val="20"/>
          <w:szCs w:val="20"/>
          <w:color w:val="auto"/>
        </w:rPr>
      </w:pPr>
      <w:r>
        <w:rPr>
          <w:rFonts w:ascii="Courier New" w:cs="Courier New" w:eastAsia="Courier New" w:hAnsi="Courier New"/>
          <w:sz w:val="15"/>
          <w:szCs w:val="15"/>
          <w:color w:val="auto"/>
        </w:rPr>
        <w:t>elapsed between the filing of an IND and the filing of the corresponding NDA plus the period of time between the filing of the NDA and FDA approval. The Company intends to seek the benefits of this statute, but there can be no assurance that the Company will be able to obtain any such benefits.</w:t>
      </w:r>
    </w:p>
    <w:p>
      <w:pPr>
        <w:spacing w:after="0" w:line="176" w:lineRule="exact"/>
        <w:rPr>
          <w:sz w:val="20"/>
          <w:szCs w:val="20"/>
          <w:color w:val="auto"/>
        </w:rPr>
      </w:pPr>
    </w:p>
    <w:p>
      <w:pPr>
        <w:jc w:val="both"/>
        <w:ind w:right="3379" w:firstLine="271"/>
        <w:spacing w:after="0" w:line="262" w:lineRule="auto"/>
        <w:rPr>
          <w:sz w:val="20"/>
          <w:szCs w:val="20"/>
          <w:color w:val="auto"/>
        </w:rPr>
      </w:pPr>
      <w:r>
        <w:rPr>
          <w:rFonts w:ascii="Courier New" w:cs="Courier New" w:eastAsia="Courier New" w:hAnsi="Courier New"/>
          <w:sz w:val="14"/>
          <w:szCs w:val="14"/>
          <w:color w:val="auto"/>
        </w:rPr>
        <w:t>Whether or not FDA approval has been obtained, approval of a drug product by regulatory authorities in foreign countries must be obtained prior to the commencement of commercial sales of the product in such countries.</w:t>
      </w:r>
    </w:p>
    <w:p>
      <w:pPr>
        <w:spacing w:after="0" w:line="1"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Historically, the requirements governing the conduct of clinical trials and product approvals, and the time required for approval, have varied widely from country to country.</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In addition to the statutes and regulations described above, the Company is also subject to regulation under the Occupational Safety and Health Act, the Environmental Protection Act, the Toxic Substances Control Act, the Resource Conservation and Recovery Act and other present and potential future federal, state and local regulations. See "Risk Factors -- Extensive Government Regulation."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As of December 31, 1997, Vertex had 220 full-time employees, including 165 in research and development, 25 in laboratory support services and 30 in general and administrative functions, and three part-time employees. The Company's scientific staff members (79 of whom hold Ph.D. and/or M.D. degrees) have diversified experience and expertise in molecular and cell biology, biochemistry, animal pharmacology, synthetic organic chemistry, protein x-ray crystallography, protein nuclear magnetic resonance spectroscopy, computational chemistry, biophysical chemistry, medicinal chemistry, clinical pharmacology and clinical medicine. In addition, the Company's Altus subsidiary had 24 full-time employees as of December 31, 1997. The Company's employees are not covered by a collective bargaining agreement, and the Company considers its relations with its employees to be good.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EXECUTIVE OFFICERS</w:t>
            </w:r>
          </w:p>
        </w:tc>
        <w:tc>
          <w:tcPr>
            <w:tcW w:w="780" w:type="dxa"/>
            <w:vAlign w:val="bottom"/>
          </w:tcPr>
          <w:p>
            <w:pPr>
              <w:spacing w:after="0"/>
              <w:rPr>
                <w:sz w:val="14"/>
                <w:szCs w:val="14"/>
                <w:color w:val="auto"/>
              </w:rPr>
            </w:pPr>
          </w:p>
        </w:tc>
        <w:tc>
          <w:tcPr>
            <w:tcW w:w="4360" w:type="dxa"/>
            <w:vAlign w:val="bottom"/>
          </w:tcPr>
          <w:p>
            <w:pPr>
              <w:spacing w:after="0"/>
              <w:rPr>
                <w:sz w:val="14"/>
                <w:szCs w:val="14"/>
                <w:color w:val="auto"/>
              </w:rPr>
            </w:pPr>
          </w:p>
        </w:tc>
      </w:tr>
      <w:tr>
        <w:trPr>
          <w:trHeight w:val="347"/>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The names, ages and positions held by the executive</w:t>
            </w: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officers of the Company are</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780" w:type="dxa"/>
            <w:vAlign w:val="bottom"/>
          </w:tcPr>
          <w:p>
            <w:pPr>
              <w:spacing w:after="0"/>
              <w:rPr>
                <w:sz w:val="15"/>
                <w:szCs w:val="15"/>
                <w:color w:val="auto"/>
              </w:rPr>
            </w:pPr>
          </w:p>
        </w:tc>
        <w:tc>
          <w:tcPr>
            <w:tcW w:w="4360" w:type="dxa"/>
            <w:vAlign w:val="bottom"/>
          </w:tcPr>
          <w:p>
            <w:pPr>
              <w:spacing w:after="0"/>
              <w:rPr>
                <w:sz w:val="15"/>
                <w:szCs w:val="15"/>
                <w:color w:val="auto"/>
              </w:rPr>
            </w:pPr>
          </w:p>
        </w:tc>
      </w:tr>
      <w:tr>
        <w:trPr>
          <w:trHeight w:val="867"/>
        </w:trPr>
        <w:tc>
          <w:tcPr>
            <w:tcW w:w="3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Age</w:t>
            </w: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Position</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47"/>
        </w:trPr>
        <w:tc>
          <w:tcPr>
            <w:tcW w:w="3860" w:type="dxa"/>
            <w:vAlign w:val="bottom"/>
          </w:tcPr>
          <w:p>
            <w:pPr>
              <w:spacing w:after="0"/>
              <w:rPr>
                <w:sz w:val="20"/>
                <w:szCs w:val="20"/>
                <w:color w:val="auto"/>
              </w:rPr>
            </w:pPr>
            <w:r>
              <w:rPr>
                <w:rFonts w:ascii="Courier New" w:cs="Courier New" w:eastAsia="Courier New" w:hAnsi="Courier New"/>
                <w:sz w:val="15"/>
                <w:szCs w:val="15"/>
                <w:color w:val="auto"/>
              </w:rPr>
              <w:t>Joshua S. Boger, Ph.D................</w:t>
            </w: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46</w:t>
            </w: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Chairman, President and Chief Executive Officer</w:t>
            </w:r>
          </w:p>
        </w:tc>
      </w:tr>
      <w:tr>
        <w:trPr>
          <w:trHeight w:val="347"/>
        </w:trPr>
        <w:tc>
          <w:tcPr>
            <w:tcW w:w="3860" w:type="dxa"/>
            <w:vAlign w:val="bottom"/>
          </w:tcPr>
          <w:p>
            <w:pPr>
              <w:spacing w:after="0"/>
              <w:rPr>
                <w:sz w:val="20"/>
                <w:szCs w:val="20"/>
                <w:color w:val="auto"/>
              </w:rPr>
            </w:pPr>
            <w:r>
              <w:rPr>
                <w:rFonts w:ascii="Courier New" w:cs="Courier New" w:eastAsia="Courier New" w:hAnsi="Courier New"/>
                <w:sz w:val="15"/>
                <w:szCs w:val="15"/>
                <w:color w:val="auto"/>
              </w:rPr>
              <w:t>Richard H. Aldrich.....................</w:t>
            </w: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43</w:t>
            </w: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w w:val="99"/>
              </w:rPr>
              <w:t>Senior Vice President and Chief Business Officer</w:t>
            </w:r>
          </w:p>
        </w:tc>
      </w:tr>
      <w:tr>
        <w:trPr>
          <w:trHeight w:val="347"/>
        </w:trPr>
        <w:tc>
          <w:tcPr>
            <w:tcW w:w="3860" w:type="dxa"/>
            <w:vAlign w:val="bottom"/>
          </w:tcPr>
          <w:p>
            <w:pPr>
              <w:spacing w:after="0"/>
              <w:rPr>
                <w:sz w:val="20"/>
                <w:szCs w:val="20"/>
                <w:color w:val="auto"/>
              </w:rPr>
            </w:pPr>
            <w:r>
              <w:rPr>
                <w:rFonts w:ascii="Courier New" w:cs="Courier New" w:eastAsia="Courier New" w:hAnsi="Courier New"/>
                <w:sz w:val="15"/>
                <w:szCs w:val="15"/>
                <w:color w:val="auto"/>
              </w:rPr>
              <w:t>Vicki L. Sato, Ph.D.....................</w:t>
            </w: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49</w:t>
            </w: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of Research and</w:t>
            </w:r>
          </w:p>
        </w:tc>
      </w:tr>
      <w:tr>
        <w:trPr>
          <w:trHeight w:val="173"/>
        </w:trPr>
        <w:tc>
          <w:tcPr>
            <w:tcW w:w="3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Development and Chief Scientific Officer;</w:t>
            </w:r>
          </w:p>
        </w:tc>
      </w:tr>
      <w:tr>
        <w:trPr>
          <w:trHeight w:val="173"/>
        </w:trPr>
        <w:tc>
          <w:tcPr>
            <w:tcW w:w="3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Chair of the Scientific Advisory Board</w:t>
            </w:r>
          </w:p>
        </w:tc>
      </w:tr>
      <w:tr>
        <w:trPr>
          <w:trHeight w:val="347"/>
        </w:trPr>
        <w:tc>
          <w:tcPr>
            <w:tcW w:w="3860" w:type="dxa"/>
            <w:vAlign w:val="bottom"/>
          </w:tcPr>
          <w:p>
            <w:pPr>
              <w:spacing w:after="0"/>
              <w:rPr>
                <w:sz w:val="20"/>
                <w:szCs w:val="20"/>
                <w:color w:val="auto"/>
              </w:rPr>
            </w:pPr>
            <w:r>
              <w:rPr>
                <w:rFonts w:ascii="Courier New" w:cs="Courier New" w:eastAsia="Courier New" w:hAnsi="Courier New"/>
                <w:sz w:val="15"/>
                <w:szCs w:val="15"/>
                <w:color w:val="auto"/>
              </w:rPr>
              <w:t>Iain P. M. Buchanan....................</w:t>
            </w: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44</w:t>
            </w: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European Operations;</w:t>
            </w:r>
          </w:p>
        </w:tc>
      </w:tr>
      <w:tr>
        <w:trPr>
          <w:trHeight w:val="173"/>
        </w:trPr>
        <w:tc>
          <w:tcPr>
            <w:tcW w:w="3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Managing Director of Vertex Pharmaceuticals</w:t>
            </w:r>
          </w:p>
        </w:tc>
      </w:tr>
      <w:tr>
        <w:trPr>
          <w:trHeight w:val="173"/>
        </w:trPr>
        <w:tc>
          <w:tcPr>
            <w:tcW w:w="3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(Europe) Limited</w:t>
            </w:r>
          </w:p>
        </w:tc>
      </w:tr>
      <w:tr>
        <w:trPr>
          <w:trHeight w:val="347"/>
        </w:trPr>
        <w:tc>
          <w:tcPr>
            <w:tcW w:w="3860" w:type="dxa"/>
            <w:vAlign w:val="bottom"/>
          </w:tcPr>
          <w:p>
            <w:pPr>
              <w:spacing w:after="0"/>
              <w:rPr>
                <w:sz w:val="20"/>
                <w:szCs w:val="20"/>
                <w:color w:val="auto"/>
              </w:rPr>
            </w:pPr>
            <w:r>
              <w:rPr>
                <w:rFonts w:ascii="Courier New" w:cs="Courier New" w:eastAsia="Courier New" w:hAnsi="Courier New"/>
                <w:sz w:val="15"/>
                <w:szCs w:val="15"/>
                <w:color w:val="auto"/>
              </w:rPr>
              <w:t>Thomas G. Auchincloss, Jr............</w:t>
            </w: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36</w:t>
            </w: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Finance and Treasurer</w:t>
            </w:r>
          </w:p>
        </w:tc>
      </w:tr>
    </w:tbl>
    <w:p>
      <w:pPr>
        <w:spacing w:after="0" w:line="200" w:lineRule="exact"/>
        <w:rPr>
          <w:sz w:val="20"/>
          <w:szCs w:val="20"/>
          <w:color w:val="auto"/>
        </w:rPr>
      </w:pPr>
    </w:p>
    <w:p>
      <w:pPr>
        <w:spacing w:after="0" w:line="32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All executive officers are elected by the Board of Directors to serve in their respective capacities until their successors are elected and qualified or until their earlier resignation or</w:t>
      </w:r>
    </w:p>
    <w:p>
      <w:pPr>
        <w:spacing w:after="0" w:line="34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19"/>
          </w:cols>
          <w:pgMar w:left="240" w:top="638"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removal.</w:t>
      </w:r>
    </w:p>
    <w:p>
      <w:pPr>
        <w:spacing w:after="0" w:line="178"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Dr. Boger is a founder of the Company and was its President and Chief Scientific Officer from its inception in 1989 until May 1992, when he became President and Chief Executive Officer. In 1997, Dr. Boger became Chairman, President and Chief Executive Officer. Dr. Boger has been a director since the Company's inception. Prior to founding the Company in 1989, Dr. Boger held the position of Senior Director of Basic Chemistry at Merck Sharp &amp; Dohme Research Laboratories in Rahway, New Jersey, where he headed both the Department of Medicinal Chemistry of Immunology &amp; Inflammation and the Department of Biophysical Chemistry. Dr. Boger is also a Director of Millennium Pharmaceuticals, Inc. and Altus biologics, Inc. Dr. Boger holds a B.A. in chemistry and philosophy from Wesleyan University and M.S. and Ph.D. degrees in chemistry from Harvard University.</w:t>
      </w:r>
    </w:p>
    <w:p>
      <w:pPr>
        <w:spacing w:after="0" w:line="181"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Mr. Aldrich served as Vice President of Business Development of the Company from June 1989 to May 1992, when he became Vice President and Chief Business Officer. In December 1993, Mr. Aldrich was promoted to Senior Vice President and Chief Business Officer. He joined Vertex from Integrated Genetics, where he headed that company's business development group. Previously, he served as Program Executive at Biogen, Inc., where he coordinated worldwide commercial development of several biopharmaceuticals, and as Licensing Manager at Biogen S.A. in Geneva, Switzerland, where he managed European and Far Eastern licensing. Mr. Aldrich previously worked at the Boston Consulting Group, an international management consulting firm. Mr. Aldrich received a B.S. degree from Boston College and an M.B.A. from the Amos Tuck School of Business, Dartmouth College.</w:t>
      </w:r>
    </w:p>
    <w:p>
      <w:pPr>
        <w:spacing w:after="0" w:line="181"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Dr. Sato joined Vertex in September 1992 as Vice President of Research and was appointed Senior Vice President of Research and Development in September 1994. Previously, she was Vice President, Research and a member of the Scientific Board of Biogen, Inc. As research head at Biogen, she directed research programs in the fields of inflammation, immunology, AIDS therapy and cardiovascular therapy from early research into advanced product development. Dr. Sato received an A.B. in biology from Radcliffe College and A.M. and Ph.D. degrees from Harvard University. Following postdoctoral work in chemistry and immunology at the University of California at Berkeley and Stanford Medical School, she was appointed to the faculty of Harvard University in the Department of Biology. Dr. Sato is also a Director of Mitotix, Inc.</w:t>
      </w:r>
    </w:p>
    <w:p>
      <w:pPr>
        <w:spacing w:after="0" w:line="181"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Mr. Buchanan joined the Company in April 1994 from Cilag AG, a subsidiary of Johnson &amp; Johnson based in Zug, Switzerland, where he served as its Regional Licensing Director since 1987. He previously held the position of Marketing Director of Biogen, Inc. in Switzerland. Prior to Biogen, Mr. Buchanan served in Product Management at Merck Sharp &amp; Dohme (UK) Limited. Mr. Buchanan holds a B.Sc. from the University of St. Andrews, Scotland.</w:t>
      </w:r>
    </w:p>
    <w:p>
      <w:pPr>
        <w:spacing w:after="0" w:line="177"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Mr. Auchincloss joined the Company in October 1994 after serving as an investment banker at Bear, Stearns &amp; Co. Inc. since 1988, most recently as Associate Director of the Corporate Finance Department. Prior to Bear Stearns, Mr. Auchincloss was a financial analyst for PaineWebber, Inc. Mr. Auchincloss holds a B.S. from Babson College and an M.B.A. from The Wharton School, University of Pennsylvania.</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19"/>
          </w:cols>
          <w:pgMar w:left="240" w:top="638"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8"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The Company's Scientific Advisory Board consists of individuals with demonstrated expertise in various fields who advise the Company concerning long-term scientific planning, research and development. The Scientific Advisory Board also evaluates the Company's research programs, recommends personnel to the Company and advises the Company on technological matters. The members of the Scientific Advisory Board, which is chaired by Dr. Vicki L. Sato, are:</w:t>
      </w:r>
    </w:p>
    <w:p>
      <w:pPr>
        <w:sectPr>
          <w:pgSz w:w="11900" w:h="16838" w:orient="portrait"/>
          <w:cols w:equalWidth="0" w:num="1">
            <w:col w:w="10219"/>
          </w:cols>
          <w:pgMar w:left="240" w:top="6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Vicki L. Sato,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of Research and Development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Scientific Officer, Vertex Pharmaceuticals Incorporated.</w:t>
      </w:r>
    </w:p>
    <w:p>
      <w:pPr>
        <w:spacing w:after="0" w:line="177" w:lineRule="exact"/>
        <w:rPr>
          <w:sz w:val="20"/>
          <w:szCs w:val="20"/>
          <w:color w:val="auto"/>
        </w:rPr>
      </w:pPr>
    </w:p>
    <w:p>
      <w:pPr>
        <w:sectPr>
          <w:pgSz w:w="11900" w:h="16838" w:orient="portrait"/>
          <w:cols w:equalWidth="0" w:num="2">
            <w:col w:w="3060" w:space="440"/>
            <w:col w:w="6719"/>
          </w:cols>
          <w:pgMar w:left="240" w:top="638"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Steven J. Burakoff, M.D..........</w:t>
      </w:r>
    </w:p>
    <w:p>
      <w:pPr>
        <w:spacing w:after="0" w:line="20" w:lineRule="exact"/>
        <w:rPr>
          <w:sz w:val="20"/>
          <w:szCs w:val="20"/>
          <w:color w:val="auto"/>
        </w:rPr>
      </w:pPr>
      <w:r>
        <w:rPr>
          <w:sz w:val="20"/>
          <w:szCs w:val="20"/>
          <w:color w:val="auto"/>
        </w:rPr>
        <w:br w:type="column"/>
      </w:r>
    </w:p>
    <w:p>
      <w:pPr>
        <w:ind w:right="1479"/>
        <w:spacing w:after="0" w:line="244" w:lineRule="auto"/>
        <w:rPr>
          <w:sz w:val="20"/>
          <w:szCs w:val="20"/>
          <w:color w:val="auto"/>
        </w:rPr>
      </w:pPr>
      <w:r>
        <w:rPr>
          <w:rFonts w:ascii="Courier New" w:cs="Courier New" w:eastAsia="Courier New" w:hAnsi="Courier New"/>
          <w:sz w:val="15"/>
          <w:szCs w:val="15"/>
          <w:color w:val="auto"/>
        </w:rPr>
        <w:t>Chair, Department of Pediatric Oncology, Dana-Farber Cancer Institute; Professor of Pediatrics, Harvard Medical School.</w:t>
      </w:r>
    </w:p>
    <w:p>
      <w:pPr>
        <w:spacing w:after="0" w:line="175" w:lineRule="exact"/>
        <w:rPr>
          <w:sz w:val="20"/>
          <w:szCs w:val="20"/>
          <w:color w:val="auto"/>
        </w:rPr>
      </w:pPr>
    </w:p>
    <w:p>
      <w:pPr>
        <w:sectPr>
          <w:pgSz w:w="11900" w:h="16838" w:orient="portrait"/>
          <w:cols w:equalWidth="0" w:num="2">
            <w:col w:w="3060" w:space="440"/>
            <w:col w:w="6719"/>
          </w:cols>
          <w:pgMar w:left="240" w:top="638"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Eugene H. Cordes, Ph.D...........</w:t>
      </w:r>
    </w:p>
    <w:p>
      <w:pPr>
        <w:spacing w:after="0" w:line="20" w:lineRule="exact"/>
        <w:rPr>
          <w:sz w:val="20"/>
          <w:szCs w:val="20"/>
          <w:color w:val="auto"/>
        </w:rPr>
      </w:pPr>
      <w:r>
        <w:rPr>
          <w:sz w:val="20"/>
          <w:szCs w:val="20"/>
          <w:color w:val="auto"/>
        </w:rPr>
        <w:br w:type="column"/>
      </w:r>
    </w:p>
    <w:p>
      <w:pPr>
        <w:ind w:right="2199"/>
        <w:spacing w:after="0" w:line="243" w:lineRule="auto"/>
        <w:rPr>
          <w:sz w:val="20"/>
          <w:szCs w:val="20"/>
          <w:color w:val="auto"/>
        </w:rPr>
      </w:pPr>
      <w:r>
        <w:rPr>
          <w:rFonts w:ascii="Courier New" w:cs="Courier New" w:eastAsia="Courier New" w:hAnsi="Courier New"/>
          <w:sz w:val="15"/>
          <w:szCs w:val="15"/>
          <w:color w:val="auto"/>
        </w:rPr>
        <w:t>Professor of Pharmacy and Chemistry, University of Michigan at Ann Arbor.</w:t>
      </w:r>
    </w:p>
    <w:p>
      <w:pPr>
        <w:spacing w:after="0" w:line="175" w:lineRule="exact"/>
        <w:rPr>
          <w:sz w:val="20"/>
          <w:szCs w:val="20"/>
          <w:color w:val="auto"/>
        </w:rPr>
      </w:pPr>
    </w:p>
    <w:p>
      <w:pPr>
        <w:sectPr>
          <w:pgSz w:w="11900" w:h="16838" w:orient="portrait"/>
          <w:cols w:equalWidth="0" w:num="2">
            <w:col w:w="3060" w:space="440"/>
            <w:col w:w="6719"/>
          </w:cols>
          <w:pgMar w:left="240" w:top="638"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Jerome E. Groopman,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Division of Experimental Medicine,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Beth Israel Deaconess Medical Center;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Recanati Chair of Medicine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Professor of Medicine, Harvard Medical School.</w:t>
      </w:r>
    </w:p>
    <w:p>
      <w:pPr>
        <w:spacing w:after="0" w:line="177" w:lineRule="exact"/>
        <w:rPr>
          <w:sz w:val="20"/>
          <w:szCs w:val="20"/>
          <w:color w:val="auto"/>
        </w:rPr>
      </w:pPr>
    </w:p>
    <w:p>
      <w:pPr>
        <w:sectPr>
          <w:pgSz w:w="11900" w:h="16838" w:orient="portrait"/>
          <w:cols w:equalWidth="0" w:num="2">
            <w:col w:w="3060" w:space="440"/>
            <w:col w:w="6719"/>
          </w:cols>
          <w:pgMar w:left="240" w:top="638"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Stephen C. Harrison, Ph.D........</w:t>
      </w:r>
    </w:p>
    <w:p>
      <w:pPr>
        <w:spacing w:after="0" w:line="20" w:lineRule="exact"/>
        <w:rPr>
          <w:sz w:val="20"/>
          <w:szCs w:val="20"/>
          <w:color w:val="auto"/>
        </w:rPr>
      </w:pPr>
      <w:r>
        <w:rPr>
          <w:sz w:val="20"/>
          <w:szCs w:val="20"/>
          <w:color w:val="auto"/>
        </w:rPr>
        <w:br w:type="column"/>
      </w:r>
    </w:p>
    <w:p>
      <w:pPr>
        <w:ind w:right="1479"/>
        <w:spacing w:after="0" w:line="244" w:lineRule="auto"/>
        <w:rPr>
          <w:sz w:val="20"/>
          <w:szCs w:val="20"/>
          <w:color w:val="auto"/>
        </w:rPr>
      </w:pPr>
      <w:r>
        <w:rPr>
          <w:rFonts w:ascii="Courier New" w:cs="Courier New" w:eastAsia="Courier New" w:hAnsi="Courier New"/>
          <w:sz w:val="15"/>
          <w:szCs w:val="15"/>
          <w:color w:val="auto"/>
        </w:rPr>
        <w:t>Professor of Biochemistry and Molecular Biology, Harvard University; Investigator, Howard Hughes Medical Institute; Professor of Biological Chemistry and Molecular Pharmacology and Professor of Pediatrics, Harvard Medical School.</w:t>
      </w:r>
    </w:p>
    <w:p>
      <w:pPr>
        <w:spacing w:after="0" w:line="176" w:lineRule="exact"/>
        <w:rPr>
          <w:sz w:val="20"/>
          <w:szCs w:val="20"/>
          <w:color w:val="auto"/>
        </w:rPr>
      </w:pPr>
    </w:p>
    <w:p>
      <w:pPr>
        <w:sectPr>
          <w:pgSz w:w="11900" w:h="16838" w:orient="portrait"/>
          <w:cols w:equalWidth="0" w:num="2">
            <w:col w:w="3060" w:space="440"/>
            <w:col w:w="6719"/>
          </w:cols>
          <w:pgMar w:left="240" w:top="638"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Jeremy R. Knowles, D. Phil.......</w:t>
      </w:r>
    </w:p>
    <w:p>
      <w:pPr>
        <w:spacing w:after="0" w:line="20" w:lineRule="exact"/>
        <w:rPr>
          <w:sz w:val="20"/>
          <w:szCs w:val="20"/>
          <w:color w:val="auto"/>
        </w:rPr>
      </w:pPr>
      <w:r>
        <w:rPr>
          <w:sz w:val="20"/>
          <w:szCs w:val="20"/>
          <w:color w:val="auto"/>
        </w:rPr>
        <w:br w:type="column"/>
      </w:r>
    </w:p>
    <w:p>
      <w:pPr>
        <w:ind w:right="1939"/>
        <w:spacing w:after="0" w:line="244" w:lineRule="auto"/>
        <w:rPr>
          <w:sz w:val="20"/>
          <w:szCs w:val="20"/>
          <w:color w:val="auto"/>
        </w:rPr>
      </w:pPr>
      <w:r>
        <w:rPr>
          <w:rFonts w:ascii="Courier New" w:cs="Courier New" w:eastAsia="Courier New" w:hAnsi="Courier New"/>
          <w:sz w:val="15"/>
          <w:szCs w:val="15"/>
          <w:color w:val="auto"/>
        </w:rPr>
        <w:t>Dean of the Faculty of Arts and Sciences, Harvard University; Amory Houghten Professor of Chemistry and Biochemistry, Harvard University.</w:t>
      </w:r>
    </w:p>
    <w:p>
      <w:pPr>
        <w:spacing w:after="0" w:line="175" w:lineRule="exact"/>
        <w:rPr>
          <w:sz w:val="20"/>
          <w:szCs w:val="20"/>
          <w:color w:val="auto"/>
        </w:rPr>
      </w:pPr>
    </w:p>
    <w:p>
      <w:pPr>
        <w:sectPr>
          <w:pgSz w:w="11900" w:h="16838" w:orient="portrait"/>
          <w:cols w:equalWidth="0" w:num="2">
            <w:col w:w="3060" w:space="440"/>
            <w:col w:w="6719"/>
          </w:cols>
          <w:pgMar w:left="240" w:top="638"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Robert T. Schooley,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Tim Gill Professor of Medicine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Head of Infectious Disease, University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 Health Sciences Center.</w:t>
      </w:r>
    </w:p>
    <w:p>
      <w:pPr>
        <w:spacing w:after="0" w:line="200" w:lineRule="exact"/>
        <w:rPr>
          <w:sz w:val="20"/>
          <w:szCs w:val="20"/>
          <w:color w:val="auto"/>
        </w:rPr>
      </w:pPr>
    </w:p>
    <w:p>
      <w:pPr>
        <w:sectPr>
          <w:pgSz w:w="11900" w:h="16838" w:orient="portrait"/>
          <w:cols w:equalWidth="0" w:num="2">
            <w:col w:w="3060" w:space="440"/>
            <w:col w:w="6719"/>
          </w:cols>
          <w:pgMar w:left="240" w:top="638"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Other than Dr. Sato, none of the members of the Scientific Advisory Board is employed by the Company, and members may have other commitments to or consulting or advisory contracts with their employers or other entities that may conflict or compete with their obligations to the Company. Accordingly, such persons are expected to devote only a small portion of their time to the Company. In addition to its Scientific Advisory Board, Vertex has established consulting relationships with a number of scientific and medical experts who advise the Company on a project-specific basis.</w:t>
      </w:r>
    </w:p>
    <w:p>
      <w:pPr>
        <w:spacing w:after="0" w:line="35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22</w:t>
      </w:r>
    </w:p>
    <w:p>
      <w:pPr>
        <w:sectPr>
          <w:pgSz w:w="11900" w:h="16838" w:orient="portrait"/>
          <w:cols w:equalWidth="0" w:num="1">
            <w:col w:w="10219"/>
          </w:cols>
          <w:pgMar w:left="240" w:top="638" w:right="1440" w:bottom="1440" w:gutter="0" w:footer="0" w:header="0"/>
          <w:type w:val="continuous"/>
        </w:sectPr>
      </w:pPr>
    </w:p>
    <w:bookmarkStart w:id="22" w:name="page23"/>
    <w:bookmarkEnd w:id="22"/>
    <w:p>
      <w:pPr>
        <w:jc w:val="center"/>
        <w:ind w:right="3019"/>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379" w:firstLine="361"/>
        <w:spacing w:after="0" w:line="243" w:lineRule="auto"/>
        <w:rPr>
          <w:sz w:val="20"/>
          <w:szCs w:val="20"/>
          <w:color w:val="auto"/>
        </w:rPr>
      </w:pPr>
      <w:r>
        <w:rPr>
          <w:rFonts w:ascii="Courier New" w:cs="Courier New" w:eastAsia="Courier New" w:hAnsi="Courier New"/>
          <w:sz w:val="15"/>
          <w:szCs w:val="15"/>
          <w:color w:val="auto"/>
        </w:rPr>
        <w:t>The following risk factors should be considered carefully in addition to the other information contained in this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Early Stage of Development; Technological Uncertainty</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Company was founded in 1989 and has not generated any pharmaceutical product sales. To achieve profitable operations, the Company, alone or with others, must successfully develop, clinically test, market and sell its products. Any products resulting from the Company's product development efforts are not expected to be available for sale in the near future, if at all.</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development of new pharmaceutical products is highly uncertain and subject to a number of significant risks. Potential products that appear to be promising at early stages of development may not reach the market for a number of reasons. Such reasons include the possibilities that the potential products are found ineffective or cause harmful side effects during preclinical testing or clinical trials, fail to receive necessary regulatory approvals, are difficult or uneconomical to manufacture on a large scale, fail to achieve market acceptance or are precluded from commercialization by proprietary rights of third parties.</w:t>
      </w:r>
    </w:p>
    <w:p>
      <w:pPr>
        <w:spacing w:after="0" w:line="179"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products that the Company is pursuing will require extensive additional development, testing and investment, as well as regulatory approvals, prior to commercialization. No assurance can be given that the Company's product development efforts will be successful, that required regulatory approvals will be obtained or that any products, if introduced, will be commercially successful. Further, the Company has no sales and marketing capabilities, and even if the Company's products in development are approved for marketing, there can be no assurance that the Company will be able to develop such capabilities. In addition, only a limited number of drugs developed through structure-based drug design have completed clinical trials successfully, been approved by the FDA and been marketed. One of the Company's potential products, amprenavir, is an HIV protease inhibitor which is currently in Phase III clinical trials. To date, HIV has been shown to develop resistance to antiviral drugs, including currently marketed HIV protease inhibitors. There can be no assurance that such disease resistance or other factors will not limit the efficacy of the Company's HIV protease inhibitor. The clinical efficacy of the suppression of mechanisms of action of MDR in chemotherapy in the treatment of cancer is unproven, and, therefore, there can be no assurance that the Company's MDR compounds in development will improve the efficacy of chemotherapy. There also can be no assurance that drug candidates being pursued by the Company will be safe and efficacious, will receive regulatory approvals or will result in commercially successful products. If any of the Company's development programs is not successfully completed, required regulatory approvals are not obtained, or products for which approvals are obtained are not commercially successful, the Company's business, financial condition and results of operations would be materially adversely affected. See "Business -- Product Development and Research Programs."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Uncertainties Related to Clinical Trials</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Before obtaining required regulatory approvals for the commercial sale of products under development, the Company must demonstrate through preclinical studies and clinical trials that such products are safe and efficacious for use in each target indication. The results of preclinical and initial clinical trials of products under development by the Company are not necessarily predictive of results that will be obtained from large-scale clinical testing, and there can be no assurance that clinical trials of products under development will demonstrate the safety and efficacy of such products or will result in a marketable product. The safety and efficacy of a therapeutic product under development by the Company must be supported by extensive data from clinical trials. A number of companies have suffered significant setbacks in advanced clinical trials, despite promising results in earlier trials. The Company currently has four product candidates undergoing</w:t>
      </w:r>
    </w:p>
    <w:p>
      <w:pPr>
        <w:spacing w:after="0" w:line="35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23</w:t>
      </w:r>
    </w:p>
    <w:p>
      <w:pPr>
        <w:sectPr>
          <w:pgSz w:w="11900" w:h="16838" w:orient="portrait"/>
          <w:cols w:equalWidth="0" w:num="1">
            <w:col w:w="10219"/>
          </w:cols>
          <w:pgMar w:left="240" w:top="638" w:right="1440" w:bottom="1440" w:gutter="0" w:footer="0" w:header="0"/>
        </w:sectPr>
      </w:pPr>
    </w:p>
    <w:bookmarkStart w:id="23" w:name="page24"/>
    <w:bookmarkEnd w:id="23"/>
    <w:p>
      <w:pPr>
        <w:ind w:right="3279"/>
        <w:spacing w:after="0" w:line="244" w:lineRule="auto"/>
        <w:rPr>
          <w:sz w:val="20"/>
          <w:szCs w:val="20"/>
          <w:color w:val="auto"/>
        </w:rPr>
      </w:pPr>
      <w:r>
        <w:rPr>
          <w:rFonts w:ascii="Courier New" w:cs="Courier New" w:eastAsia="Courier New" w:hAnsi="Courier New"/>
          <w:sz w:val="15"/>
          <w:szCs w:val="15"/>
          <w:color w:val="auto"/>
        </w:rPr>
        <w:t>clinical trials, amprenavir, Incel, VX-853 and VX-497. In addition, the Company has a number of products undergoing preclinical development. The data observed to date is preliminary, and there can be no assurance that the results of ongoing and future trials will be consistent with results observed in earlier clinical trials or will be sufficient for approval. The failure to demonstrate adequately the safety and efficacy of a therapeutic drug under development could delay or prevent regulatory approval of the product and could have a material adverse effect on the Company. In addition, the FDA may require additional clinical trials, which could result in increased costs and significant development delays.</w:t>
      </w:r>
    </w:p>
    <w:p>
      <w:pPr>
        <w:spacing w:after="0" w:line="180"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The administration alone or in combination with other drugs of any product developed by the Company may produce undesirable side effects in humans. The occurrence of such side effects could interrupt, delay or halt clinical trials of such products and could ultimately prevent their approval by the FDA or foreign regulatory authorities for any or all targeted indications. The Company or the FDA may suspend or terminate clinical trials at any time if it is believed that the trial participants are being exposed to unacceptable health risks. Even after approval by the FDA and foreign regulatory authorities, products may later exhibit adverse effects that discourage widespread use or necessitate their withdrawal from the market. There can be no assurance that any products under development by the Company will be safe when administered to patients.</w:t>
      </w:r>
    </w:p>
    <w:p>
      <w:pPr>
        <w:spacing w:after="0" w:line="181"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The rate of completion of clinical trials of the Company's products is dependent upon, among other factors, the rate of patient accrual. Patient accrual is a function of many factors, including the size of the patient population, the proximity of patients to clinical sites, the eligibility criteria for the trial and the availability of clinical trial material. Delays in planned patient enrollment in clinical trials may result in increased costs, program delays or both, which could have a material adverse effect on the Company. There can be no assurance that if clinical trials are completed the Company will be able to submit an NDA or that any such application will be reviewed and approved by the FDA in a timely manner, if at all. See "Business -- Government Regulation."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Collaborative Partners</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 is engaged in research and development collaborations with Glaxo Wellcome, Kissei, BioChem, HMR, and Lilly, pursuant to which these parties have agreed to fund portions of the Company's research and development programs and/or to conduct certain research and development relating to specified products, in exchange for certain technology, product and marketing rights relating to those products. Some of the Company's current corporate partners have certain rights to control the planning and execution of product development and clinical programs, and there can be no assurance that such corporate partners' rights to control aspects of such programs will not impede the Company's ability to conduct such programs in accordance with the schedules and in the manner currently contemplated by the Company for such programs.</w:t>
      </w:r>
    </w:p>
    <w:p>
      <w:pPr>
        <w:spacing w:after="0" w:line="181"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If any of the Company's corporate collaborators were to terminate its relationship with Vertex, it could have a material adverse effect on the Company's ability to fund related and other programs and to develop, manufacture and market any products that may have resulted from such collaboration. There can be no assurance that these collaborations will be completed or successful, or that the collaborative partners will not pursue alternative means of developing treatments for the diseases targeted by their collaborative programs with the Company. Glaxo Wellcome has the right to terminate the research collaboration under its agreement with the Company without cause at any time upon twelve months' notice and has the right to terminate the license arrangements under its agreement with the Company without cause upon twelve months' notice, provided such notice is not given before the research collaboration has been terminated. Termination by Glaxo Wellcome of the research collaboration under its agreement with the Company will relieve Glaxo Wellcome of its obligation to make further research support payments under the agreement. Termination by Glaxo Wellcome of the license arrangements under the agreement will relieve it of its obligation to make further commercialization and development milestone and royalty payments and will end any</w:t>
      </w:r>
    </w:p>
    <w:p>
      <w:pPr>
        <w:spacing w:after="0" w:line="35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24</w:t>
      </w:r>
    </w:p>
    <w:p>
      <w:pPr>
        <w:sectPr>
          <w:pgSz w:w="11900" w:h="16838" w:orient="portrait"/>
          <w:cols w:equalWidth="0" w:num="1">
            <w:col w:w="10219"/>
          </w:cols>
          <w:pgMar w:left="240" w:top="638" w:right="1440" w:bottom="1440" w:gutter="0" w:footer="0" w:header="0"/>
        </w:sectPr>
      </w:pPr>
    </w:p>
    <w:bookmarkStart w:id="24" w:name="page25"/>
    <w:bookmarkEnd w:id="24"/>
    <w:p>
      <w:pPr>
        <w:ind w:right="3279"/>
        <w:spacing w:after="0" w:line="244" w:lineRule="auto"/>
        <w:rPr>
          <w:sz w:val="20"/>
          <w:szCs w:val="20"/>
          <w:color w:val="auto"/>
        </w:rPr>
      </w:pPr>
      <w:r>
        <w:rPr>
          <w:rFonts w:ascii="Courier New" w:cs="Courier New" w:eastAsia="Courier New" w:hAnsi="Courier New"/>
          <w:sz w:val="15"/>
          <w:szCs w:val="15"/>
          <w:color w:val="auto"/>
        </w:rPr>
        <w:t>license granted to Glaxo Wellcome by Vertex. HMR has the right to terminate its agreement with the Company without cause upon twelve months' notice at any time. Termination by HMR will relieve HMR of any further payment obligations under its agreement with the Company. In addition, for a period of one year after any such termination, HMR retains the right to select one or more compounds for development and to license such compound or compounds from Vertex, provided HMR resumes research funding and commercialization milestone payments and makes all such payments that would otherwise have been due but for such termination. Lilly has the right to terminate its agreement with the Company without cause upon six months' notice at any time after June 1999. Termination will relieve Lilly of any further payment obligations under its agreement with the Company and will also terminate any license granted to Lilly by Vertex. BioChem has the right to terminate its agreement with the Company without cause upon six month's notice. Termination will relieve BioChem of any further payment obligations under its agreement with the Company and will terminate any license granted to BioChem thereunder. Kissei has the right to terminate the p38 Map Kinase agreement without cause upon six months' notice after June 1998. Termination will relieve Kissei of any further payment obligations under that agreement with the Company and will also terminate any license granted to Kissei by Vertex thereunder.</w:t>
      </w:r>
    </w:p>
    <w:p>
      <w:pPr>
        <w:spacing w:after="0" w:line="186" w:lineRule="exact"/>
        <w:rPr>
          <w:sz w:val="20"/>
          <w:szCs w:val="20"/>
          <w:color w:val="auto"/>
        </w:rPr>
      </w:pPr>
    </w:p>
    <w:p>
      <w:pPr>
        <w:ind w:right="3199" w:firstLine="361"/>
        <w:spacing w:after="0" w:line="263" w:lineRule="auto"/>
        <w:rPr>
          <w:sz w:val="20"/>
          <w:szCs w:val="20"/>
          <w:color w:val="auto"/>
        </w:rPr>
      </w:pPr>
      <w:r>
        <w:rPr>
          <w:rFonts w:ascii="Courier New" w:cs="Courier New" w:eastAsia="Courier New" w:hAnsi="Courier New"/>
          <w:sz w:val="14"/>
          <w:szCs w:val="14"/>
          <w:color w:val="auto"/>
        </w:rPr>
        <w:t>The Company may seek additional collaborative arrangements to develop and commercialize its products in the future. There can be no assurance that the Company will be able to establish acceptable collaborative arrangements in the future or that such collaborative arrangements will be successful. In addition, there can be no assurance that collaborative partners will not pursue alternative technologies or develop alternative compounds either on their own or in collaboration with others, including the Company's competitors, as a means for developing treatments for the diseases targeted by their collaborative programs with the Company or that disagreements over rights to technology, other proprietary information or the course of the research and development program will not occur. Such events could result in the delay or cancellation of programs or product introduction even if regulatory approvals are obtained. See "Business -- Corporate Collaborations."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Rapid Technological Change and Competition</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 is engaged in pharmaceutical fields characterized by extensive research efforts, rapid technological progress and intense competition. There are many public and private companies, including pharmaceutical companies, chemical companies and biotechnology companies, engaged in developing products for the human therapeutic applications targeted by Vertex. Further, the Company believes that interest in the application of structure-based drug design and related technologies may continue and may accelerate as the technologies become more widely understood. The Company is aware of efforts by others to develop products in each of the areas in which the Company has products in development. For example, Merck &amp; Co., Inc., Abbott Laboratories, Inc., Hoffmann-La Roche, and Agouron Pharmaceuticals, Inc. have HIV protease inhibitors already on the market. The Company is also aware of other companies that have HIV protease inhibitors in development. There also are a number of competitors that have products under development for the treatment of MDR in cancer. In order for the Company to compete successfully in these areas, it must demonstrate improved safety, efficacy, ease of manufacturing and market acceptance over its competitors, who have received regulatory approval and are currently marketing. Furthermore, academic institutions, governmental agencies and other public and private research organizations are conducting research to develop technologies and products that may compete with those under development by the Company. In addition, other technologies are, or may in the future become, the basis for competing products. There can be no assurance that the Company's competitors will not succeed in developing technologies and products that are more effective than any being developed by the Company or that would render the Company's technology and products obsolete or noncompetitive. In addition, there can be no assurance that the Company's products in development will be able to compete effectively with products which are currently on the market.</w:t>
      </w:r>
    </w:p>
    <w:p>
      <w:pPr>
        <w:spacing w:after="0" w:line="19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25</w:t>
      </w:r>
    </w:p>
    <w:p>
      <w:pPr>
        <w:sectPr>
          <w:pgSz w:w="11900" w:h="16838" w:orient="portrait"/>
          <w:cols w:equalWidth="0" w:num="1">
            <w:col w:w="10219"/>
          </w:cols>
          <w:pgMar w:left="240" w:top="638" w:right="1440" w:bottom="1440" w:gutter="0" w:footer="0" w:header="0"/>
        </w:sectPr>
      </w:pPr>
    </w:p>
    <w:bookmarkStart w:id="25" w:name="page26"/>
    <w:bookmarkEnd w:id="25"/>
    <w:p>
      <w:pPr>
        <w:ind w:right="3279" w:firstLine="361"/>
        <w:spacing w:after="0" w:line="244" w:lineRule="auto"/>
        <w:rPr>
          <w:sz w:val="20"/>
          <w:szCs w:val="20"/>
          <w:color w:val="auto"/>
        </w:rPr>
      </w:pPr>
      <w:r>
        <w:rPr>
          <w:rFonts w:ascii="Courier New" w:cs="Courier New" w:eastAsia="Courier New" w:hAnsi="Courier New"/>
          <w:sz w:val="15"/>
          <w:szCs w:val="15"/>
          <w:color w:val="auto"/>
        </w:rPr>
        <w:t>Many of the Company's competitors have substantially greater financial, technical and human resources than those of the Company. In addition, many of the Company's competitors have significantly greater experience than the Company in conducting preclinical testing and human clinical trials of new pharmaceutical products, and in obtaining FDA and other regulatory approvals of products. Accordingly, certain of the Company's competitors may succeed in obtaining regulatory approval for products more rapidly than the Company. If the Company obtains regulatory approval and commences commercial sales of its products, it will also compete with respect to manufacturing efficiency and sales and marketing capabilities, areas in which it currently has no experience. See "Business -- Competition."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Uncertainties; Reliance on Third Party Manufacturers</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Company's ability to conduct clinical trials and its ability to commercialize its potential products will depend, in part, on its ability to manufacture its products on a large scale, either directly or through third parties, at a competitive cost and in accordance with FDA and other regulatory requirements. Furthermore, for all of the Company's drugs in development, completion of clinical trials and submission of an NDA will be subject to the establishment of a commercial formulation and manufacturing process. As manufacturing process development and formulation activities are ongoing throughout the development process, the Company or its collaborators may encounter difficulties at any time that could result in delays in clinical trials, regulatory submissions and commercialization of its products, or cause negative financial and competitive consequences. Manufacturing process development and formulation activities for VX-478 by the Company and Glaxo Wellcome are continuing while clinical trials are underway. There can be no assurance that such activities will be completed in a timely and successful manner, if at all. The failure to complete such activities in a timely and successful manner could have a material adverse effect on the business, financial condition or results of operations of the Company.</w:t>
      </w:r>
    </w:p>
    <w:p>
      <w:pPr>
        <w:spacing w:after="0" w:line="185"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Company currently does not have the capacity to manufacture its potential products and is dependent on third party manufacturers or collaborative partners for the production of its compounds for preclinical research and clinical trial purposes. The Company expects to be dependent on such manufacturers or collaborative partners for some or all commercial production of any of its compounds that are approved for marketing. In the event that the Company is unable to obtain contract manufacturing, or obtain such manufacturing on commercially reasonable terms, it may not be able to conduct or complete clinical trials or, if FDA approval is obtained, commercialize its products as planned. The Company has no experience in manufacturing pharmaceutical or other products or in conducting manufacturing testing programs required to obtain FDA and other regulatory approvals, and there can be no assurance that the Company will successfully develop such capabilities.</w:t>
      </w:r>
    </w:p>
    <w:p>
      <w:pPr>
        <w:spacing w:after="0" w:line="342"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Some of the Company's current corporate partners have certain manufacturing rights with respect to the Company's products under development, and there can be no assurance that such corporate partners' manufacturing rights will not impede the Company's ability to conduct the development programs and commercialize any resulting products in accordance with the schedules and in the manner currently contemplated by the Company. See "Business -- Manufacturing."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Extensive Government Regulation; Uncertainty of Product Clearance and Approval</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FDA and comparable agencies in foreign countries impose substantial requirements on the introduction of therapeutic pharmaceutical products through lengthy and detailed laboratory and clinical testing procedures, sampling activities and other costly and time-consuming procedures. Satisfaction of these requirements typically takes several years or longer and may vary substantially based upon the type, complexity and novelty of the pharmaceutical product. The Company has had</w:t>
      </w: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10219"/>
          </w:cols>
          <w:pgMar w:left="240" w:top="638" w:right="1440" w:bottom="1440" w:gutter="0" w:footer="0" w:header="0"/>
        </w:sectPr>
      </w:pPr>
    </w:p>
    <w:bookmarkStart w:id="26" w:name="page27"/>
    <w:bookmarkEnd w:id="26"/>
    <w:p>
      <w:pPr>
        <w:ind w:right="3379"/>
        <w:spacing w:after="0" w:line="244" w:lineRule="auto"/>
        <w:rPr>
          <w:sz w:val="20"/>
          <w:szCs w:val="20"/>
          <w:color w:val="auto"/>
        </w:rPr>
      </w:pPr>
      <w:r>
        <w:rPr>
          <w:rFonts w:ascii="Courier New" w:cs="Courier New" w:eastAsia="Courier New" w:hAnsi="Courier New"/>
          <w:sz w:val="15"/>
          <w:szCs w:val="15"/>
          <w:color w:val="auto"/>
        </w:rPr>
        <w:t>only limited experience in conducting preclinical testing and human clinical trials. In addition, the Company has not received FDA or other regulatory approvals for any of its product candidates. Data obtained from preclinical and clinical activities are susceptible to varying interpretations, which could delay, limit or prevent regulatory approval. In addition, delays or rejections may be encountered based on changes in, or additions to, regulatory policies for drug approval during the period of product development and regulatory review.</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effect of government regulation may be to delay or prevent the commencement of clinical trials or marketing of Company products, if any are developed and submitted for approval, for a considerable period of time, to impose costly procedures upon the Company's activities and to provide a competitive advantage to larger companies or companies more experienced in regulatory affairs that compete with the Company. There can be no assurance that FDA or other regulatory approval for clinical trials or marketing of any products developed by the Company will be granted on a timely basis or at all. Delay in obtaining or failure to obtain such approvals would adversely affect the marketing of the Company's products and the Company's liquidity and capital resources. Moreover, even if approval is granted, such approval may entail limitations on the indicated uses for which a compound may be marketed. Even if such regulatory approval is obtained, a marketed drug or compound and its manufacturer are subject to continual review, and later discovery of previously unknown problems with a product or manufacturer may result in restrictions on such product or manufacturer, including withdrawal of the product from the market. Failure to comply with applicable regulatory requirements can, among other things, result in fines, suspensions of regulatory approvals, product recalls, operating restrictions and criminal prosecution. Further, additional government regulation may be established which could prevent or delay regulatory approval of the Company's products.</w:t>
      </w:r>
    </w:p>
    <w:p>
      <w:pPr>
        <w:spacing w:after="0" w:line="187"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 may apply for orphan drug status for certain indications of MDR in cancer. Orphan drug status may, under present regulations, entitle the Company to certain marketing exclusivity and tax benefits. While the marketing exclusivity of an orphan drug would prevent other sponsors from obtaining approval of the same compound for the same indication, it would not prevent chemically distinct drugs from being approved for the same use. There can be no assurance that the Company will receive FDA orphan drug status for any of its compounds under development for which the Company seeks that status. Moreover, there can be no assurance that the scope of protection or the level of exclusivity that is currently afforded by orphan drug status will remain in effect in the future. See "Business -- Government Regulation."</w:t>
      </w:r>
    </w:p>
    <w:p>
      <w:pPr>
        <w:spacing w:after="0" w:line="180"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Company's research and development activities involve the controlled use of hazardous materials, chemicals and various radioactive compounds. The risk of accidental contamination or injury from these materials cannot be completely eliminated. In the event of an accident, the Company could be held liable for any damages or fines that result, and the liability could have a material adverse effect on the Company's business, financial condition and results of operations. There can be no assurance that statutes or regulations, applicable to the Company's business which impose substantial additional costs or otherwise materially adversely affect the Company's operations, will not be adopted.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Uncertainty Related to Patents and Proprietary Information</w:t>
      </w:r>
    </w:p>
    <w:p>
      <w:pPr>
        <w:spacing w:after="0" w:line="178"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The Company's success will depend, in part, on its ability to obtain United States and foreign patent protection for its products and their uses, to preserve its trade secrets and to operate without infringing the proprietary rights of third parties. Because of the substantial length of time and expense associated with bringing new products through development and regulatory approval to the marketplace, the pharmaceutical industry places considerable importance on obtaining patents and maintaining trade secret protection for new technologies, products and processes. Patent protection may not be available, however, for compounds for use in certain medical indications, without a demonstration of how to use the compounds and proof in clinical trials that such</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27</w:t>
      </w:r>
    </w:p>
    <w:p>
      <w:pPr>
        <w:sectPr>
          <w:pgSz w:w="11900" w:h="16838" w:orient="portrait"/>
          <w:cols w:equalWidth="0" w:num="1">
            <w:col w:w="10219"/>
          </w:cols>
          <w:pgMar w:left="240" w:top="639" w:right="1440" w:bottom="1440" w:gutter="0" w:footer="0" w:header="0"/>
        </w:sectPr>
      </w:pPr>
    </w:p>
    <w:bookmarkStart w:id="27" w:name="page28"/>
    <w:bookmarkEnd w:id="27"/>
    <w:p>
      <w:pPr>
        <w:ind w:right="3459"/>
        <w:spacing w:after="0" w:line="244" w:lineRule="auto"/>
        <w:rPr>
          <w:sz w:val="20"/>
          <w:szCs w:val="20"/>
          <w:color w:val="auto"/>
        </w:rPr>
      </w:pPr>
      <w:r>
        <w:rPr>
          <w:rFonts w:ascii="Courier New" w:cs="Courier New" w:eastAsia="Courier New" w:hAnsi="Courier New"/>
          <w:sz w:val="15"/>
          <w:szCs w:val="15"/>
          <w:color w:val="auto"/>
        </w:rPr>
        <w:t>compounds may be useful for such target indications. As of March 13, 1998, the Company had a total of 27 United States patents and 75 pending United States patent applications. As of that date, the Company also had a non-exclusive, worldwide license under certain Searle patent applications claiming HIV protease inhibitors. The Company also has been granted an exclusive license under four United States patents, one of which has been subject to a reissue application and was recently allowed. The Company also has filed foreign counterparts to some of its United States patents and patent applications. There can be no assurance that patents will issue from any of the Company's pending or future patent applications. There can be no assurance that any issued, licensed, pending or future patent will not be infringed by the products of others or provide sufficient protection to exclude others from the Company's present or future technology or products. The Company has in the past licensed and may in the future license patent rights from others. There can be no assurance, however, that such licenses will provide adequate protection for the Company's products.</w:t>
      </w:r>
    </w:p>
    <w:p>
      <w:pPr>
        <w:spacing w:after="0" w:line="183"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Issued United States patents are presumed valid under United States patent law. No assurance can be given, however, that one or more of the Company's issued patents will not be declared invalid by a court. Legal standards relating to the validity of patents and the proper scope of their claims in the biopharmaceutical field are still evolving, and there is no consistent law or policy regarding the valid breadth of claims in biopharmaceutical patents or the effect of prior art on them. Furthermore, no assurance can be given as to the degree of protection any patents will afford to the Company's technology or as to the Company's ability to avoid infringing the claims of the patents held by third parties. Further, there can be no assurance that a license to such patents would be available on terms acceptable to the Company, if at all. There also can be no assurance that any patents issued to or licensed by the Company will not be infringed by others.</w:t>
      </w:r>
    </w:p>
    <w:p>
      <w:pPr>
        <w:spacing w:after="0" w:line="182"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In addition to being a potential party to patent infringement litigation, the Company could become involved in interference proceedings declared by the United States Patent and Trademark Office. Defense and prosecution of patent claims, as well as participation in interference proceedings, can be expensive and time-consuming, even in those instances in which the outcome is favorable to the Company. If the outcome of any such litigation or proceeding were adverse, the Company could be subject to significant liabilities to third parties, could be required to obtain licenses from third parties or could be required to cease sales of the affected products, any of which could have a material adverse effect on the Company.</w:t>
      </w:r>
    </w:p>
    <w:p>
      <w:pPr>
        <w:spacing w:after="0" w:line="180"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In addition, there can be no assurance that others will not develop independently substantially equivalent technology, obtain access to the Company's know-how or be issued patents which may prevent the sale of the Company's products or require licensing and the payment of significant fees or royalties by the Company in order for it to carry on its business. Furthermore, there can be no assurance that any such license will be available.</w:t>
      </w:r>
    </w:p>
    <w:p>
      <w:pPr>
        <w:spacing w:after="0" w:line="178" w:lineRule="exact"/>
        <w:rPr>
          <w:sz w:val="20"/>
          <w:szCs w:val="20"/>
          <w:color w:val="auto"/>
        </w:rPr>
      </w:pPr>
    </w:p>
    <w:p>
      <w:pPr>
        <w:ind w:right="3639" w:firstLine="361"/>
        <w:spacing w:after="0" w:line="244" w:lineRule="auto"/>
        <w:rPr>
          <w:sz w:val="20"/>
          <w:szCs w:val="20"/>
          <w:color w:val="auto"/>
        </w:rPr>
      </w:pPr>
      <w:r>
        <w:rPr>
          <w:rFonts w:ascii="Courier New" w:cs="Courier New" w:eastAsia="Courier New" w:hAnsi="Courier New"/>
          <w:sz w:val="15"/>
          <w:szCs w:val="15"/>
          <w:color w:val="auto"/>
        </w:rPr>
        <w:t>The Company's management and scientific personnel have been recruited from other pharmaceutical and biotechnology companies and academic institutions. In many cases these individuals are conducting research in similar areas with which they were involved prior to joining Vertex. As a result, the Company, as well as these individuals, could be subject to allegations of violation of trade secrets and similar claims. See "-- Dependence on Collaborative Partners" and "Business -- Corporate Collaborations" and "-- Patents and Proprietary Information."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Capital Needs; Uncertainty of Additional Funding</w:t>
      </w:r>
    </w:p>
    <w:p>
      <w:pPr>
        <w:spacing w:after="0" w:line="178"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The Company expects to incur substantially increased research and development and related supporting expenses as it designs and develops existing and future compounds and undertakes clinical trials of potential drugs resulting from such compounds. The Company also expects to incur substantial administrative and commercialization expenditures in the future and substantial</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28</w:t>
      </w:r>
    </w:p>
    <w:p>
      <w:pPr>
        <w:sectPr>
          <w:pgSz w:w="11900" w:h="16838" w:orient="portrait"/>
          <w:cols w:equalWidth="0" w:num="1">
            <w:col w:w="10219"/>
          </w:cols>
          <w:pgMar w:left="240" w:top="638" w:right="1440" w:bottom="1440" w:gutter="0" w:footer="0" w:header="0"/>
        </w:sectPr>
      </w:pPr>
    </w:p>
    <w:bookmarkStart w:id="28" w:name="page29"/>
    <w:bookmarkEnd w:id="28"/>
    <w:p>
      <w:pPr>
        <w:ind w:right="3279"/>
        <w:spacing w:after="0" w:line="244" w:lineRule="auto"/>
        <w:rPr>
          <w:sz w:val="20"/>
          <w:szCs w:val="20"/>
          <w:color w:val="auto"/>
        </w:rPr>
      </w:pPr>
      <w:r>
        <w:rPr>
          <w:rFonts w:ascii="Courier New" w:cs="Courier New" w:eastAsia="Courier New" w:hAnsi="Courier New"/>
          <w:sz w:val="15"/>
          <w:szCs w:val="15"/>
          <w:color w:val="auto"/>
        </w:rPr>
        <w:t>expenses related to the filing, prosecution, defense and enforcement of patent and other intellectual property claims. The Company's future capital requirements will depend on many factors, including the progress of its research and development programs, the scope and results of preclinical studies and clinical trials, the cost, timing and outcome of regulatory reviews, the costs involved in filing, prosecuting and enforcing patent claims, competing technological and market developments, the establishment of additional collaborative arrangements and the cost of manufacturing facilities and of commercialization activities and arrangements. The Company anticipates that it will finance these substantial cash needs with its existing cash reserves, together with interest earned thereon, future payments under its collaborative agreements with Glaxo Wellcome, HMR, Kissei, BioChem, and Lilly, facilities and equipment financing and additional collaborative agreements. To the extent that funds from these sources are not sufficient to fund the Company's activities, it will be necessary to raise additional funds through public offerings or private placements of debt or equity securities or other methods of financing. Any equity financings could result in dilution to the Company's then existing stockholders. Any debt financing, if available at all, may be on terms which, among other things, restrict the Company's ability to pay dividends (although the Company does not intend to pay dividends for the foreseeable future). If adequate funds are not available, the Company may be required to curtail significantly or discontinue one or more of its research, drug discovery or development programs, including clinical trials, or attempt to obtain funds through arrangements with collaborative partners or others that may require the Company to relinquish rights to certain of its technologies or products in research or development. No assurance can be given that additional financing will be available on acceptable terms, if at all. See "Management's Discussion and Analysis of Financial Condition and Results of Operations."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 of Operating Losses and Accumulated Deficit</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Vertex has incurred losses since its inception in January 1989. As of December 31, 1997, the Company's accumulated deficit was approximately $117 million. Losses have resulted principally from costs incurred in research and development of the Company's compounds in development, including clinical trials and material manufacturing costs, the Company's other research programs and from general and administrative costs. These costs have exceeded the Company's revenues, which to date have been generated primarily from collaborative arrangements, interest income and research grants. The Company expects to incur additional significant operating losses in the future and does not expect to achieve profitability from sales of its products in development for several years, if ever. The Company expects that losses will fluctuate from quarter to quarter and that such fluctuations may be substantial. There can be no assurance that the Company will ever achieve product revenues or profitable operations. Based on the Internal Revenue Code of 1986, as amended, and changes in the Company's ownership, utilization of net operating loss carry forwards and research and development credits for federal income tax purposes may be subject to annual limitations. See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Uncertainty Related to Pharmaceutical Pricing and Reimbursement</w:t>
      </w:r>
    </w:p>
    <w:p>
      <w:pPr>
        <w:spacing w:after="0" w:line="178" w:lineRule="exact"/>
        <w:rPr>
          <w:sz w:val="20"/>
          <w:szCs w:val="20"/>
          <w:color w:val="auto"/>
        </w:rPr>
      </w:pPr>
    </w:p>
    <w:p>
      <w:pPr>
        <w:ind w:right="3379" w:firstLine="361"/>
        <w:spacing w:after="0" w:line="263" w:lineRule="auto"/>
        <w:rPr>
          <w:sz w:val="20"/>
          <w:szCs w:val="20"/>
          <w:color w:val="auto"/>
        </w:rPr>
      </w:pPr>
      <w:r>
        <w:rPr>
          <w:rFonts w:ascii="Courier New" w:cs="Courier New" w:eastAsia="Courier New" w:hAnsi="Courier New"/>
          <w:sz w:val="14"/>
          <w:szCs w:val="14"/>
          <w:color w:val="auto"/>
        </w:rPr>
        <w:t>The Company's ability to commercialize its products successfully will depend in part on the extent to which appropriate reimbursement levels for the cost of such products and related treatment are obtained from government authorities, private health insurers and other organizations, such as health maintenance organizations ("HMOs"). Third party payors and government authorities are continuing efforts to contain or reduce the cost of health care. For example, in certain foreign markets, pricing and/or profitability of prescription pharmaceuticals are subject to government control. There can be no assurance that similar controls will not be implemented in the United States. Also, the trend toward managed health care in the United States and the concurrent growth of organizations such as HMOs, which could control or significantly influence the purchase of health care services and products, may result in lower prices for the Company's</w:t>
      </w:r>
    </w:p>
    <w:p>
      <w:pPr>
        <w:spacing w:after="0" w:line="34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29</w:t>
      </w:r>
    </w:p>
    <w:p>
      <w:pPr>
        <w:sectPr>
          <w:pgSz w:w="11900" w:h="16838" w:orient="portrait"/>
          <w:cols w:equalWidth="0" w:num="1">
            <w:col w:w="10219"/>
          </w:cols>
          <w:pgMar w:left="240" w:top="638" w:right="1440" w:bottom="1440" w:gutter="0" w:footer="0" w:header="0"/>
        </w:sectPr>
      </w:pPr>
    </w:p>
    <w:bookmarkStart w:id="29" w:name="page30"/>
    <w:bookmarkEnd w:id="29"/>
    <w:p>
      <w:pPr>
        <w:ind w:right="3379"/>
        <w:spacing w:after="0" w:line="244" w:lineRule="auto"/>
        <w:rPr>
          <w:sz w:val="20"/>
          <w:szCs w:val="20"/>
          <w:color w:val="auto"/>
        </w:rPr>
      </w:pPr>
      <w:r>
        <w:rPr>
          <w:rFonts w:ascii="Courier New" w:cs="Courier New" w:eastAsia="Courier New" w:hAnsi="Courier New"/>
          <w:sz w:val="15"/>
          <w:szCs w:val="15"/>
          <w:color w:val="auto"/>
        </w:rPr>
        <w:t>products. The cost containment measures that health care providers and third party payors are instituting and any proposed or future health care reform measures, including any reductions in government reimbursement programs such as Medicaid and Medicare, could affect the Company's ability to sell its products and may have a material adverse effect on the Company.</w:t>
      </w:r>
    </w:p>
    <w:p>
      <w:pPr>
        <w:spacing w:after="0" w:line="177"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success of the Company's products in the United States and other significant markets will depend, in part, upon the extent to which a consumer will be able to obtain reimbursement for the cost of such products from government health administration authorities, third-party payors and other organizations. Significant uncertainty exists as to the reimbursement status of newly approved therapeutic products. Even if a product is approved for marketing, there can be no assurance that adequate reimbursement will be available. The Company is unable to predict what additional legislation or regulation relating to the health care industry or third-party coverage and reimbursement may be enacted in the future or what effect the legislation or regulation would have on the Company's business. Failure to obtain reimbursement could have a material adverse effect on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Sales and Marketing Experience</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 currently has no experience in marketing or selling pharmaceutical products. The Company must either develop a marketing and sales force or enter into arrangements with third parties to market and sell any of its product candidates which are approved by the FDA. In the territories where the Company retains marketing and co-promotion rights, there can be no assurance that the Company will successfully develop its own sales and marketing experience or that it will be able to enter into marketing and sales agreements with others on acceptable terms, if at all. If the Company develops its own marketing and sales capability, it will compete with other companies that currently have experienced and well-funded marketing and sales operations. To the extent that the Company has or enters into co-promotion or other sales and marketing arrangements with other companies, any revenues to be received by the Company will be dependent on the efforts of others, and there can be no assurance that such efforts will be successful.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Key Management and Qualified Personnel</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 is highly dependent upon the efforts of its senior management and scientific team. The loss of the services of one or more members of the senior management and scientific team might impede the achievement of the Company's development objectives. Due to the specialized scientific nature of the Company's business, the Company is also highly dependent upon its ability to attract and retain qualified scientific, technical and key management personnel. There is intense competition for qualified personnel in the areas of the Company's activities, and there can be no assurance that the Company will be able to continue to attract and retain qualified personnel necessary for the development of its existing business and its expansion into areas and activities requiring additional expertise, such as clinical testing, government approvals, production and marketing. See "Human Resources."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Liability and Availability of Insurance</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Company's business will expose it to potential product liability risks that are inherent in the testing, manufacturing and marketing of pharmaceutical and other products developed by the Company. The use of the Company's products in clinical trials also exposes the Company to the possibility of product liability claims and possible adverse publicity. These risks will increase to the extent the Company's products receive regulatory approval and are commercialized. The Company maintains product liability insurance for clinical trials. The Company does not currently have any other product liability insurance. There can be no assurance that the Company will be able to maintain its existing insurance or be able to obtain or maintain such additional insurance as it may need in the future on acceptable terms or that the Company's existing insurance or any such</w:t>
      </w:r>
    </w:p>
    <w:p>
      <w:pPr>
        <w:spacing w:after="0" w:line="35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30</w:t>
      </w:r>
    </w:p>
    <w:p>
      <w:pPr>
        <w:sectPr>
          <w:pgSz w:w="11900" w:h="16838" w:orient="portrait"/>
          <w:cols w:equalWidth="0" w:num="1">
            <w:col w:w="10219"/>
          </w:cols>
          <w:pgMar w:left="240" w:top="638" w:right="1440" w:bottom="1440" w:gutter="0" w:footer="0" w:header="0"/>
        </w:sectPr>
      </w:pPr>
    </w:p>
    <w:bookmarkStart w:id="30" w:name="page31"/>
    <w:bookmarkEnd w:id="30"/>
    <w:p>
      <w:pPr>
        <w:ind w:right="3999"/>
        <w:spacing w:after="0" w:line="243" w:lineRule="auto"/>
        <w:rPr>
          <w:sz w:val="20"/>
          <w:szCs w:val="20"/>
          <w:color w:val="auto"/>
        </w:rPr>
      </w:pPr>
      <w:r>
        <w:rPr>
          <w:rFonts w:ascii="Courier New" w:cs="Courier New" w:eastAsia="Courier New" w:hAnsi="Courier New"/>
          <w:sz w:val="15"/>
          <w:szCs w:val="15"/>
          <w:color w:val="auto"/>
        </w:rPr>
        <w:t>additional insurance will provide adequate coverage against potential liabilities.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Volatility of Share Price; Option Grants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Market prices for securities of companies such as Vertex are highly volatile, and the market for the securities of such companies, including the Common Stock of the Company, has from time to time experienced significant price and volume fluctuations that are unrelated to the operating performance of these particular companies. Factors such as announcements of results of clinical trials, technological innovations or new products by Vertex or its competitors, government regulatory action, public concern as to the safety of products developed by the Company or others, patent or proprietary rights developments and market conditions for pharmaceutical and biotechnology stocks, in general, could have a significant adverse effect on the future market price of the Common Stock.</w:t>
      </w:r>
    </w:p>
    <w:p>
      <w:pPr>
        <w:spacing w:after="0" w:line="180"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As of December 31, 1997, the Company had outstanding options for the purchase of 4,702,000 shares of Common Stock at exercise prices ranging from $6.48 per share to $49.13 per share. Options for the purchase of 1,944,000 shares of Common Stock were exercisable as of that date.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Provisions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Company's charter provides for staggered terms for the members of the Board of Directors. The Company's By-laws grant the Directors a right to adjourn annual meetings of stockholders, and certain provisions of the By-laws may be amended only with an 80% stockholder vote. Pursuant to the Company's Stockholder Rights Plan, each share of Common Stock has an associated preferred share purchase right (a "Right"). The Rights will not trade separately from the Common Stock until, and are exercisable only upon, the acquisition or the potential acquisition through tender offer by a person or group of 15% or more of the outstanding Common Stock. These charter and By-law provisions and the Company's Stockholder Rights Plan may discourage certain types of transactions involving an actual or potential change in control of the Company which might be beneficial to the Company or its stockholders.</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Shares of any class or series of preferred stock may be issued by the Company in the future without stockholder approval and upon such terms as the Board of Directors may determine. The rights of the holders of Common Stock will be subject to, and may be adversely affected by, the rights of the holders of any class or series of preferred stock that may be issued in the future. The issuance of preferred stock, while providing desirable flexibility in connection with possible acquisitions and other corporate purposes, could have the effect of discouraging a third party from acquiring a majority of the outstanding Common Stock of the Company. The Company has no present plans to issue any shares of any class or series of Preferred Stock.</w:t>
      </w:r>
    </w:p>
    <w:p>
      <w:pPr>
        <w:spacing w:after="0" w:line="179" w:lineRule="exact"/>
        <w:rPr>
          <w:sz w:val="20"/>
          <w:szCs w:val="20"/>
          <w:color w:val="auto"/>
        </w:rPr>
      </w:pPr>
    </w:p>
    <w:p>
      <w:pPr>
        <w:ind w:left="1260"/>
        <w:spacing w:after="0"/>
        <w:tabs>
          <w:tab w:leader="none" w:pos="24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leases an aggregate of approximately 134,000 square feet of laboratory and office space in five adjacent facilities at 40 Allston Street, 625 Putnam Avenue, 618 Putnam Avenue, 240 Sidney Street and 130 Waverly Street in Cambridge, Massachusetts. The lease to the 40 Allston Street, 618 Putnam Avenue and 240 Sidney Street facilities will expire in December 2003. The lease to the 625 Putnam Avenue facility will expire in December 2000 with an option to extend through 2003. The Company occupies approximately 60,000 square feet of space at 130 Waverly Street under a lease expiring in December 2005. In 1999 that lease will include an additional 40,000 square feet at 130 Waverly Street, with the lease as to that portion of the facility expiring in 2009. The Company has the option to extend the lease as to both portions of the facility for additional terms. In addition, the Company leases two smaller facilities totaling approximately 27,000 square feet at 345 Vassar Street and 60 Hamilton Street, also in Cambridge,</w:t>
      </w:r>
    </w:p>
    <w:p>
      <w:pPr>
        <w:spacing w:after="0" w:line="35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31</w:t>
      </w:r>
    </w:p>
    <w:p>
      <w:pPr>
        <w:sectPr>
          <w:pgSz w:w="11900" w:h="16838" w:orient="portrait"/>
          <w:cols w:equalWidth="0" w:num="1">
            <w:col w:w="10219"/>
          </w:cols>
          <w:pgMar w:left="240" w:top="638" w:right="1440" w:bottom="1440" w:gutter="0" w:footer="0" w:header="0"/>
        </w:sectPr>
      </w:pPr>
    </w:p>
    <w:bookmarkStart w:id="31" w:name="page32"/>
    <w:bookmarkEnd w:id="31"/>
    <w:p>
      <w:pPr>
        <w:ind w:right="3019"/>
        <w:spacing w:after="0" w:line="244" w:lineRule="auto"/>
        <w:rPr>
          <w:sz w:val="20"/>
          <w:szCs w:val="20"/>
          <w:color w:val="auto"/>
        </w:rPr>
      </w:pPr>
      <w:r>
        <w:rPr>
          <w:rFonts w:ascii="Courier New" w:cs="Courier New" w:eastAsia="Courier New" w:hAnsi="Courier New"/>
          <w:sz w:val="15"/>
          <w:szCs w:val="15"/>
          <w:color w:val="auto"/>
        </w:rPr>
        <w:t>under leases expiring in 2000 with options to extend through 2002. The Company believes its facilities are adequate for its current needs. The Company believes it can obtain additional space on commercially reasonable terms.</w:t>
      </w:r>
    </w:p>
    <w:p>
      <w:pPr>
        <w:spacing w:after="0" w:line="17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 is not a party to any material legal proceedings.</w:t>
      </w:r>
    </w:p>
    <w:p>
      <w:pPr>
        <w:spacing w:after="0" w:line="17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SECURITY HOLDERS</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There were no matters submitted to a vote of security holders during the fourth quarter of the fiscal year ended December 31, 1997.</w:t>
      </w:r>
    </w:p>
    <w:p>
      <w:pPr>
        <w:spacing w:after="0" w:line="34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PART II</w:t>
      </w:r>
    </w:p>
    <w:p>
      <w:pPr>
        <w:spacing w:after="0" w:line="351" w:lineRule="exact"/>
        <w:rPr>
          <w:sz w:val="20"/>
          <w:szCs w:val="20"/>
          <w:color w:val="auto"/>
        </w:rPr>
      </w:pPr>
    </w:p>
    <w:p>
      <w:pPr>
        <w:ind w:left="1260" w:right="4539" w:hanging="1622"/>
        <w:spacing w:after="0" w:line="243" w:lineRule="auto"/>
        <w:tabs>
          <w:tab w:leader="none" w:pos="124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REGISTRANT'S COMMON EQUITY AND RELATED STOCKHOLDER MATTERS</w:t>
      </w:r>
    </w:p>
    <w:p>
      <w:pPr>
        <w:spacing w:after="0" w:line="176"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Company's Common Stock trades on the Nasdaq National Market ("Nasdaq") under the symbol "VRTX." The following table sets forth the high, low and last sale prices of each quarter for the Common Stock as reported by Nasdaq for the periods indicated.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94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High</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c>
          <w:tcPr>
            <w:tcW w:w="720" w:type="dxa"/>
            <w:vAlign w:val="bottom"/>
          </w:tcPr>
          <w:p>
            <w:pPr>
              <w:spacing w:after="0"/>
              <w:rPr>
                <w:sz w:val="14"/>
                <w:szCs w:val="14"/>
                <w:color w:val="auto"/>
              </w:rPr>
            </w:pPr>
          </w:p>
        </w:tc>
        <w:tc>
          <w:tcPr>
            <w:tcW w:w="18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Close</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3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694"/>
        </w:trPr>
        <w:tc>
          <w:tcPr>
            <w:tcW w:w="16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9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$29 7/8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c>
          <w:tcPr>
            <w:tcW w:w="720" w:type="dxa"/>
            <w:vAlign w:val="bottom"/>
          </w:tcPr>
          <w:p>
            <w:pPr>
              <w:spacing w:after="0"/>
              <w:rPr>
                <w:sz w:val="24"/>
                <w:szCs w:val="24"/>
                <w:color w:val="auto"/>
              </w:rPr>
            </w:pPr>
          </w:p>
        </w:tc>
        <w:tc>
          <w:tcPr>
            <w:tcW w:w="18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$26 1/2</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8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w:t>
            </w:r>
          </w:p>
        </w:tc>
        <w:tc>
          <w:tcPr>
            <w:tcW w:w="7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3/8</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8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1/4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0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1/2</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8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7/8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10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1/4</w:t>
            </w:r>
          </w:p>
        </w:tc>
      </w:tr>
      <w:tr>
        <w:trPr>
          <w:trHeight w:val="347"/>
        </w:trPr>
        <w:tc>
          <w:tcPr>
            <w:tcW w:w="16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3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6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9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$52 3/4</w:t>
            </w:r>
          </w:p>
        </w:tc>
        <w:tc>
          <w:tcPr>
            <w:tcW w:w="15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$37 3/4</w:t>
            </w:r>
          </w:p>
        </w:tc>
        <w:tc>
          <w:tcPr>
            <w:tcW w:w="18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$40 1/2</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8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10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1/4</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8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3/8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0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3/4</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8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1/4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104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The last sale price of the Common Stock on March 16, 1998, as reported by Nasdaq, was $35.06 per share. As of March 16, 1998, there were 273 holders of record of the Common Stock (approximately 7,200 beneficial holders).</w:t>
      </w:r>
    </w:p>
    <w:p>
      <w:pPr>
        <w:spacing w:after="0" w:line="175"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The Company has never declared or paid any cash dividends on its Common Stock and currently expects that future earnings will be retained for use in its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Sale of Unregistered Securities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CONSOLIDATED FINANCIAL DATA</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following selected consolidated financial data for each of the five years in the period ended December 31, 1997 are derived from the Company's Consolidated Financial Statements. This data should be read in conjunction with the Company's audited financial statements and related notes,</w:t>
      </w: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32</w:t>
      </w:r>
    </w:p>
    <w:p>
      <w:pPr>
        <w:sectPr>
          <w:pgSz w:w="11900" w:h="16838" w:orient="portrait"/>
          <w:cols w:equalWidth="0" w:num="1">
            <w:col w:w="10219"/>
          </w:cols>
          <w:pgMar w:left="240" w:top="638" w:right="1440" w:bottom="1440" w:gutter="0" w:footer="0" w:header="0"/>
        </w:sectPr>
      </w:pPr>
    </w:p>
    <w:bookmarkStart w:id="32" w:name="page33"/>
    <w:bookmarkEnd w:id="32"/>
    <w:p>
      <w:pPr>
        <w:ind w:right="3240"/>
        <w:spacing w:after="0" w:line="243" w:lineRule="auto"/>
        <w:rPr>
          <w:sz w:val="20"/>
          <w:szCs w:val="20"/>
          <w:color w:val="auto"/>
        </w:rPr>
      </w:pPr>
      <w:r>
        <w:rPr>
          <w:rFonts w:ascii="Courier New" w:cs="Courier New" w:eastAsia="Courier New" w:hAnsi="Courier New"/>
          <w:sz w:val="15"/>
          <w:szCs w:val="15"/>
          <w:color w:val="auto"/>
        </w:rPr>
        <w:t>and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20" w:type="dxa"/>
            <w:vAlign w:val="bottom"/>
            <w:gridSpan w:val="4"/>
          </w:tcPr>
          <w:p>
            <w:pPr>
              <w:jc w:val="right"/>
              <w:ind w:right="965"/>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3"/>
        </w:trPr>
        <w:tc>
          <w:tcPr>
            <w:tcW w:w="4460" w:type="dxa"/>
            <w:vAlign w:val="bottom"/>
          </w:tcPr>
          <w:p>
            <w:pPr>
              <w:spacing w:after="0"/>
              <w:rPr>
                <w:sz w:val="15"/>
                <w:szCs w:val="15"/>
                <w:color w:val="auto"/>
              </w:rPr>
            </w:pPr>
          </w:p>
        </w:tc>
        <w:tc>
          <w:tcPr>
            <w:tcW w:w="59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5"/>
                <w:szCs w:val="15"/>
                <w:color w:val="auto"/>
              </w:rPr>
            </w:pPr>
          </w:p>
        </w:tc>
        <w:tc>
          <w:tcPr>
            <w:tcW w:w="9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1994</w:t>
            </w:r>
          </w:p>
        </w:tc>
        <w:tc>
          <w:tcPr>
            <w:tcW w:w="1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r>
      <w:tr>
        <w:trPr>
          <w:trHeight w:val="173"/>
        </w:trPr>
        <w:tc>
          <w:tcPr>
            <w:tcW w:w="446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20" w:type="dxa"/>
            <w:vAlign w:val="bottom"/>
            <w:gridSpan w:val="5"/>
          </w:tcPr>
          <w:p>
            <w:pPr>
              <w:ind w:left="280"/>
              <w:spacing w:after="0"/>
              <w:rPr>
                <w:sz w:val="20"/>
                <w:szCs w:val="20"/>
                <w:color w:val="auto"/>
              </w:rPr>
            </w:pPr>
            <w:r>
              <w:rPr>
                <w:rFonts w:ascii="Courier New" w:cs="Courier New" w:eastAsia="Courier New" w:hAnsi="Courier New"/>
                <w:sz w:val="15"/>
                <w:szCs w:val="15"/>
                <w:color w:val="auto"/>
              </w:rPr>
              <w:t>(in thousands, except per share amounts)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694"/>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 Data:</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4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Collaborative and other research and</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development revenues..................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$29,926</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13,341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22,081</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$19,571</w:t>
            </w:r>
          </w:p>
        </w:tc>
        <w:tc>
          <w:tcPr>
            <w:tcW w:w="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$ 27,885</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Investment income.............................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13,873</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5,257</w:t>
            </w:r>
          </w:p>
        </w:tc>
        <w:tc>
          <w:tcPr>
            <w:tcW w:w="3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5,453</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3,574</w:t>
            </w:r>
          </w:p>
        </w:tc>
        <w:tc>
          <w:tcPr>
            <w:tcW w:w="18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1,409</w:t>
            </w:r>
          </w:p>
        </w:tc>
      </w:tr>
      <w:tr>
        <w:trPr>
          <w:trHeight w:val="173"/>
        </w:trPr>
        <w:tc>
          <w:tcPr>
            <w:tcW w:w="446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revenues.........................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43,799</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18,598</w:t>
            </w:r>
          </w:p>
        </w:tc>
        <w:tc>
          <w:tcPr>
            <w:tcW w:w="3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27,534</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23,145</w:t>
            </w:r>
          </w:p>
        </w:tc>
        <w:tc>
          <w:tcPr>
            <w:tcW w:w="18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29,294</w:t>
            </w:r>
          </w:p>
        </w:tc>
      </w:tr>
      <w:tr>
        <w:trPr>
          <w:trHeight w:val="173"/>
        </w:trPr>
        <w:tc>
          <w:tcPr>
            <w:tcW w:w="446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Research and development......................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51,624</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35,212</w:t>
            </w:r>
          </w:p>
        </w:tc>
        <w:tc>
          <w:tcPr>
            <w:tcW w:w="3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41,512</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34,761</w:t>
            </w:r>
          </w:p>
        </w:tc>
        <w:tc>
          <w:tcPr>
            <w:tcW w:w="18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23,164</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 and administrative....................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11,430</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7,929</w:t>
            </w:r>
          </w:p>
        </w:tc>
        <w:tc>
          <w:tcPr>
            <w:tcW w:w="3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7,069</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5,540</w:t>
            </w:r>
          </w:p>
        </w:tc>
        <w:tc>
          <w:tcPr>
            <w:tcW w:w="18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3,520</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License Payment...............................</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15,000</w:t>
            </w:r>
          </w:p>
        </w:tc>
        <w:tc>
          <w:tcPr>
            <w:tcW w:w="3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 .....................................</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576</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462</w:t>
            </w:r>
          </w:p>
        </w:tc>
        <w:tc>
          <w:tcPr>
            <w:tcW w:w="3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481</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439</w:t>
            </w:r>
          </w:p>
        </w:tc>
        <w:tc>
          <w:tcPr>
            <w:tcW w:w="18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493</w:t>
            </w:r>
          </w:p>
        </w:tc>
      </w:tr>
      <w:tr>
        <w:trPr>
          <w:trHeight w:val="173"/>
        </w:trPr>
        <w:tc>
          <w:tcPr>
            <w:tcW w:w="446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costs and expenses...............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63,630</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58,603</w:t>
            </w:r>
          </w:p>
        </w:tc>
        <w:tc>
          <w:tcPr>
            <w:tcW w:w="3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49,062</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40,740</w:t>
            </w:r>
          </w:p>
        </w:tc>
        <w:tc>
          <w:tcPr>
            <w:tcW w:w="18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27,177</w:t>
            </w:r>
          </w:p>
        </w:tc>
      </w:tr>
      <w:tr>
        <w:trPr>
          <w:trHeight w:val="173"/>
        </w:trPr>
        <w:tc>
          <w:tcPr>
            <w:tcW w:w="446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Net (loss) earnings before taxes................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(19,831)</w:t>
            </w:r>
          </w:p>
        </w:tc>
        <w:tc>
          <w:tcPr>
            <w:tcW w:w="40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(40,005)</w:t>
            </w:r>
          </w:p>
        </w:tc>
        <w:tc>
          <w:tcPr>
            <w:tcW w:w="3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(21,528)</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(17,595)</w:t>
            </w:r>
          </w:p>
        </w:tc>
        <w:tc>
          <w:tcPr>
            <w:tcW w:w="18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2,117</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Tax provision...................................</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w:t>
            </w:r>
          </w:p>
        </w:tc>
      </w:tr>
      <w:tr>
        <w:trPr>
          <w:trHeight w:val="173"/>
        </w:trPr>
        <w:tc>
          <w:tcPr>
            <w:tcW w:w="446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Net (loss) profit...............................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$(19,831)</w:t>
            </w: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(40,005)</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(21,528)</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$(17,595)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2,037</w:t>
            </w:r>
          </w:p>
        </w:tc>
      </w:tr>
      <w:tr>
        <w:trPr>
          <w:trHeight w:val="173"/>
        </w:trPr>
        <w:tc>
          <w:tcPr>
            <w:tcW w:w="446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46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Basic and diluted net (loss) earnings per common</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share...........................................</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(0.82)</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(1.11)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Basic........................................</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24,264</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18,798</w:t>
            </w:r>
          </w:p>
        </w:tc>
        <w:tc>
          <w:tcPr>
            <w:tcW w:w="3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17,231</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15,818</w:t>
            </w:r>
          </w:p>
        </w:tc>
        <w:tc>
          <w:tcPr>
            <w:tcW w:w="18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12,384</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Diluted......................................</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24,264</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18,798</w:t>
            </w:r>
          </w:p>
        </w:tc>
        <w:tc>
          <w:tcPr>
            <w:tcW w:w="3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17,231</w:t>
            </w:r>
          </w:p>
        </w:tc>
        <w:tc>
          <w:tcPr>
            <w:tcW w:w="13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15,818</w:t>
            </w:r>
          </w:p>
        </w:tc>
        <w:tc>
          <w:tcPr>
            <w:tcW w:w="18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4000" w:type="dxa"/>
            <w:vAlign w:val="bottom"/>
          </w:tcPr>
          <w:p>
            <w:pPr>
              <w:spacing w:after="0"/>
              <w:rPr>
                <w:sz w:val="15"/>
                <w:szCs w:val="15"/>
                <w:color w:val="auto"/>
              </w:rPr>
            </w:pPr>
          </w:p>
        </w:tc>
        <w:tc>
          <w:tcPr>
            <w:tcW w:w="6360" w:type="dxa"/>
            <w:vAlign w:val="bottom"/>
            <w:gridSpan w:val="5"/>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00" w:type="dxa"/>
            <w:vAlign w:val="bottom"/>
          </w:tcPr>
          <w:p>
            <w:pPr>
              <w:spacing w:after="0"/>
              <w:rPr>
                <w:sz w:val="15"/>
                <w:szCs w:val="15"/>
                <w:color w:val="auto"/>
              </w:rPr>
            </w:pP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r>
      <w:tr>
        <w:trPr>
          <w:trHeight w:val="173"/>
        </w:trPr>
        <w:tc>
          <w:tcPr>
            <w:tcW w:w="4000" w:type="dxa"/>
            <w:vAlign w:val="bottom"/>
          </w:tcPr>
          <w:p>
            <w:pPr>
              <w:spacing w:after="0"/>
              <w:rPr>
                <w:sz w:val="15"/>
                <w:szCs w:val="15"/>
                <w:color w:val="auto"/>
              </w:rPr>
            </w:pP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Cash, cash equivalents and investments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$279,671</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$130,359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$86,978</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$106,470</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$52,103</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295,604</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143,499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98,981</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116,175</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60,992</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and</w:t>
            </w: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debt, excluding current portion......</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5,905</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5,617</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4,912</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4,729</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4,208</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(116,775)</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(96,944)</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(56,939)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(35,411)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(17,816)</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276,001</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130,826</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85,272</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105,478</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49,520</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78" w:lineRule="exact"/>
        <w:rPr>
          <w:sz w:val="20"/>
          <w:szCs w:val="20"/>
          <w:color w:val="auto"/>
        </w:rPr>
      </w:pPr>
    </w:p>
    <w:p>
      <w:pPr>
        <w:ind w:right="3160"/>
        <w:spacing w:after="0" w:line="244" w:lineRule="auto"/>
        <w:rPr>
          <w:sz w:val="20"/>
          <w:szCs w:val="20"/>
          <w:color w:val="auto"/>
        </w:rPr>
      </w:pPr>
      <w:r>
        <w:rPr>
          <w:rFonts w:ascii="Courier New" w:cs="Courier New" w:eastAsia="Courier New" w:hAnsi="Courier New"/>
          <w:sz w:val="15"/>
          <w:szCs w:val="15"/>
          <w:color w:val="auto"/>
        </w:rPr>
        <w:t>This discussion contains forward-looking statements which are subject to certain risks and uncertainties that can cause actual results to differ materially from those described. Factors that may cause such differences include but are not limited to those described in "Risk Factors." Readers are cautioned not to place undue reliance on these forward-looking statements which speak only as of the date hereof. The Company undertakes no obligation to publicly update or revise these forward-looking statements to reflect events or circumstances after the date hereof.</w:t>
      </w:r>
    </w:p>
    <w:p>
      <w:pPr>
        <w:spacing w:after="0" w:line="35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33</w:t>
      </w:r>
    </w:p>
    <w:p>
      <w:pPr>
        <w:sectPr>
          <w:pgSz w:w="11900" w:h="16838" w:orient="portrait"/>
          <w:cols w:equalWidth="0" w:num="1">
            <w:col w:w="10360"/>
          </w:cols>
          <w:pgMar w:left="240" w:top="638" w:right="1299" w:bottom="1440" w:gutter="0" w:footer="0" w:header="0"/>
        </w:sectPr>
      </w:pPr>
    </w:p>
    <w:bookmarkStart w:id="33" w:name="page34"/>
    <w:bookmarkEnd w:id="33"/>
    <w:p>
      <w:pPr>
        <w:ind w:left="8" w:right="3019"/>
        <w:spacing w:after="0" w:line="244" w:lineRule="auto"/>
        <w:rPr>
          <w:sz w:val="20"/>
          <w:szCs w:val="20"/>
          <w:color w:val="auto"/>
        </w:rPr>
      </w:pPr>
      <w:r>
        <w:rPr>
          <w:rFonts w:ascii="Courier New" w:cs="Courier New" w:eastAsia="Courier New" w:hAnsi="Courier New"/>
          <w:sz w:val="15"/>
          <w:szCs w:val="15"/>
          <w:color w:val="auto"/>
        </w:rPr>
        <w:t>Since its inception in 1989, the Company has been engaged in the discovery, development and commercialization of novel, small molecule pharmaceuticals for the treatment of major diseases for which there are currently limited or no effective treatments. The Company is a leader in the use of structure-based drug design, an approach to drug discovery that integrates advanced biology, biophysics and chemistry. The Company is conducting research and development programs to develop pharmaceuticals for the treatment of viral diseases, multidrug resistance in cancer, inflammation, immunosuppression and neurodegenerative disorders.</w:t>
      </w:r>
    </w:p>
    <w:p>
      <w:pPr>
        <w:spacing w:after="0" w:line="179" w:lineRule="exact"/>
        <w:rPr>
          <w:sz w:val="20"/>
          <w:szCs w:val="20"/>
          <w:color w:val="auto"/>
        </w:rPr>
      </w:pPr>
    </w:p>
    <w:p>
      <w:pPr>
        <w:ind w:left="8" w:right="3199" w:firstLine="811"/>
        <w:spacing w:after="0" w:line="262" w:lineRule="auto"/>
        <w:rPr>
          <w:sz w:val="20"/>
          <w:szCs w:val="20"/>
          <w:color w:val="auto"/>
        </w:rPr>
      </w:pPr>
      <w:r>
        <w:rPr>
          <w:rFonts w:ascii="Courier New" w:cs="Courier New" w:eastAsia="Courier New" w:hAnsi="Courier New"/>
          <w:sz w:val="14"/>
          <w:szCs w:val="14"/>
          <w:color w:val="auto"/>
        </w:rPr>
        <w:t>To date, the Company has not received any revenues from the sale of pharmaceutical products. The Company's lead product candidate, amprenavir for the treatment of HIV infection, is presently undergoing Phase III clinical trials. If such clinical trials are concluded successfully and a New Drug Application is approved by the FDA and product sales, if any, commence, the Company will receive a royalty on sales of amprenavir by its partner Glaxo Wellcome plc ("Glaxo Wellcome"). However, there can be no assurance that Phase</w:t>
      </w:r>
    </w:p>
    <w:p>
      <w:pPr>
        <w:spacing w:after="0" w:line="2" w:lineRule="exact"/>
        <w:rPr>
          <w:sz w:val="20"/>
          <w:szCs w:val="20"/>
          <w:color w:val="auto"/>
        </w:rPr>
      </w:pPr>
    </w:p>
    <w:p>
      <w:pPr>
        <w:ind w:left="8" w:right="3019" w:hanging="8"/>
        <w:spacing w:after="0" w:line="244" w:lineRule="auto"/>
        <w:tabs>
          <w:tab w:leader="none" w:pos="3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clinical trials will be completed in a timely fashion, if at all, that such trials will be successful, or that any approval will be granted by the FDA. The Company has incurred operating losses since its inception and expects to incur a loss in 1998. The Company believes that operating losses may continue for the next several years even if significant royalties are realized on amprenavir sales because the Company is planning to make significant investments in research and development for its other potential products. The Company expects that losses will fluctuate from quarter to quarter and that such fluctuations may be substantial.</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Results of Operations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Year Ended December 31, 1997 Compared with Year Ended December 31, 1996.</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The Company's total revenues increased to $43,799,000 in 1997 from</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$18,598,000 in 1996. In 1997, revenues consisted of $27,703,000 under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collaborative agreements, $13,873,000 in investment income,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$2,223,000 in government grants and other income. The principle reasons for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increase in revenue in 1997 were the commencement of new collaborations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with Eli Lilly and Company ("Lilly") on the Company's Hepatitis C program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with Kissei Pharmaceutical Co., Ltd. ("Kissei") on the Company's p38 MAP</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kinase program, in addition to greater investment income from higher levels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cash and investments. The 1997 collaborations with Lilly and Kissei</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included up front payments of $3,000,000 and $4,000,000, respectively,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collaborative revenue of $2,694,000 and $1,500,000, respectively. Other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collaborative revenue in 1997 included $4,310,000 from Kissei, $8,660,000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from Hoechst Marion Roussel ("HMR"), which included a $3,000,000 milestone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payment in December 1997, $3,275,000 from Glaxo Wellcome, and $264,000 from</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others. Product research funding requirements under the HMR agreement ended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on December 31, 1997, although HMR continues to have certain development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funding obligations. In 1996, revenues consisted of $12,013,000 under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collaborative agreements, $5,257,000 in investment income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$1,328,000 in government grants and other income. Revenue from collaborative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agreements consisted of $6,289,000 from Glaxo Wellcome, $4,196,000 from HMR,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$692,000 from Kissei, and $836,000 from others.</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The Company's total costs and expenses increased to $63,630,000 in 1997 from $58,603,000 in 1996. In 1996, the Company paid $15,000,000 to obtain a non-exclusive, world-wide license under certain G.D. Searle &amp; Co. ("Searle") patent applications claiming HIV protease inhibitors. Research and development expenses increased to $51,624,000 in 1997 from $35,212,000 in 1996 principally due to the commencement of pre-clinical development activities for drug candidates in the ICE and IMPDH programs as well as the continued expansion of the Company's core scientific staff. In addition, general and administrative expenses increased to $11,430,000 in 1997 from $7,929,000 in 1996. The increase in general and administrative expense principally reflects the impact of personnel additions, an increase in legal expenses related to patent activity and an increase in marketing activities. Interest expense increased to $576,000 in 1997 from $462,000 in 1996 due to higher levels of equipment lease financing during the year.</w:t>
      </w:r>
    </w:p>
    <w:p>
      <w:pPr>
        <w:spacing w:after="0" w:line="200" w:lineRule="exact"/>
        <w:rPr>
          <w:sz w:val="20"/>
          <w:szCs w:val="20"/>
          <w:color w:val="auto"/>
        </w:rPr>
      </w:pPr>
    </w:p>
    <w:p>
      <w:pPr>
        <w:spacing w:after="0" w:line="328"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34</w:t>
      </w:r>
    </w:p>
    <w:p>
      <w:pPr>
        <w:sectPr>
          <w:pgSz w:w="11900" w:h="16838" w:orient="portrait"/>
          <w:cols w:equalWidth="0" w:num="1">
            <w:col w:w="10227"/>
          </w:cols>
          <w:pgMar w:left="232" w:top="638" w:right="1440" w:bottom="1440" w:gutter="0" w:footer="0" w:header="0"/>
        </w:sectPr>
      </w:pPr>
    </w:p>
    <w:bookmarkStart w:id="34" w:name="page35"/>
    <w:bookmarkEnd w:id="34"/>
    <w:p>
      <w:pPr>
        <w:ind w:right="3379"/>
        <w:spacing w:after="0" w:line="244" w:lineRule="auto"/>
        <w:rPr>
          <w:sz w:val="20"/>
          <w:szCs w:val="20"/>
          <w:color w:val="auto"/>
        </w:rPr>
      </w:pPr>
      <w:r>
        <w:rPr>
          <w:rFonts w:ascii="Courier New" w:cs="Courier New" w:eastAsia="Courier New" w:hAnsi="Courier New"/>
          <w:sz w:val="15"/>
          <w:szCs w:val="15"/>
          <w:color w:val="auto"/>
        </w:rPr>
        <w:t>The Company expects that research and development as well as general and administrative expenses will continue to increase as the Company starts new research projects, advances current clinical and preclinical candidates, and expands its marketing and business development activities.</w:t>
      </w:r>
    </w:p>
    <w:p>
      <w:pPr>
        <w:spacing w:after="0" w:line="176" w:lineRule="exact"/>
        <w:rPr>
          <w:sz w:val="20"/>
          <w:szCs w:val="20"/>
          <w:color w:val="auto"/>
        </w:rPr>
      </w:pPr>
    </w:p>
    <w:p>
      <w:pPr>
        <w:ind w:right="3019" w:firstLine="811"/>
        <w:spacing w:after="0" w:line="266" w:lineRule="auto"/>
        <w:rPr>
          <w:sz w:val="20"/>
          <w:szCs w:val="20"/>
          <w:color w:val="auto"/>
        </w:rPr>
      </w:pPr>
      <w:r>
        <w:rPr>
          <w:rFonts w:ascii="Courier New" w:cs="Courier New" w:eastAsia="Courier New" w:hAnsi="Courier New"/>
          <w:sz w:val="14"/>
          <w:szCs w:val="14"/>
          <w:color w:val="auto"/>
        </w:rPr>
        <w:t>The Company recorded a net loss of $19,831,000 or $0.82 per share in 1997 compared to a net loss of $40,005,000 or $2.13 per share in 1996. The lower loss per share reflects not only a lower aggregate loss but also an increase in average common shares outstanding from 18,798,000 in 1996 to 24,264,000 in 1997 due to two Common Stock offerings in August 1996 and March 1997.</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1996 Compared with Year Ended December 31, 1995.</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Company's total revenues decreased to $18,598,000 in 1996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$27,534,000 in 1995. In 1996, revenues consisted of $12,013,000 under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collaborative agreements, $5,257,000 in investment income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$1,328,000 in government grants and other income. Revenue from collaborative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consisted of $6,289,000 from Glaxo Wellcome, $4,196,000 from HMR,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$692,000 from Kissei, and $836,000 from others. The research funding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requirements of the Kissei HIV collaborative agreement concluded in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although Kissei continues to have certain development funding obligations.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revenues consisted of $21,587,000 under the Company's collaborative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$5,453,000 in investment income and $494,000 in government grants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income. Revenue from collaborative agreements consisted of $10,053,000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Glaxo Wellcome, $5,370,000 from Kissei, $3,749,000 from HMR and $2,415,000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others.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Company's total costs and expenses increased to $58,603,000 in 1996 from $49,062,000 in 1995. The increase in total costs and expenses resulted principally from the Company's payment of $15,000,000 to obtain a non-exclusive, world-wide license under certain Searle patent applications claiming HIV protease inhibitors. Research and development expenses declined to $35,212,000 in 1996 from $41,512,000 in 1995. Although the Company expanded scientific staffing and facilities in 1996, overall research and development expense decreased due to significant costs incurred in 1995 for manufacturing bulk drug substance for use in clinical trials. In addition, general and administrative expenses increased to $7,929,000 in 1996 from $7,069,000 in 1995. The increase in general and administrative expense principally reflects the impact of personnel additions, the Company's facilities expansion, and an increase in marketing costs principally for the Company's subsidiary Altus Biologics Inc. Interest expense decreased to $462,000 in 1996 from $481,000 in 1995 on higher levels of equipment lease financing due to lower blended rates of interest charged.</w:t>
      </w:r>
    </w:p>
    <w:p>
      <w:pPr>
        <w:spacing w:after="0" w:line="183"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The Company recorded a net loss of $40,005,000 or $2.13 per share in 1996 compared to a net loss of $21,528,000 or $1.25 per share in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Company's operations have been funded principally through strategic collaborative agreements, public offerings and private placements of the Company's equity securities, equipment lease financing, government grants and investment income. The Company expects to incur increased research and development and related supporting expenses and, consequently, continued losses on a quarterly and annual basis as it continues to develop existing and future compounds and to conduct clinical trials of potential drugs. The Company also expects to incur substantial administrative and commercialization expenditures in the future and additional expenses related to the filing, prosecution, defense and enforcement of patent and other intellectual property rights.</w:t>
      </w:r>
    </w:p>
    <w:p>
      <w:pPr>
        <w:spacing w:after="0" w:line="180"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The Company expects to finance these substantial cash needs with its existing cash and investments of approximately $280 million at December 31, 1997, together with investment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35</w:t>
      </w:r>
    </w:p>
    <w:p>
      <w:pPr>
        <w:sectPr>
          <w:pgSz w:w="11900" w:h="16838" w:orient="portrait"/>
          <w:cols w:equalWidth="0" w:num="1">
            <w:col w:w="10219"/>
          </w:cols>
          <w:pgMar w:left="240" w:top="812" w:right="1440" w:bottom="1440" w:gutter="0" w:footer="0" w:header="0"/>
        </w:sectPr>
      </w:pPr>
    </w:p>
    <w:bookmarkStart w:id="35" w:name="page36"/>
    <w:bookmarkEnd w:id="35"/>
    <w:p>
      <w:pPr>
        <w:ind w:right="3019"/>
        <w:spacing w:after="0" w:line="264" w:lineRule="auto"/>
        <w:rPr>
          <w:sz w:val="20"/>
          <w:szCs w:val="20"/>
          <w:color w:val="auto"/>
        </w:rPr>
      </w:pPr>
      <w:r>
        <w:rPr>
          <w:rFonts w:ascii="Courier New" w:cs="Courier New" w:eastAsia="Courier New" w:hAnsi="Courier New"/>
          <w:sz w:val="14"/>
          <w:szCs w:val="14"/>
          <w:color w:val="auto"/>
        </w:rPr>
        <w:t>income earned thereon, future payments under its existing collaborative agreements, and facilities and equipment financing. To the extent that funds from these sources are not sufficient to fund the Company's activities, it will be necessary to raise additional funds through public offerings or private placements of securities or other methods of financing. There can be no assurance that such financing will be available on acceptable terms, if at all. The Company believes that its existing cash and investments should be sufficient to meet its anticipated requirements for at least the next two years.</w:t>
      </w:r>
    </w:p>
    <w:p>
      <w:pPr>
        <w:spacing w:after="0" w:line="16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September 1997, the Company and Kissei entered into a collaborative agreement to design inhibitors of p38 MAP kinase and to develop them as novel, orally active drugs for the treatment of inflammatory and neurological diseases. Under the terms of the agreement, Kissei will pay the Company up to $22 million composed of a $4 million upfront payment paid in September 1997, $11 million of product research funding over three years and $7 million of development and commercialization milestone payments. The Company and Kissei will collaborate to identify and evaluate compounds that target p38 MAP kinase. Kissei will have the right to develop and commercialize these compounds in its licensed territories. Kissei has exclusive rights to p38 MAP kinase compounds in Japan and certain Southeast Asian countries and semi-exclusive rights in China, Taiwan and South Korea. The Company retains exclusive marketing rights in the United States, Canada, Europe, and the rest of the world. In addition, the Company will have the right to supply bulk drug material to Kissei for sale in its territory, and will receive royalties and drug supply payments on any product sales. Kissei has the right to terminate the agreement without cause upon six months' notice after June 1998.</w:t>
      </w:r>
    </w:p>
    <w:p>
      <w:pPr>
        <w:spacing w:after="0" w:line="18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June 1997, the Company and Lilly entered into a collaborative agreement to design inhibitors of the hepatitis C protease enzyme, and to develop them as novel drugs to treat hepatitis C infection. Under the terms of the agreement, Lilly will pay the Company up to $51 million composed of a $3 million upfront payment paid in June 1997, $33 million of product research funding over six years and $15 million of development and commercialization milestone payments. The Company and Lilly will jointly manage the research, development, manufacturing and marketing of drug candidates emerging from the collaboration. The Company will have primary responsibility for drug design, process development and pre-commercial drug substance manufacturing, and Lilly will have primary responsibility for formulation, preclinical and clinical development and global marketing. The Company has the option to supply 100 percent of Lilly's commercial drug substance supply needs. The Company will receive royalties on future product sales, if any. If the Company exercises its commercial supply option, the Company will receive drug supply payments in addition to royalties on future product sales, if any. Lilly has the right to terminate the agreement without cause upon six months' notice after June 1999. In connection with this collaboration, Lilly purchased 263,922 shares of the Company's common stock for $10 million.</w:t>
      </w:r>
    </w:p>
    <w:p>
      <w:pPr>
        <w:spacing w:after="0" w:line="185"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In March 1997, the Company completed a public offering of 3,450,000 shares of its Common Stock at $45.50 per share raising net proceeds after commissions and expenses of $149 million.</w:t>
      </w:r>
    </w:p>
    <w:p>
      <w:pPr>
        <w:spacing w:after="0" w:line="175"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At December 31, 1997, the Company leased approximately 134,000 square feet of space under leases with terms ranging from 3 to 8 years. In addition, the Company's liability for capitalized equipment lease obligations and other equipment financing totaled $8.4 million at December 31, 1997.</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adopted requirements relating to basic and diluted earnings per share in accordance with Statement of Financial Accounting Standards No. 128, "Earnings Per Share" as of the fourth quarter of 1997. Basic earnings per share is based upon the weighted average number of common shares outstanding during the period. Diluted earnings per share is based upon the weighted</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36</w:t>
      </w:r>
    </w:p>
    <w:p>
      <w:pPr>
        <w:sectPr>
          <w:pgSz w:w="11900" w:h="16838" w:orient="portrait"/>
          <w:cols w:equalWidth="0" w:num="1">
            <w:col w:w="10219"/>
          </w:cols>
          <w:pgMar w:left="240" w:top="638" w:right="1440" w:bottom="1440" w:gutter="0" w:footer="0" w:header="0"/>
        </w:sectPr>
      </w:pPr>
    </w:p>
    <w:bookmarkStart w:id="36" w:name="page37"/>
    <w:bookmarkEnd w:id="36"/>
    <w:p>
      <w:pPr>
        <w:ind w:right="3279"/>
        <w:spacing w:after="0" w:line="244" w:lineRule="auto"/>
        <w:rPr>
          <w:sz w:val="20"/>
          <w:szCs w:val="20"/>
          <w:color w:val="auto"/>
        </w:rPr>
      </w:pPr>
      <w:r>
        <w:rPr>
          <w:rFonts w:ascii="Courier New" w:cs="Courier New" w:eastAsia="Courier New" w:hAnsi="Courier New"/>
          <w:sz w:val="15"/>
          <w:szCs w:val="15"/>
          <w:color w:val="auto"/>
        </w:rPr>
        <w:t>average number of common shares outstanding during the period plus additional weighted average common equivalent shares outstanding during the period when the effect is not anti-dilutive. Common equivalent shares result from the assumed exercise of outstanding stock options, the proceeds of which are then assumed to have been used to repurchase outstanding stock options using the treasury stock method.</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Financial Accounting Standards Board ("FASB") has issued Statement of Financial Accounting Standards No. 130 ("SFAS 130"), "Reporting Comprehensive Income". This Statement requires that total comprehensive income be reported and that changes be shown in a financial statement displayed with the same prominence as other financial statements. SFAS 130 is effective for fiscal years beginning after December 15, 1997. Reclassification of financial statements for earlier periods is required for comparative purposes. The Company does not believe that this will have a material impact on net loss.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is currently assessing the potential impact of the year 2000 on the processing of date-sensitive information by the Company's computerized information systems and products purchased by the Company. The Company believes that its internal information systems are either year 2000 compliant or will be so prior to the year 2000 without incurring material costs. There can be no assurance, however, that the Company will not experience unexpected costs and delays in achieving year 2000 compliance for its internal information systems and current products, which could result in a material adverse effect on the Company's future results of operations.</w:t>
      </w:r>
    </w:p>
    <w:p>
      <w:pPr>
        <w:spacing w:after="0" w:line="178"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The information required by Item 8 is contained on pages F - 1 through F - 17 of this report.</w:t>
      </w:r>
    </w:p>
    <w:p>
      <w:pPr>
        <w:spacing w:after="0" w:line="176" w:lineRule="exact"/>
        <w:rPr>
          <w:sz w:val="20"/>
          <w:szCs w:val="20"/>
          <w:color w:val="auto"/>
        </w:rPr>
      </w:pPr>
    </w:p>
    <w:p>
      <w:pPr>
        <w:ind w:left="1260" w:right="4459" w:hanging="1261"/>
        <w:spacing w:after="0" w:line="243" w:lineRule="auto"/>
        <w:tabs>
          <w:tab w:leader="none" w:pos="124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AND FINANCIAL DISCLOSURE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8" w:lineRule="exact"/>
        <w:rPr>
          <w:sz w:val="20"/>
          <w:szCs w:val="20"/>
          <w:color w:val="auto"/>
        </w:rPr>
      </w:pPr>
    </w:p>
    <w:p>
      <w:pPr>
        <w:ind w:right="3199" w:firstLine="811"/>
        <w:spacing w:after="0" w:line="265" w:lineRule="auto"/>
        <w:rPr>
          <w:sz w:val="20"/>
          <w:szCs w:val="20"/>
          <w:color w:val="auto"/>
        </w:rPr>
      </w:pPr>
      <w:r>
        <w:rPr>
          <w:rFonts w:ascii="Courier New" w:cs="Courier New" w:eastAsia="Courier New" w:hAnsi="Courier New"/>
          <w:sz w:val="14"/>
          <w:szCs w:val="14"/>
          <w:color w:val="auto"/>
        </w:rPr>
        <w:t>The information regarding directors required by this Item is included in the definitive Proxy Statement for the Company's 1998 Annual Meeting of Stockholders, to be filed with the Commission on or about April 14, 1998 (the "1998 Proxy Statement"), under "Election of Directors" and is incorporated herein by reference. The information regarding executive officers required by this Item is included in Part I of this Annual Report on Form 10-K.</w:t>
      </w:r>
    </w:p>
    <w:p>
      <w:pPr>
        <w:spacing w:after="0" w:line="162"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information required by this Item is included in the 1998 Proxy Statement under "Executive Compensation" and is incorporated herein by reference (excluding, however, the "Report on Executive Compensation" and the Performance Graph contained in the 1998 Proxy Statement, which shall not be deemed incorporated herein).</w:t>
      </w:r>
    </w:p>
    <w:p>
      <w:pPr>
        <w:spacing w:after="0" w:line="176"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information required by this Item is included in the 1998 Proxy Statement under "Security Ownership of Certain Beneficial Owners and Management" and is incorporated herein by reference.</w:t>
      </w:r>
    </w:p>
    <w:p>
      <w:pPr>
        <w:spacing w:after="0" w:line="34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37</w:t>
      </w:r>
    </w:p>
    <w:p>
      <w:pPr>
        <w:sectPr>
          <w:pgSz w:w="11900" w:h="16838" w:orient="portrait"/>
          <w:cols w:equalWidth="0" w:num="1">
            <w:col w:w="10219"/>
          </w:cols>
          <w:pgMar w:left="240" w:top="638" w:right="1440" w:bottom="1440" w:gutter="0" w:footer="0" w:header="0"/>
        </w:sectPr>
      </w:pPr>
    </w:p>
    <w:bookmarkStart w:id="37" w:name="page38"/>
    <w:bookmarkEnd w:id="37"/>
    <w:p>
      <w:pPr>
        <w:spacing w:after="0"/>
        <w:tabs>
          <w:tab w:leader="none" w:pos="142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PART IV</w:t>
      </w:r>
    </w:p>
    <w:p>
      <w:pPr>
        <w:spacing w:after="0" w:line="17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8" w:lineRule="exact"/>
        <w:rPr>
          <w:sz w:val="20"/>
          <w:szCs w:val="20"/>
          <w:color w:val="auto"/>
        </w:rPr>
      </w:pPr>
    </w:p>
    <w:p>
      <w:pPr>
        <w:jc w:val="both"/>
        <w:ind w:left="800" w:right="3199" w:hanging="799"/>
        <w:spacing w:after="0" w:line="244" w:lineRule="auto"/>
        <w:tabs>
          <w:tab w:leader="none" w:pos="780" w:val="left"/>
        </w:tabs>
        <w:rPr>
          <w:sz w:val="20"/>
          <w:szCs w:val="20"/>
          <w:color w:val="auto"/>
        </w:rPr>
      </w:pPr>
      <w:r>
        <w:rPr>
          <w:rFonts w:ascii="Courier New" w:cs="Courier New" w:eastAsia="Courier New" w:hAnsi="Courier New"/>
          <w:sz w:val="15"/>
          <w:szCs w:val="15"/>
          <w:color w:val="auto"/>
        </w:rPr>
        <w:t>(a)(1)</w:t>
        <w:tab/>
        <w:t>Financial Statements. The Financial Statements required to be filed by Item 8 of this Annual Report on Form 10-K, and filed herewith, are as follows:</w:t>
      </w:r>
    </w:p>
    <w:p>
      <w:pPr>
        <w:spacing w:after="0" w:line="200" w:lineRule="exact"/>
        <w:rPr>
          <w:sz w:val="20"/>
          <w:szCs w:val="20"/>
          <w:color w:val="auto"/>
        </w:rPr>
      </w:pPr>
    </w:p>
    <w:p>
      <w:pPr>
        <w:spacing w:after="0" w:line="32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Page Number in</w:t>
            </w:r>
          </w:p>
        </w:tc>
      </w:tr>
      <w:tr>
        <w:trPr>
          <w:trHeight w:val="173"/>
        </w:trPr>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this Form 10-K</w:t>
            </w:r>
          </w:p>
        </w:tc>
      </w:tr>
      <w:tr>
        <w:trPr>
          <w:trHeight w:val="173"/>
        </w:trPr>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w:t>
            </w:r>
          </w:p>
        </w:tc>
      </w:tr>
      <w:tr>
        <w:trPr>
          <w:trHeight w:val="520"/>
        </w:trPr>
        <w:tc>
          <w:tcPr>
            <w:tcW w:w="6860" w:type="dxa"/>
            <w:vAlign w:val="bottom"/>
            <w:gridSpan w:val="3"/>
          </w:tcPr>
          <w:p>
            <w:pPr>
              <w:spacing w:after="0"/>
              <w:rPr>
                <w:sz w:val="20"/>
                <w:szCs w:val="20"/>
                <w:color w:val="auto"/>
              </w:rPr>
            </w:pPr>
            <w:r>
              <w:rPr>
                <w:rFonts w:ascii="Courier New" w:cs="Courier New" w:eastAsia="Courier New" w:hAnsi="Courier New"/>
                <w:sz w:val="15"/>
                <w:szCs w:val="15"/>
                <w:color w:val="auto"/>
                <w:w w:val="98"/>
              </w:rPr>
              <w:t>Report of Independent Accountants............................................</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F-2</w:t>
            </w:r>
          </w:p>
        </w:tc>
      </w:tr>
      <w:tr>
        <w:trPr>
          <w:trHeight w:val="34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5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Balance Sheets as of December 31, 1997 and 1996.................</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F-3</w:t>
            </w:r>
          </w:p>
        </w:tc>
      </w:tr>
      <w:tr>
        <w:trPr>
          <w:trHeight w:val="34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of Operations for the years ended</w:t>
            </w:r>
          </w:p>
        </w:tc>
        <w:tc>
          <w:tcPr>
            <w:tcW w:w="1260" w:type="dxa"/>
            <w:vAlign w:val="bottom"/>
          </w:tcPr>
          <w:p>
            <w:pPr>
              <w:spacing w:after="0"/>
              <w:rPr>
                <w:sz w:val="24"/>
                <w:szCs w:val="24"/>
                <w:color w:val="auto"/>
              </w:rPr>
            </w:pPr>
          </w:p>
        </w:tc>
      </w:tr>
      <w:tr>
        <w:trPr>
          <w:trHeight w:val="1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1997, 1996</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w w:val="98"/>
              </w:rPr>
              <w:t>and 1995 ............................................</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F-4</w:t>
            </w:r>
          </w:p>
        </w:tc>
      </w:tr>
      <w:tr>
        <w:trPr>
          <w:trHeight w:val="34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of Stockholders' Equity for the</w:t>
            </w:r>
          </w:p>
        </w:tc>
        <w:tc>
          <w:tcPr>
            <w:tcW w:w="1260" w:type="dxa"/>
            <w:vAlign w:val="bottom"/>
          </w:tcPr>
          <w:p>
            <w:pPr>
              <w:spacing w:after="0"/>
              <w:rPr>
                <w:sz w:val="24"/>
                <w:szCs w:val="24"/>
                <w:color w:val="auto"/>
              </w:rPr>
            </w:pPr>
          </w:p>
        </w:tc>
      </w:tr>
      <w:tr>
        <w:trPr>
          <w:trHeight w:val="173"/>
        </w:trPr>
        <w:tc>
          <w:tcPr>
            <w:tcW w:w="6860" w:type="dxa"/>
            <w:vAlign w:val="bottom"/>
            <w:gridSpan w:val="3"/>
          </w:tcPr>
          <w:p>
            <w:pPr>
              <w:spacing w:after="0"/>
              <w:rPr>
                <w:sz w:val="20"/>
                <w:szCs w:val="20"/>
                <w:color w:val="auto"/>
              </w:rPr>
            </w:pPr>
            <w:r>
              <w:rPr>
                <w:rFonts w:ascii="Courier New" w:cs="Courier New" w:eastAsia="Courier New" w:hAnsi="Courier New"/>
                <w:sz w:val="15"/>
                <w:szCs w:val="15"/>
                <w:color w:val="auto"/>
                <w:w w:val="98"/>
              </w:rPr>
              <w:t>years ended December 31, 1997, 1996 and 1995 ................................</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F-5</w:t>
            </w:r>
          </w:p>
        </w:tc>
      </w:tr>
      <w:tr>
        <w:trPr>
          <w:trHeight w:val="34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rPr>
              <w:t>of Cash Flows for the years ended</w:t>
            </w:r>
          </w:p>
        </w:tc>
        <w:tc>
          <w:tcPr>
            <w:tcW w:w="1260" w:type="dxa"/>
            <w:vAlign w:val="bottom"/>
          </w:tcPr>
          <w:p>
            <w:pPr>
              <w:spacing w:after="0"/>
              <w:rPr>
                <w:sz w:val="24"/>
                <w:szCs w:val="24"/>
                <w:color w:val="auto"/>
              </w:rPr>
            </w:pPr>
          </w:p>
        </w:tc>
      </w:tr>
      <w:tr>
        <w:trPr>
          <w:trHeight w:val="1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1997, 1996</w:t>
            </w:r>
          </w:p>
        </w:tc>
        <w:tc>
          <w:tcPr>
            <w:tcW w:w="4740" w:type="dxa"/>
            <w:vAlign w:val="bottom"/>
          </w:tcPr>
          <w:p>
            <w:pPr>
              <w:ind w:left="40"/>
              <w:spacing w:after="0"/>
              <w:rPr>
                <w:sz w:val="20"/>
                <w:szCs w:val="20"/>
                <w:color w:val="auto"/>
              </w:rPr>
            </w:pPr>
            <w:r>
              <w:rPr>
                <w:rFonts w:ascii="Courier New" w:cs="Courier New" w:eastAsia="Courier New" w:hAnsi="Courier New"/>
                <w:sz w:val="15"/>
                <w:szCs w:val="15"/>
                <w:color w:val="auto"/>
                <w:w w:val="98"/>
              </w:rPr>
              <w:t>and  1995 ...........................................</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F-6</w:t>
            </w:r>
          </w:p>
        </w:tc>
      </w:tr>
      <w:tr>
        <w:trPr>
          <w:trHeight w:val="347"/>
        </w:trPr>
        <w:tc>
          <w:tcPr>
            <w:tcW w:w="6860" w:type="dxa"/>
            <w:vAlign w:val="bottom"/>
            <w:gridSpan w:val="3"/>
          </w:tcPr>
          <w:p>
            <w:pPr>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F-7</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(a)(2) Financial Statement Schedules.</w:t>
      </w:r>
    </w:p>
    <w:p>
      <w:pPr>
        <w:spacing w:after="0" w:line="178" w:lineRule="exact"/>
        <w:rPr>
          <w:sz w:val="20"/>
          <w:szCs w:val="20"/>
          <w:color w:val="auto"/>
        </w:rPr>
      </w:pPr>
    </w:p>
    <w:p>
      <w:pPr>
        <w:ind w:left="620" w:right="3199"/>
        <w:spacing w:after="0" w:line="244" w:lineRule="auto"/>
        <w:rPr>
          <w:sz w:val="20"/>
          <w:szCs w:val="20"/>
          <w:color w:val="auto"/>
        </w:rPr>
      </w:pPr>
      <w:r>
        <w:rPr>
          <w:rFonts w:ascii="Courier New" w:cs="Courier New" w:eastAsia="Courier New" w:hAnsi="Courier New"/>
          <w:sz w:val="15"/>
          <w:szCs w:val="15"/>
          <w:color w:val="auto"/>
        </w:rPr>
        <w:t>Financial Statement Schedules have been omitted because they are either not applicable or the required information is included in the consolidated financial statements or notes thereto.</w:t>
      </w:r>
    </w:p>
    <w:p>
      <w:pPr>
        <w:spacing w:after="0" w:line="348"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(a)(3)</w:t>
        <w:tab/>
        <w:t>Exhibits.</w:t>
      </w:r>
    </w:p>
    <w:p>
      <w:pPr>
        <w:sectPr>
          <w:pgSz w:w="11900" w:h="16838" w:orient="portrait"/>
          <w:cols w:equalWidth="0" w:num="1">
            <w:col w:w="10219"/>
          </w:cols>
          <w:pgMar w:left="240" w:top="81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1880" w:space="720"/>
            <w:col w:w="7619"/>
          </w:cols>
          <w:pgMar w:left="240" w:top="811" w:right="1440" w:bottom="1440" w:gutter="0" w:footer="0" w:header="0"/>
          <w:type w:val="continuous"/>
        </w:sectPr>
      </w:pPr>
    </w:p>
    <w:p>
      <w:pPr>
        <w:spacing w:after="0" w:line="151" w:lineRule="exact"/>
        <w:rPr>
          <w:sz w:val="20"/>
          <w:szCs w:val="20"/>
          <w:color w:val="auto"/>
        </w:rPr>
      </w:pPr>
    </w:p>
    <w:p>
      <w:pPr>
        <w:ind w:left="800" w:right="3639" w:hanging="810"/>
        <w:spacing w:after="0" w:line="243" w:lineRule="auto"/>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Restated Articles of Organization filed with the Commonwealth of Massachusetts on July 31, 1991 (filed herewith).</w:t>
      </w:r>
    </w:p>
    <w:p>
      <w:pPr>
        <w:spacing w:after="0" w:line="176" w:lineRule="exact"/>
        <w:rPr>
          <w:sz w:val="20"/>
          <w:szCs w:val="20"/>
          <w:color w:val="auto"/>
        </w:rPr>
      </w:pPr>
    </w:p>
    <w:p>
      <w:pPr>
        <w:ind w:left="800" w:right="3199" w:hanging="810"/>
        <w:spacing w:after="0" w:line="243" w:lineRule="auto"/>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Articles of Amendment filed with the Commonwealth of Massachusetts on June 4, 1997 (filed herewith).</w:t>
      </w:r>
    </w:p>
    <w:p>
      <w:pPr>
        <w:spacing w:after="0" w:line="176" w:lineRule="exact"/>
        <w:rPr>
          <w:sz w:val="20"/>
          <w:szCs w:val="20"/>
          <w:color w:val="auto"/>
        </w:rPr>
      </w:pPr>
    </w:p>
    <w:p>
      <w:pPr>
        <w:ind w:left="800" w:right="301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Certificate of Vote of Directors Establishing a Series of a Class of Stock, as filed with the Secretary of the Commonwealth of Massachusetts on July 31, 1991 (filed herewith).</w:t>
      </w:r>
    </w:p>
    <w:p>
      <w:pPr>
        <w:spacing w:after="0" w:line="175" w:lineRule="exact"/>
        <w:rPr>
          <w:sz w:val="20"/>
          <w:szCs w:val="20"/>
          <w:color w:val="auto"/>
        </w:rPr>
      </w:pPr>
    </w:p>
    <w:p>
      <w:pPr>
        <w:ind w:left="800" w:right="345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By-laws of the Company (filed as Exhibit 3.2 to the Company's Registration Statement on Form S-1 (Registration No. 33-43874) and incorporated herein by reference).</w:t>
      </w:r>
    </w:p>
    <w:p>
      <w:pPr>
        <w:spacing w:after="0" w:line="34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38</w:t>
      </w:r>
    </w:p>
    <w:p>
      <w:pPr>
        <w:sectPr>
          <w:pgSz w:w="11900" w:h="16838" w:orient="portrait"/>
          <w:cols w:equalWidth="0" w:num="1">
            <w:col w:w="10219"/>
          </w:cols>
          <w:pgMar w:left="240" w:top="811" w:right="1440" w:bottom="1440" w:gutter="0" w:footer="0" w:header="0"/>
          <w:type w:val="continuous"/>
        </w:sectPr>
      </w:pPr>
    </w:p>
    <w:bookmarkStart w:id="38" w:name="page39"/>
    <w:bookmarkEnd w:id="38"/>
    <w:p>
      <w:pPr>
        <w:jc w:val="both"/>
        <w:ind w:left="800" w:right="355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stock certificate (filed as Exhibit 4.1 to the Company's Registration Statement on Form S-1 (Registration No. 33-40966) or amendments thereto and incorporated herein by reference).</w:t>
      </w:r>
    </w:p>
    <w:p>
      <w:pPr>
        <w:spacing w:after="0" w:line="175" w:lineRule="exact"/>
        <w:rPr>
          <w:sz w:val="20"/>
          <w:szCs w:val="20"/>
          <w:color w:val="auto"/>
        </w:rPr>
      </w:pPr>
    </w:p>
    <w:p>
      <w:pPr>
        <w:ind w:left="800" w:right="355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Stockholder Rights Plan (filed as Exhibit 4.2 to the Company's Registration Statement on Form S-1 (Registration No. 33-40966) or amendments thereto and incorporated herein by reference).</w:t>
      </w:r>
    </w:p>
    <w:p>
      <w:pPr>
        <w:spacing w:after="0" w:line="175" w:lineRule="exact"/>
        <w:rPr>
          <w:sz w:val="20"/>
          <w:szCs w:val="20"/>
          <w:color w:val="auto"/>
        </w:rPr>
      </w:pPr>
    </w:p>
    <w:p>
      <w:pPr>
        <w:ind w:left="800" w:right="309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First Amendment to Rights Agreement dated as of February 21, 1997 (filed as Exhibit 4.3 to the Company's 1996 Annual Report on Form 10-K (File No. 0-19319) and incorporated herein by reference).</w:t>
      </w:r>
    </w:p>
    <w:p>
      <w:pPr>
        <w:spacing w:after="0" w:line="175" w:lineRule="exact"/>
        <w:rPr>
          <w:sz w:val="20"/>
          <w:szCs w:val="20"/>
          <w:color w:val="auto"/>
        </w:rPr>
      </w:pPr>
    </w:p>
    <w:p>
      <w:pPr>
        <w:ind w:left="800" w:right="309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1991 Stock Option Plan, as amended and restated as of May 13, 1993 (filed as Exhibit 28.1 to the Company's Registration Statement on Form S-8 (No. 33-65742) and incorporated herein by reference).*</w:t>
      </w:r>
    </w:p>
    <w:p>
      <w:pPr>
        <w:spacing w:after="0" w:line="175" w:lineRule="exact"/>
        <w:rPr>
          <w:sz w:val="20"/>
          <w:szCs w:val="20"/>
          <w:color w:val="auto"/>
        </w:rPr>
      </w:pPr>
    </w:p>
    <w:p>
      <w:pPr>
        <w:ind w:left="800" w:right="301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1994 Stock and Option Plan (filed as Exhibit 10.2 to the Company's 1994 Annual Report on Form 10-K (File No. 0-19319) and incorporated herein by reference).*</w:t>
      </w:r>
    </w:p>
    <w:p>
      <w:pPr>
        <w:spacing w:after="0" w:line="175" w:lineRule="exact"/>
        <w:rPr>
          <w:sz w:val="20"/>
          <w:szCs w:val="20"/>
          <w:color w:val="auto"/>
        </w:rPr>
      </w:pPr>
    </w:p>
    <w:p>
      <w:pPr>
        <w:ind w:left="800" w:right="301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1996 Stock and Option Plan (filed as Exhibit 10.3 to the Company's 1996 Annual Report on Form 10-K (File No. 0-19319) and incorporated herein by reference).*</w:t>
      </w:r>
    </w:p>
    <w:p>
      <w:pPr>
        <w:spacing w:after="0" w:line="175" w:lineRule="exact"/>
        <w:rPr>
          <w:sz w:val="20"/>
          <w:szCs w:val="20"/>
          <w:color w:val="auto"/>
        </w:rPr>
      </w:pPr>
    </w:p>
    <w:p>
      <w:pPr>
        <w:ind w:left="800" w:right="3559" w:hanging="810"/>
        <w:spacing w:after="0" w:line="243" w:lineRule="auto"/>
        <w:tabs>
          <w:tab w:leader="none" w:pos="7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Amendment to 1996 Stock and Option Plan adopted December 12, 1997 (filed herewith).*</w:t>
      </w:r>
    </w:p>
    <w:p>
      <w:pPr>
        <w:spacing w:after="0" w:line="176" w:lineRule="exact"/>
        <w:rPr>
          <w:sz w:val="20"/>
          <w:szCs w:val="20"/>
          <w:color w:val="auto"/>
        </w:rPr>
      </w:pPr>
    </w:p>
    <w:p>
      <w:pPr>
        <w:ind w:left="800" w:right="309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Non-Competition and Stock Repurchase Agreement between the Company and Joshua Boger, dated April 20, 1989 (filed as Exhibit 10.2 to the Company's Registration Statement on Form S-1 (Registration No.</w:t>
      </w:r>
    </w:p>
    <w:p>
      <w:pPr>
        <w:spacing w:after="0" w:line="1"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33-40966) or amendments thereto and incorporated herein by reference).*</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Form of Employee Stock Purchase Agreement (filed as Exhibit 10.3 to the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Company's Registration Statement on Form S-1 (Registration No.</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33-40966) or amendments thereto and incorporated herein by reference).*</w:t>
      </w:r>
    </w:p>
    <w:p>
      <w:pPr>
        <w:spacing w:after="0" w:line="178" w:lineRule="exact"/>
        <w:rPr>
          <w:sz w:val="20"/>
          <w:szCs w:val="20"/>
          <w:color w:val="auto"/>
        </w:rPr>
      </w:pPr>
    </w:p>
    <w:p>
      <w:pPr>
        <w:ind w:left="800" w:right="345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Form of Employee Non-Disclosure and Inventions Agreement (filed as Exhibit 10.4 to the Company's Registration Statement on Form S-1 (Registration No. 33-40966) or amendments thereto and incorporated herein by reference).</w:t>
      </w:r>
    </w:p>
    <w:p>
      <w:pPr>
        <w:spacing w:after="0" w:line="176" w:lineRule="exact"/>
        <w:rPr>
          <w:sz w:val="20"/>
          <w:szCs w:val="20"/>
          <w:color w:val="auto"/>
        </w:rPr>
      </w:pPr>
    </w:p>
    <w:p>
      <w:pPr>
        <w:ind w:left="800" w:right="309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Form of Executive Employment Agreement executed by Richard H. Aldrich, Joshua S. Boger, and Vicki L. Sato (filed as Exhibit 10.6 to the Company's 1994 Annual Report on Form 10-K (File No. 0-19319) and incorporated herein by reference).*</w:t>
      </w:r>
    </w:p>
    <w:p>
      <w:pPr>
        <w:spacing w:after="0" w:line="176" w:lineRule="exact"/>
        <w:rPr>
          <w:sz w:val="20"/>
          <w:szCs w:val="20"/>
          <w:color w:val="auto"/>
        </w:rPr>
      </w:pPr>
    </w:p>
    <w:p>
      <w:pPr>
        <w:ind w:left="800" w:right="309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Form of Amendment to Employment Agreement executed by Richard H. Aldrich, Joshua S. Boger and Vicki L. Sato (filed as Exhibit 10.1 to the Company's Quarterly Report on Form 10-Q for the quarter ended June 30, 1995 (File No. 0-19319) and incorporated herein by reference).</w:t>
      </w:r>
    </w:p>
    <w:p>
      <w:pPr>
        <w:spacing w:after="0" w:line="176" w:lineRule="exact"/>
        <w:rPr>
          <w:sz w:val="20"/>
          <w:szCs w:val="20"/>
          <w:color w:val="auto"/>
        </w:rPr>
      </w:pPr>
    </w:p>
    <w:p>
      <w:pPr>
        <w:ind w:left="800" w:right="3019" w:hanging="810"/>
        <w:spacing w:after="0" w:line="244" w:lineRule="auto"/>
        <w:tabs>
          <w:tab w:leader="none" w:pos="78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Series C Convertible Preferred Stock Purchase Agreement between the Company and the party named therein, dated September 21, 1990 (filed as Exhibit 10.8 to the Company's Registration Statement on Form S-1 (Registration No. 33-40966) or amendments thereto and incorporated herein by reference).</w:t>
      </w:r>
    </w:p>
    <w:p>
      <w:pPr>
        <w:spacing w:after="0" w:line="177" w:lineRule="exact"/>
        <w:rPr>
          <w:sz w:val="20"/>
          <w:szCs w:val="20"/>
          <w:color w:val="auto"/>
        </w:rPr>
      </w:pPr>
    </w:p>
    <w:p>
      <w:pPr>
        <w:ind w:left="800" w:right="3279" w:hanging="810"/>
        <w:spacing w:after="0" w:line="243" w:lineRule="auto"/>
        <w:tabs>
          <w:tab w:leader="none" w:pos="78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Stock Purchase Agreement dated November 10, 1994 between the Company and</w:t>
      </w:r>
    </w:p>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39</w:t>
      </w:r>
    </w:p>
    <w:p>
      <w:pPr>
        <w:sectPr>
          <w:pgSz w:w="11900" w:h="16838" w:orient="portrait"/>
          <w:cols w:equalWidth="0" w:num="1">
            <w:col w:w="10219"/>
          </w:cols>
          <w:pgMar w:left="240" w:top="812" w:right="1440" w:bottom="1440" w:gutter="0" w:footer="0" w:header="0"/>
        </w:sectPr>
      </w:pPr>
    </w:p>
    <w:bookmarkStart w:id="39" w:name="page40"/>
    <w:bookmarkEnd w:id="39"/>
    <w:p>
      <w:pPr>
        <w:ind w:right="3199"/>
        <w:spacing w:after="0" w:line="244" w:lineRule="auto"/>
        <w:rPr>
          <w:sz w:val="20"/>
          <w:szCs w:val="20"/>
          <w:color w:val="auto"/>
        </w:rPr>
      </w:pPr>
      <w:r>
        <w:rPr>
          <w:rFonts w:ascii="Courier New" w:cs="Courier New" w:eastAsia="Courier New" w:hAnsi="Courier New"/>
          <w:sz w:val="15"/>
          <w:szCs w:val="15"/>
          <w:color w:val="auto"/>
        </w:rPr>
        <w:t>Biotech Target S.A. (filed as Exhibit 10.12 to the Company's 1994 Annual Report on Form 10-K (File No. 0-19319) and incorporated herein by reference).</w:t>
      </w:r>
    </w:p>
    <w:p>
      <w:pPr>
        <w:spacing w:after="0" w:line="175" w:lineRule="exact"/>
        <w:rPr>
          <w:sz w:val="20"/>
          <w:szCs w:val="20"/>
          <w:color w:val="auto"/>
        </w:rPr>
      </w:pPr>
    </w:p>
    <w:p>
      <w:pPr>
        <w:ind w:right="3199" w:hanging="810"/>
        <w:spacing w:after="0" w:line="244" w:lineRule="auto"/>
        <w:rPr>
          <w:sz w:val="20"/>
          <w:szCs w:val="20"/>
          <w:color w:val="auto"/>
        </w:rPr>
      </w:pPr>
      <w:r>
        <w:rPr>
          <w:rFonts w:ascii="Courier New" w:cs="Courier New" w:eastAsia="Courier New" w:hAnsi="Courier New"/>
          <w:sz w:val="15"/>
          <w:szCs w:val="15"/>
          <w:color w:val="auto"/>
        </w:rPr>
        <w:t>10.12</w:t>
      </w:r>
      <w:r>
        <w:rPr>
          <w:sz w:val="20"/>
          <w:szCs w:val="20"/>
          <w:color w:val="auto"/>
        </w:rPr>
        <w:t xml:space="preserve"> </w:t>
      </w:r>
      <w:r>
        <w:rPr>
          <w:rFonts w:ascii="Courier New" w:cs="Courier New" w:eastAsia="Courier New" w:hAnsi="Courier New"/>
          <w:sz w:val="15"/>
          <w:szCs w:val="15"/>
          <w:color w:val="auto"/>
        </w:rPr>
        <w:t>Lease dated October 1, 1992 between C. Vincent Vappi and the Company relating to the premises at 40 Allston Street, 618 Putnam Street, 228 Sidney Street, and 240 Sidney Street (filed as Exhibit 10.14 to the Company's Annual Report on Form 10-K for the year ended December 31, 1992 (File No. 0-19319) and incorporated herein by reference).</w:t>
      </w:r>
    </w:p>
    <w:p>
      <w:pPr>
        <w:spacing w:after="0" w:line="177" w:lineRule="exact"/>
        <w:rPr>
          <w:sz w:val="20"/>
          <w:szCs w:val="20"/>
          <w:color w:val="auto"/>
        </w:rPr>
      </w:pPr>
    </w:p>
    <w:p>
      <w:pPr>
        <w:ind w:right="3019" w:hanging="810"/>
        <w:spacing w:after="0" w:line="244" w:lineRule="auto"/>
        <w:rPr>
          <w:sz w:val="20"/>
          <w:szCs w:val="20"/>
          <w:color w:val="auto"/>
        </w:rPr>
      </w:pPr>
      <w:r>
        <w:rPr>
          <w:rFonts w:ascii="Courier New" w:cs="Courier New" w:eastAsia="Courier New" w:hAnsi="Courier New"/>
          <w:sz w:val="15"/>
          <w:szCs w:val="15"/>
          <w:color w:val="auto"/>
        </w:rPr>
        <w:t>10.13</w:t>
      </w:r>
      <w:r>
        <w:rPr>
          <w:sz w:val="20"/>
          <w:szCs w:val="20"/>
          <w:color w:val="auto"/>
        </w:rPr>
        <w:t xml:space="preserve"> </w:t>
      </w:r>
      <w:r>
        <w:rPr>
          <w:rFonts w:ascii="Courier New" w:cs="Courier New" w:eastAsia="Courier New" w:hAnsi="Courier New"/>
          <w:sz w:val="15"/>
          <w:szCs w:val="15"/>
          <w:color w:val="auto"/>
        </w:rPr>
        <w:t>First Amendment as of March 1, 1995 to the lease between C. Vincent Vappi and the Company (filed as Exhibit 10.2 to the Company's Quarterly Report on Form 10-Q for the quarter ended June 30, 1995 (File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0-19319) and incorporated herein by reference).</w:t>
      </w:r>
    </w:p>
    <w:p>
      <w:pPr>
        <w:spacing w:after="0" w:line="178" w:lineRule="exact"/>
        <w:rPr>
          <w:sz w:val="20"/>
          <w:szCs w:val="20"/>
          <w:color w:val="auto"/>
        </w:rPr>
      </w:pPr>
    </w:p>
    <w:p>
      <w:pPr>
        <w:ind w:right="3199" w:hanging="810"/>
        <w:spacing w:after="0" w:line="244" w:lineRule="auto"/>
        <w:rPr>
          <w:sz w:val="20"/>
          <w:szCs w:val="20"/>
          <w:color w:val="auto"/>
        </w:rPr>
      </w:pPr>
      <w:r>
        <w:rPr>
          <w:rFonts w:ascii="Courier New" w:cs="Courier New" w:eastAsia="Courier New" w:hAnsi="Courier New"/>
          <w:sz w:val="15"/>
          <w:szCs w:val="15"/>
          <w:color w:val="auto"/>
        </w:rPr>
        <w:t>10.14</w:t>
      </w:r>
      <w:r>
        <w:rPr>
          <w:sz w:val="20"/>
          <w:szCs w:val="20"/>
          <w:color w:val="auto"/>
        </w:rPr>
        <w:t xml:space="preserve"> </w:t>
      </w:r>
      <w:r>
        <w:rPr>
          <w:rFonts w:ascii="Courier New" w:cs="Courier New" w:eastAsia="Courier New" w:hAnsi="Courier New"/>
          <w:sz w:val="15"/>
          <w:szCs w:val="15"/>
          <w:color w:val="auto"/>
        </w:rPr>
        <w:t>Second Amendment as of February 12, 1997 to Lease between C. Vincent Vappi and the Company (filed as Exhibit 10.14 to the Company's Annual Report on Form 10-K for the year ended December 31, 1996 (File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0-19319) and incorporated herein by reference ).</w:t>
      </w:r>
    </w:p>
    <w:p>
      <w:pPr>
        <w:spacing w:after="0" w:line="178" w:lineRule="exact"/>
        <w:rPr>
          <w:sz w:val="20"/>
          <w:szCs w:val="20"/>
          <w:color w:val="auto"/>
        </w:rPr>
      </w:pPr>
    </w:p>
    <w:p>
      <w:pPr>
        <w:ind w:right="3019" w:hanging="810"/>
        <w:spacing w:after="0" w:line="244" w:lineRule="auto"/>
        <w:rPr>
          <w:sz w:val="20"/>
          <w:szCs w:val="20"/>
          <w:color w:val="auto"/>
        </w:rPr>
      </w:pPr>
      <w:r>
        <w:rPr>
          <w:rFonts w:ascii="Courier New" w:cs="Courier New" w:eastAsia="Courier New" w:hAnsi="Courier New"/>
          <w:sz w:val="15"/>
          <w:szCs w:val="15"/>
          <w:color w:val="auto"/>
        </w:rPr>
        <w:t>10.15</w:t>
      </w:r>
      <w:r>
        <w:rPr>
          <w:sz w:val="20"/>
          <w:szCs w:val="20"/>
          <w:color w:val="auto"/>
        </w:rPr>
        <w:t xml:space="preserve"> </w:t>
      </w:r>
      <w:r>
        <w:rPr>
          <w:rFonts w:ascii="Courier New" w:cs="Courier New" w:eastAsia="Courier New" w:hAnsi="Courier New"/>
          <w:sz w:val="15"/>
          <w:szCs w:val="15"/>
          <w:color w:val="auto"/>
        </w:rPr>
        <w:t>Lease dated March 1, 1993, between Fort Washington Realty Trust and the Company, relating to the premises at 625 Putnam Avenue, Cambridge, MA (filed as Exhibit 10.10 to the Company's Annual Report on Form 10-K for the year ended December 31, 1993 (File No. 0-19319) and incorporated herein by reference).</w:t>
      </w:r>
    </w:p>
    <w:p>
      <w:pPr>
        <w:spacing w:after="0" w:line="177" w:lineRule="exact"/>
        <w:rPr>
          <w:sz w:val="20"/>
          <w:szCs w:val="20"/>
          <w:color w:val="auto"/>
        </w:rPr>
      </w:pPr>
    </w:p>
    <w:p>
      <w:pPr>
        <w:ind w:right="3099" w:hanging="810"/>
        <w:spacing w:after="0" w:line="244" w:lineRule="auto"/>
        <w:rPr>
          <w:sz w:val="20"/>
          <w:szCs w:val="20"/>
          <w:color w:val="auto"/>
        </w:rPr>
      </w:pPr>
      <w:r>
        <w:rPr>
          <w:rFonts w:ascii="Courier New" w:cs="Courier New" w:eastAsia="Courier New" w:hAnsi="Courier New"/>
          <w:sz w:val="15"/>
          <w:szCs w:val="15"/>
          <w:color w:val="auto"/>
        </w:rPr>
        <w:t>10.16</w:t>
      </w:r>
      <w:r>
        <w:rPr>
          <w:sz w:val="20"/>
          <w:szCs w:val="20"/>
          <w:color w:val="auto"/>
        </w:rPr>
        <w:t xml:space="preserve"> </w:t>
      </w:r>
      <w:r>
        <w:rPr>
          <w:rFonts w:ascii="Courier New" w:cs="Courier New" w:eastAsia="Courier New" w:hAnsi="Courier New"/>
          <w:sz w:val="15"/>
          <w:szCs w:val="15"/>
          <w:color w:val="auto"/>
        </w:rPr>
        <w:t>First Amendment, dated 1 December 1996, to Lease between Fort Washington Realty Trust and the Company dated 1 March 1993 (filed as Exhibit 10.16 to the Company's Annual Report on Form 10-K for the year ended December 31, 1996 (File No. 0-19319) and incorporated herein by reference).</w:t>
      </w:r>
    </w:p>
    <w:p>
      <w:pPr>
        <w:spacing w:after="0" w:line="177" w:lineRule="exact"/>
        <w:rPr>
          <w:sz w:val="20"/>
          <w:szCs w:val="20"/>
          <w:color w:val="auto"/>
        </w:rPr>
      </w:pPr>
    </w:p>
    <w:p>
      <w:pPr>
        <w:ind w:right="3559" w:hanging="810"/>
        <w:spacing w:after="0" w:line="244" w:lineRule="auto"/>
        <w:rPr>
          <w:sz w:val="20"/>
          <w:szCs w:val="20"/>
          <w:color w:val="auto"/>
        </w:rPr>
      </w:pPr>
      <w:r>
        <w:rPr>
          <w:rFonts w:ascii="Courier New" w:cs="Courier New" w:eastAsia="Courier New" w:hAnsi="Courier New"/>
          <w:sz w:val="15"/>
          <w:szCs w:val="15"/>
          <w:color w:val="auto"/>
        </w:rPr>
        <w:t>10.17</w:t>
      </w:r>
      <w:r>
        <w:rPr>
          <w:sz w:val="20"/>
          <w:szCs w:val="20"/>
          <w:color w:val="auto"/>
        </w:rPr>
        <w:t xml:space="preserve"> </w:t>
      </w:r>
      <w:r>
        <w:rPr>
          <w:rFonts w:ascii="Courier New" w:cs="Courier New" w:eastAsia="Courier New" w:hAnsi="Courier New"/>
          <w:sz w:val="15"/>
          <w:szCs w:val="15"/>
          <w:color w:val="auto"/>
        </w:rPr>
        <w:t>Second Amendment, dated 1 February 1998, to Lease between Fort Washington Realty Trust and the Company dated 1 March 1993 (filed herewith).</w:t>
      </w:r>
    </w:p>
    <w:p>
      <w:pPr>
        <w:spacing w:after="0" w:line="175" w:lineRule="exact"/>
        <w:rPr>
          <w:sz w:val="20"/>
          <w:szCs w:val="20"/>
          <w:color w:val="auto"/>
        </w:rPr>
      </w:pPr>
    </w:p>
    <w:p>
      <w:pPr>
        <w:ind w:right="3019" w:hanging="810"/>
        <w:spacing w:after="0" w:line="244" w:lineRule="auto"/>
        <w:rPr>
          <w:sz w:val="20"/>
          <w:szCs w:val="20"/>
          <w:color w:val="auto"/>
        </w:rPr>
      </w:pPr>
      <w:r>
        <w:rPr>
          <w:rFonts w:ascii="Courier New" w:cs="Courier New" w:eastAsia="Courier New" w:hAnsi="Courier New"/>
          <w:sz w:val="15"/>
          <w:szCs w:val="15"/>
          <w:color w:val="auto"/>
        </w:rPr>
        <w:t>10.18</w:t>
      </w:r>
      <w:r>
        <w:rPr>
          <w:sz w:val="20"/>
          <w:szCs w:val="20"/>
          <w:color w:val="auto"/>
        </w:rPr>
        <w:t xml:space="preserve"> </w:t>
      </w:r>
      <w:r>
        <w:rPr>
          <w:rFonts w:ascii="Courier New" w:cs="Courier New" w:eastAsia="Courier New" w:hAnsi="Courier New"/>
          <w:sz w:val="15"/>
          <w:szCs w:val="15"/>
          <w:color w:val="auto"/>
        </w:rPr>
        <w:t>Lease dated March 3, 1995, between Fort Washington Realty Trust and the Company, relating to the premises at 130 Waverly Street, Cambridge, MA (filed as Exhibit 10.15 to the Company's 1994 Annual Report on Form 10-K (File No. 0-19319) and incorporated herein by reference).</w:t>
      </w:r>
    </w:p>
    <w:p>
      <w:pPr>
        <w:spacing w:after="0" w:line="176" w:lineRule="exact"/>
        <w:rPr>
          <w:sz w:val="20"/>
          <w:szCs w:val="20"/>
          <w:color w:val="auto"/>
        </w:rPr>
      </w:pPr>
    </w:p>
    <w:p>
      <w:pPr>
        <w:ind w:right="3199" w:hanging="810"/>
        <w:spacing w:after="0" w:line="244" w:lineRule="auto"/>
        <w:rPr>
          <w:sz w:val="20"/>
          <w:szCs w:val="20"/>
          <w:color w:val="auto"/>
        </w:rPr>
      </w:pPr>
      <w:r>
        <w:rPr>
          <w:rFonts w:ascii="Courier New" w:cs="Courier New" w:eastAsia="Courier New" w:hAnsi="Courier New"/>
          <w:sz w:val="15"/>
          <w:szCs w:val="15"/>
          <w:color w:val="auto"/>
        </w:rPr>
        <w:t>10.19</w:t>
      </w:r>
      <w:r>
        <w:rPr>
          <w:sz w:val="20"/>
          <w:szCs w:val="20"/>
          <w:color w:val="auto"/>
        </w:rPr>
        <w:t xml:space="preserve"> </w:t>
      </w:r>
      <w:r>
        <w:rPr>
          <w:rFonts w:ascii="Courier New" w:cs="Courier New" w:eastAsia="Courier New" w:hAnsi="Courier New"/>
          <w:sz w:val="15"/>
          <w:szCs w:val="15"/>
          <w:color w:val="auto"/>
        </w:rPr>
        <w:t>First Amendment to Lease dated March 3, 1995 between Fort Washington Realty Trust and the Company (filed as Exhibit 10.15 to the Company's 1995 Annual Report on Form 10-K (File No. 0-19319) and incorporated herein by reference).</w:t>
      </w:r>
    </w:p>
    <w:p>
      <w:pPr>
        <w:spacing w:after="0" w:line="176" w:lineRule="exact"/>
        <w:rPr>
          <w:sz w:val="20"/>
          <w:szCs w:val="20"/>
          <w:color w:val="auto"/>
        </w:rPr>
      </w:pPr>
    </w:p>
    <w:p>
      <w:pPr>
        <w:ind w:right="3099" w:hanging="810"/>
        <w:spacing w:after="0" w:line="243" w:lineRule="auto"/>
        <w:rPr>
          <w:sz w:val="20"/>
          <w:szCs w:val="20"/>
          <w:color w:val="auto"/>
        </w:rPr>
      </w:pPr>
      <w:r>
        <w:rPr>
          <w:rFonts w:ascii="Courier New" w:cs="Courier New" w:eastAsia="Courier New" w:hAnsi="Courier New"/>
          <w:sz w:val="15"/>
          <w:szCs w:val="15"/>
          <w:color w:val="auto"/>
        </w:rPr>
        <w:t>10.20</w:t>
      </w:r>
      <w:r>
        <w:rPr>
          <w:sz w:val="20"/>
          <w:szCs w:val="20"/>
          <w:color w:val="auto"/>
        </w:rPr>
        <w:t xml:space="preserve"> </w:t>
      </w:r>
      <w:r>
        <w:rPr>
          <w:rFonts w:ascii="Courier New" w:cs="Courier New" w:eastAsia="Courier New" w:hAnsi="Courier New"/>
          <w:sz w:val="15"/>
          <w:szCs w:val="15"/>
          <w:color w:val="auto"/>
        </w:rPr>
        <w:t>Second Amendment to Lease and Option Agreement dated June 12, 1997 between Fort Washington Realty Trust and the Company (filed herewith).</w:t>
      </w:r>
    </w:p>
    <w:p>
      <w:pPr>
        <w:spacing w:after="0" w:line="176" w:lineRule="exact"/>
        <w:rPr>
          <w:sz w:val="20"/>
          <w:szCs w:val="20"/>
          <w:color w:val="auto"/>
        </w:rPr>
      </w:pPr>
    </w:p>
    <w:p>
      <w:pPr>
        <w:ind w:right="3099" w:hanging="810"/>
        <w:spacing w:after="0" w:line="244" w:lineRule="auto"/>
        <w:rPr>
          <w:sz w:val="20"/>
          <w:szCs w:val="20"/>
          <w:color w:val="auto"/>
        </w:rPr>
      </w:pPr>
      <w:r>
        <w:rPr>
          <w:rFonts w:ascii="Courier New" w:cs="Courier New" w:eastAsia="Courier New" w:hAnsi="Courier New"/>
          <w:sz w:val="15"/>
          <w:szCs w:val="15"/>
          <w:color w:val="auto"/>
        </w:rPr>
        <w:t>10.21</w:t>
      </w:r>
      <w:r>
        <w:rPr>
          <w:sz w:val="20"/>
          <w:szCs w:val="20"/>
          <w:color w:val="auto"/>
        </w:rPr>
        <w:t xml:space="preserve"> </w:t>
      </w:r>
      <w:r>
        <w:rPr>
          <w:rFonts w:ascii="Courier New" w:cs="Courier New" w:eastAsia="Courier New" w:hAnsi="Courier New"/>
          <w:sz w:val="15"/>
          <w:szCs w:val="15"/>
          <w:color w:val="auto"/>
        </w:rPr>
        <w:t>Research and Development Agreement dated April 13, 1993 between the Company and Kissei Pharmaceutical Co., Ltd. (with certain confidential information deleted) (filed as Exhibit 10.1 to the Company's Quarterly Report on Form 10-Q for the quarter ended March 31, 1993 (File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0-19319) and incorporated herein by reference).</w:t>
      </w:r>
    </w:p>
    <w:p>
      <w:pPr>
        <w:spacing w:after="0" w:line="178" w:lineRule="exact"/>
        <w:rPr>
          <w:sz w:val="20"/>
          <w:szCs w:val="20"/>
          <w:color w:val="auto"/>
        </w:rPr>
      </w:pPr>
    </w:p>
    <w:p>
      <w:pPr>
        <w:ind w:right="3099" w:hanging="810"/>
        <w:spacing w:after="0" w:line="244" w:lineRule="auto"/>
        <w:rPr>
          <w:sz w:val="20"/>
          <w:szCs w:val="20"/>
          <w:color w:val="auto"/>
        </w:rPr>
      </w:pPr>
      <w:r>
        <w:rPr>
          <w:rFonts w:ascii="Courier New" w:cs="Courier New" w:eastAsia="Courier New" w:hAnsi="Courier New"/>
          <w:sz w:val="15"/>
          <w:szCs w:val="15"/>
          <w:color w:val="auto"/>
        </w:rPr>
        <w:t>10.22</w:t>
      </w:r>
      <w:r>
        <w:rPr>
          <w:sz w:val="20"/>
          <w:szCs w:val="20"/>
          <w:color w:val="auto"/>
        </w:rPr>
        <w:t xml:space="preserve"> </w:t>
      </w:r>
      <w:r>
        <w:rPr>
          <w:rFonts w:ascii="Courier New" w:cs="Courier New" w:eastAsia="Courier New" w:hAnsi="Courier New"/>
          <w:sz w:val="15"/>
          <w:szCs w:val="15"/>
          <w:color w:val="auto"/>
        </w:rPr>
        <w:t>Research, Development, and License Agreement dated September 8, 1993 between the Company and Roussel Uclaf (with certain confidential information deleted) (filed as Exhibit 10.1 to the Company's Quarterly Report on Form 10-Q for the quarter ended September 30, 1993 (File No. 0-19319) and incorporated herein by reference).</w:t>
      </w:r>
    </w:p>
    <w:p>
      <w:pPr>
        <w:spacing w:after="0" w:line="349"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Page 40</w:t>
      </w:r>
    </w:p>
    <w:p>
      <w:pPr>
        <w:sectPr>
          <w:pgSz w:w="11900" w:h="16838" w:orient="portrait"/>
          <w:cols w:equalWidth="0" w:num="1">
            <w:col w:w="9419"/>
          </w:cols>
          <w:pgMar w:left="1040" w:top="812" w:right="1440" w:bottom="1440" w:gutter="0" w:footer="0" w:header="0"/>
        </w:sectPr>
      </w:pPr>
    </w:p>
    <w:bookmarkStart w:id="40" w:name="page41"/>
    <w:bookmarkEnd w:id="40"/>
    <w:p>
      <w:pPr>
        <w:ind w:left="808" w:right="3019" w:hanging="810"/>
        <w:spacing w:after="0" w:line="244" w:lineRule="auto"/>
        <w:tabs>
          <w:tab w:leader="none" w:pos="787"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5"/>
          <w:szCs w:val="15"/>
          <w:color w:val="auto"/>
        </w:rPr>
        <w:t>Research Agreement and License Agreement, both dated December 16, 1993, between the Company and Burroughs Wellcome Co. (with certain confidential information deleted) (filed as Exhibit 10.16 to the Company's Annual Report on Form 10-K for the year ended December 31, 1993 (File No. 0-19319) and incorporated herein by reference).</w:t>
      </w:r>
    </w:p>
    <w:p>
      <w:pPr>
        <w:spacing w:after="0" w:line="177" w:lineRule="exact"/>
        <w:rPr>
          <w:sz w:val="20"/>
          <w:szCs w:val="20"/>
          <w:color w:val="auto"/>
        </w:rPr>
      </w:pPr>
    </w:p>
    <w:p>
      <w:pPr>
        <w:ind w:left="808" w:right="3019" w:hanging="810"/>
        <w:spacing w:after="0" w:line="244" w:lineRule="auto"/>
        <w:tabs>
          <w:tab w:leader="none" w:pos="787"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5"/>
          <w:szCs w:val="15"/>
          <w:color w:val="auto"/>
        </w:rPr>
        <w:t>License Agreement and Supply Agreement, both dated May 9, 1996, between the Company and BioChem Pharma (International) Inc. (with certain confidential information deleted) (filed as Exhibit 10.1 to the Company's Quarterly Report on 10-Q for the quarter ended March 31, 1996 (File No. 0-19319) and incorporated herein by reference).</w:t>
      </w:r>
    </w:p>
    <w:p>
      <w:pPr>
        <w:spacing w:after="0" w:line="177" w:lineRule="exact"/>
        <w:rPr>
          <w:sz w:val="20"/>
          <w:szCs w:val="20"/>
          <w:color w:val="auto"/>
        </w:rPr>
      </w:pPr>
    </w:p>
    <w:p>
      <w:pPr>
        <w:ind w:left="808" w:right="3199" w:hanging="810"/>
        <w:spacing w:after="0" w:line="244" w:lineRule="auto"/>
        <w:tabs>
          <w:tab w:leader="none" w:pos="787"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5"/>
          <w:szCs w:val="15"/>
          <w:color w:val="auto"/>
        </w:rPr>
        <w:t>Research and Development Agreement between the Company and Eli Lilly and Company effective June 11, 1997 (filed with certain confidential information deleted as Exhibit 10.1 to the Company's Quarterly Report on Form 10-Q for the quarter ended June 30, 1997, and incorporated herein by reference).</w:t>
      </w:r>
    </w:p>
    <w:p>
      <w:pPr>
        <w:spacing w:after="0" w:line="177" w:lineRule="exact"/>
        <w:rPr>
          <w:sz w:val="20"/>
          <w:szCs w:val="20"/>
          <w:color w:val="auto"/>
        </w:rPr>
      </w:pPr>
    </w:p>
    <w:p>
      <w:pPr>
        <w:ind w:left="808" w:right="3019" w:hanging="810"/>
        <w:spacing w:after="0" w:line="244" w:lineRule="auto"/>
        <w:tabs>
          <w:tab w:leader="none" w:pos="787" w:val="left"/>
        </w:tabs>
        <w:rPr>
          <w:sz w:val="20"/>
          <w:szCs w:val="20"/>
          <w:color w:val="auto"/>
        </w:rPr>
      </w:pPr>
      <w:r>
        <w:rPr>
          <w:rFonts w:ascii="Courier New" w:cs="Courier New" w:eastAsia="Courier New" w:hAnsi="Courier New"/>
          <w:sz w:val="15"/>
          <w:szCs w:val="15"/>
          <w:color w:val="auto"/>
        </w:rPr>
        <w:t>10.26</w:t>
      </w:r>
      <w:r>
        <w:rPr>
          <w:sz w:val="20"/>
          <w:szCs w:val="20"/>
          <w:color w:val="auto"/>
        </w:rPr>
        <w:tab/>
      </w:r>
      <w:r>
        <w:rPr>
          <w:rFonts w:ascii="Courier New" w:cs="Courier New" w:eastAsia="Courier New" w:hAnsi="Courier New"/>
          <w:sz w:val="15"/>
          <w:szCs w:val="15"/>
          <w:color w:val="auto"/>
        </w:rPr>
        <w:t>Research and Development Agreement between the Company and Kissei Pharmaceutical Co. Ltd. effective September 10, 1997 (filed, with certain confidential information deleted, as Exhibit 10.1 to the Company's Quarterly Report on Form 10-Q for the quarter ended September 30, 1997, and incorporated herein by reference).</w:t>
      </w:r>
    </w:p>
    <w:p>
      <w:pPr>
        <w:spacing w:after="0" w:line="176"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the Company (filed herewith).</w:t>
      </w:r>
    </w:p>
    <w:p>
      <w:pPr>
        <w:spacing w:after="0" w:line="177"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Consent of Independent Accountants (filed herewith).</w:t>
      </w:r>
    </w:p>
    <w:p>
      <w:pPr>
        <w:spacing w:after="0" w:line="178" w:lineRule="exact"/>
        <w:rPr>
          <w:sz w:val="20"/>
          <w:szCs w:val="20"/>
          <w:color w:val="auto"/>
        </w:rPr>
      </w:pPr>
    </w:p>
    <w:p>
      <w:pPr>
        <w:ind w:left="808" w:right="3019" w:hanging="808"/>
        <w:spacing w:after="0" w:line="244" w:lineRule="auto"/>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(submitted as an exhibit only in the electronic format of this Annual Report on Form 10-K submitted to the Securities and Exchange Commission).</w:t>
      </w:r>
    </w:p>
    <w:p>
      <w:pPr>
        <w:spacing w:after="0" w:line="200" w:lineRule="exact"/>
        <w:rPr>
          <w:sz w:val="20"/>
          <w:szCs w:val="20"/>
          <w:color w:val="auto"/>
        </w:rPr>
      </w:pPr>
    </w:p>
    <w:p>
      <w:pPr>
        <w:spacing w:after="0" w:line="32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808" w:hanging="808"/>
        <w:spacing w:after="0"/>
        <w:tabs>
          <w:tab w:leader="none" w:pos="8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Compensatory plan or agreement applicable to management and employees.</w:t>
      </w:r>
    </w:p>
    <w:p>
      <w:pPr>
        <w:spacing w:after="0" w:line="351" w:lineRule="exact"/>
        <w:rPr>
          <w:sz w:val="20"/>
          <w:szCs w:val="20"/>
          <w:color w:val="auto"/>
        </w:rPr>
      </w:pPr>
    </w:p>
    <w:p>
      <w:pPr>
        <w:ind w:left="808" w:right="3199" w:hanging="808"/>
        <w:spacing w:after="0" w:line="243" w:lineRule="auto"/>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 reports on Form 8-K were filed by the Company during the quarter ended December 31, 1997.</w:t>
      </w:r>
    </w:p>
    <w:p>
      <w:pPr>
        <w:spacing w:after="0" w:line="349"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41</w:t>
      </w:r>
    </w:p>
    <w:p>
      <w:pPr>
        <w:sectPr>
          <w:pgSz w:w="11900" w:h="16838" w:orient="portrait"/>
          <w:cols w:equalWidth="0" w:num="1">
            <w:col w:w="10227"/>
          </w:cols>
          <w:pgMar w:left="232" w:top="812" w:right="1440" w:bottom="1440" w:gutter="0" w:footer="0" w:header="0"/>
        </w:sectPr>
      </w:pPr>
    </w:p>
    <w:bookmarkStart w:id="41" w:name="page42"/>
    <w:bookmarkEnd w:id="41"/>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VERTEX PHARMACEUTICALS INCORPORATED</w:t>
      </w:r>
    </w:p>
    <w:p>
      <w:pPr>
        <w:sectPr>
          <w:pgSz w:w="11900" w:h="16838" w:orient="portrait"/>
          <w:cols w:equalWidth="0" w:num="1">
            <w:col w:w="10219"/>
          </w:cols>
          <w:pgMar w:left="240" w:top="81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March 26,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Joshua S. Boger</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Joshua S. Boger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3">
            <w:col w:w="2420" w:space="720"/>
            <w:col w:w="280" w:space="440"/>
            <w:col w:w="6359"/>
          </w:cols>
          <w:pgMar w:left="240" w:top="811" w:right="1440" w:bottom="1440" w:gutter="0" w:footer="0" w:header="0"/>
          <w:type w:val="continuous"/>
        </w:sectPr>
      </w:pPr>
    </w:p>
    <w:p>
      <w:pPr>
        <w:spacing w:after="0" w:line="151"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020" w:type="dxa"/>
            <w:vAlign w:val="bottom"/>
          </w:tcPr>
          <w:p>
            <w:pPr>
              <w:ind w:left="720"/>
              <w:spacing w:after="0"/>
              <w:rPr>
                <w:sz w:val="20"/>
                <w:szCs w:val="20"/>
                <w:color w:val="auto"/>
              </w:rPr>
            </w:pPr>
            <w:r>
              <w:rPr>
                <w:rFonts w:ascii="Courier New" w:cs="Courier New" w:eastAsia="Courier New" w:hAnsi="Courier New"/>
                <w:sz w:val="15"/>
                <w:szCs w:val="15"/>
                <w:color w:val="auto"/>
              </w:rPr>
              <w:t>Title</w:t>
            </w:r>
          </w:p>
        </w:tc>
        <w:tc>
          <w:tcPr>
            <w:tcW w:w="158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w:t>
            </w:r>
          </w:p>
        </w:tc>
      </w:tr>
      <w:tr>
        <w:trPr>
          <w:trHeight w:val="694"/>
        </w:trPr>
        <w:tc>
          <w:tcPr>
            <w:tcW w:w="3240" w:type="dxa"/>
            <w:vAlign w:val="bottom"/>
          </w:tcPr>
          <w:p>
            <w:pPr>
              <w:spacing w:after="0"/>
              <w:rPr>
                <w:sz w:val="20"/>
                <w:szCs w:val="20"/>
                <w:color w:val="auto"/>
              </w:rPr>
            </w:pPr>
            <w:r>
              <w:rPr>
                <w:rFonts w:ascii="Courier New" w:cs="Courier New" w:eastAsia="Courier New" w:hAnsi="Courier New"/>
                <w:sz w:val="15"/>
                <w:szCs w:val="15"/>
                <w:color w:val="auto"/>
              </w:rPr>
              <w:t>/s/ Joshua S. Boger</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Director, Chairman, President</w:t>
            </w:r>
          </w:p>
        </w:tc>
        <w:tc>
          <w:tcPr>
            <w:tcW w:w="15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March 26, 1998</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Joshua S. Boger</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and Chief Executive Officer</w:t>
            </w:r>
          </w:p>
        </w:tc>
        <w:tc>
          <w:tcPr>
            <w:tcW w:w="158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(Principal Executive Officer)</w:t>
            </w:r>
          </w:p>
        </w:tc>
        <w:tc>
          <w:tcPr>
            <w:tcW w:w="1580" w:type="dxa"/>
            <w:vAlign w:val="bottom"/>
          </w:tcPr>
          <w:p>
            <w:pPr>
              <w:spacing w:after="0"/>
              <w:rPr>
                <w:sz w:val="15"/>
                <w:szCs w:val="15"/>
                <w:color w:val="auto"/>
              </w:rPr>
            </w:pPr>
          </w:p>
        </w:tc>
      </w:tr>
      <w:tr>
        <w:trPr>
          <w:trHeight w:val="520"/>
        </w:trPr>
        <w:tc>
          <w:tcPr>
            <w:tcW w:w="3240" w:type="dxa"/>
            <w:vAlign w:val="bottom"/>
          </w:tcPr>
          <w:p>
            <w:pPr>
              <w:spacing w:after="0"/>
              <w:rPr>
                <w:sz w:val="20"/>
                <w:szCs w:val="20"/>
                <w:color w:val="auto"/>
              </w:rPr>
            </w:pPr>
            <w:r>
              <w:rPr>
                <w:rFonts w:ascii="Courier New" w:cs="Courier New" w:eastAsia="Courier New" w:hAnsi="Courier New"/>
                <w:sz w:val="15"/>
                <w:szCs w:val="15"/>
                <w:color w:val="auto"/>
              </w:rPr>
              <w:t>/s/ Thomas G. Auchincloss, Jr.</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Vice President of Finance</w:t>
            </w:r>
          </w:p>
        </w:tc>
        <w:tc>
          <w:tcPr>
            <w:tcW w:w="15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March 26, 1998</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Thomas G. Auchincloss, Jr.</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and Treasurer</w:t>
            </w:r>
          </w:p>
        </w:tc>
        <w:tc>
          <w:tcPr>
            <w:tcW w:w="158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(Principal Financial Officer)</w:t>
            </w:r>
          </w:p>
        </w:tc>
        <w:tc>
          <w:tcPr>
            <w:tcW w:w="1580" w:type="dxa"/>
            <w:vAlign w:val="bottom"/>
          </w:tcPr>
          <w:p>
            <w:pPr>
              <w:spacing w:after="0"/>
              <w:rPr>
                <w:sz w:val="15"/>
                <w:szCs w:val="15"/>
                <w:color w:val="auto"/>
              </w:rPr>
            </w:pP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/s/ Hans D. van Houte</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Controller</w:t>
            </w:r>
          </w:p>
        </w:tc>
        <w:tc>
          <w:tcPr>
            <w:tcW w:w="15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March 26, 1998</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Hans D. van Houte</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520"/>
        </w:trPr>
        <w:tc>
          <w:tcPr>
            <w:tcW w:w="3240" w:type="dxa"/>
            <w:vAlign w:val="bottom"/>
          </w:tcPr>
          <w:p>
            <w:pPr>
              <w:spacing w:after="0"/>
              <w:rPr>
                <w:sz w:val="20"/>
                <w:szCs w:val="20"/>
                <w:color w:val="auto"/>
              </w:rPr>
            </w:pPr>
            <w:r>
              <w:rPr>
                <w:rFonts w:ascii="Courier New" w:cs="Courier New" w:eastAsia="Courier New" w:hAnsi="Courier New"/>
                <w:sz w:val="15"/>
                <w:szCs w:val="15"/>
                <w:color w:val="auto"/>
              </w:rPr>
              <w:t>/s/ Barry M. Bloom</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5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March 26, 1998</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Barry M. Bloom</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520"/>
        </w:trPr>
        <w:tc>
          <w:tcPr>
            <w:tcW w:w="3240" w:type="dxa"/>
            <w:vAlign w:val="bottom"/>
          </w:tcPr>
          <w:p>
            <w:pPr>
              <w:spacing w:after="0"/>
              <w:rPr>
                <w:sz w:val="20"/>
                <w:szCs w:val="20"/>
                <w:color w:val="auto"/>
              </w:rPr>
            </w:pPr>
            <w:r>
              <w:rPr>
                <w:rFonts w:ascii="Courier New" w:cs="Courier New" w:eastAsia="Courier New" w:hAnsi="Courier New"/>
                <w:sz w:val="15"/>
                <w:szCs w:val="15"/>
                <w:color w:val="auto"/>
              </w:rPr>
              <w:t>/s/ Donald R. Conklin</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5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March 26, 1998</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Donald R. Conklin</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520"/>
        </w:trPr>
        <w:tc>
          <w:tcPr>
            <w:tcW w:w="3240" w:type="dxa"/>
            <w:vAlign w:val="bottom"/>
          </w:tcPr>
          <w:p>
            <w:pPr>
              <w:spacing w:after="0"/>
              <w:rPr>
                <w:sz w:val="20"/>
                <w:szCs w:val="20"/>
                <w:color w:val="auto"/>
              </w:rPr>
            </w:pPr>
            <w:r>
              <w:rPr>
                <w:rFonts w:ascii="Courier New" w:cs="Courier New" w:eastAsia="Courier New" w:hAnsi="Courier New"/>
                <w:sz w:val="15"/>
                <w:szCs w:val="15"/>
                <w:color w:val="auto"/>
              </w:rPr>
              <w:t>/s/ Roger W. Brimblecombe</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5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March 26, 1998</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Roger W. Brimblecombe</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520"/>
        </w:trPr>
        <w:tc>
          <w:tcPr>
            <w:tcW w:w="3240" w:type="dxa"/>
            <w:vAlign w:val="bottom"/>
          </w:tcPr>
          <w:p>
            <w:pPr>
              <w:spacing w:after="0"/>
              <w:rPr>
                <w:sz w:val="20"/>
                <w:szCs w:val="20"/>
                <w:color w:val="auto"/>
              </w:rPr>
            </w:pPr>
            <w:r>
              <w:rPr>
                <w:rFonts w:ascii="Courier New" w:cs="Courier New" w:eastAsia="Courier New" w:hAnsi="Courier New"/>
                <w:sz w:val="15"/>
                <w:szCs w:val="15"/>
                <w:color w:val="auto"/>
              </w:rPr>
              <w:t>/s/ William W. Helman IV</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5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March 26, 1998</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William W. Helman IV</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520"/>
        </w:trPr>
        <w:tc>
          <w:tcPr>
            <w:tcW w:w="3240" w:type="dxa"/>
            <w:vAlign w:val="bottom"/>
          </w:tcPr>
          <w:p>
            <w:pPr>
              <w:spacing w:after="0"/>
              <w:rPr>
                <w:sz w:val="20"/>
                <w:szCs w:val="20"/>
                <w:color w:val="auto"/>
              </w:rPr>
            </w:pPr>
            <w:r>
              <w:rPr>
                <w:rFonts w:ascii="Courier New" w:cs="Courier New" w:eastAsia="Courier New" w:hAnsi="Courier New"/>
                <w:sz w:val="15"/>
                <w:szCs w:val="15"/>
                <w:color w:val="auto"/>
              </w:rPr>
              <w:t>/s/ Charles A. Sanders</w:t>
            </w:r>
          </w:p>
        </w:tc>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5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March 26, 1998</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Charles A. Sanders</w:t>
            </w:r>
          </w:p>
        </w:tc>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42</w:t>
      </w:r>
    </w:p>
    <w:p>
      <w:pPr>
        <w:sectPr>
          <w:pgSz w:w="11900" w:h="16838" w:orient="portrait"/>
          <w:cols w:equalWidth="0" w:num="1">
            <w:col w:w="10219"/>
          </w:cols>
          <w:pgMar w:left="240" w:top="811" w:right="1440" w:bottom="1440" w:gutter="0" w:footer="0" w:header="0"/>
          <w:type w:val="continuous"/>
        </w:sectPr>
      </w:pPr>
    </w:p>
    <w:bookmarkStart w:id="42" w:name="page43"/>
    <w:bookmarkEnd w:id="42"/>
    <w:p>
      <w:pPr>
        <w:ind w:left="8"/>
        <w:spacing w:after="0"/>
        <w:tabs>
          <w:tab w:leader="none" w:pos="3307" w:val="left"/>
          <w:tab w:leader="none" w:pos="6567" w:val="left"/>
        </w:tabs>
        <w:rPr>
          <w:sz w:val="20"/>
          <w:szCs w:val="20"/>
          <w:color w:val="auto"/>
        </w:rPr>
      </w:pPr>
      <w:r>
        <w:rPr>
          <w:rFonts w:ascii="Courier New" w:cs="Courier New" w:eastAsia="Courier New" w:hAnsi="Courier New"/>
          <w:sz w:val="15"/>
          <w:szCs w:val="15"/>
          <w:color w:val="auto"/>
        </w:rPr>
        <w:t>/s/ Elaine S. Ullian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16, 1998</w:t>
      </w:r>
    </w:p>
    <w:p>
      <w:pPr>
        <w:spacing w:after="0" w:line="3"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Elaine S. Ullian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43</w:t>
      </w:r>
    </w:p>
    <w:p>
      <w:pPr>
        <w:sectPr>
          <w:pgSz w:w="11900" w:h="16838" w:orient="portrait"/>
          <w:cols w:equalWidth="0" w:num="1">
            <w:col w:w="10227"/>
          </w:cols>
          <w:pgMar w:left="232" w:top="811" w:right="1440" w:bottom="1440" w:gutter="0" w:footer="0" w:header="0"/>
        </w:sectPr>
      </w:pPr>
    </w:p>
    <w:bookmarkStart w:id="43" w:name="page44"/>
    <w:bookmarkEnd w:id="43"/>
    <w:p>
      <w:pPr>
        <w:ind w:left="2060"/>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1220" w:type="dxa"/>
            <w:vAlign w:val="bottom"/>
          </w:tcPr>
          <w:p>
            <w:pPr>
              <w:spacing w:after="0"/>
              <w:rPr>
                <w:sz w:val="14"/>
                <w:szCs w:val="14"/>
                <w:color w:val="auto"/>
              </w:rPr>
            </w:pPr>
          </w:p>
        </w:tc>
      </w:tr>
      <w:tr>
        <w:trPr>
          <w:trHeight w:val="694"/>
        </w:trPr>
        <w:tc>
          <w:tcPr>
            <w:tcW w:w="5720" w:type="dxa"/>
            <w:vAlign w:val="bottom"/>
          </w:tcPr>
          <w:p>
            <w:pPr>
              <w:spacing w:after="0"/>
              <w:rPr>
                <w:sz w:val="24"/>
                <w:szCs w:val="24"/>
                <w:color w:val="auto"/>
              </w:rPr>
            </w:pPr>
          </w:p>
        </w:tc>
        <w:tc>
          <w:tcPr>
            <w:tcW w:w="12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Page Number</w:t>
            </w:r>
          </w:p>
        </w:tc>
      </w:tr>
      <w:tr>
        <w:trPr>
          <w:trHeight w:val="173"/>
        </w:trPr>
        <w:tc>
          <w:tcPr>
            <w:tcW w:w="5720" w:type="dxa"/>
            <w:vAlign w:val="bottom"/>
          </w:tcPr>
          <w:p>
            <w:pPr>
              <w:spacing w:after="0"/>
              <w:rPr>
                <w:sz w:val="15"/>
                <w:szCs w:val="15"/>
                <w:color w:val="auto"/>
              </w:rPr>
            </w:pPr>
          </w:p>
        </w:tc>
        <w:tc>
          <w:tcPr>
            <w:tcW w:w="12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12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F-2</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December 31, 1997 and 1996</w:t>
            </w:r>
          </w:p>
        </w:tc>
        <w:tc>
          <w:tcPr>
            <w:tcW w:w="12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F-3</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1220" w:type="dxa"/>
            <w:vAlign w:val="bottom"/>
          </w:tcPr>
          <w:p>
            <w:pPr>
              <w:spacing w:after="0"/>
              <w:rPr>
                <w:sz w:val="24"/>
                <w:szCs w:val="24"/>
                <w:color w:val="auto"/>
              </w:rPr>
            </w:pP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December 31, 1997, 1996 and 1995</w:t>
            </w:r>
          </w:p>
        </w:tc>
        <w:tc>
          <w:tcPr>
            <w:tcW w:w="12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F-4</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 Equity for the</w:t>
            </w:r>
          </w:p>
        </w:tc>
        <w:tc>
          <w:tcPr>
            <w:tcW w:w="1220" w:type="dxa"/>
            <w:vAlign w:val="bottom"/>
          </w:tcPr>
          <w:p>
            <w:pPr>
              <w:spacing w:after="0"/>
              <w:rPr>
                <w:sz w:val="24"/>
                <w:szCs w:val="24"/>
                <w:color w:val="auto"/>
              </w:rPr>
            </w:pP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years ended December 31, 1997, 1996 and 1995</w:t>
            </w:r>
          </w:p>
        </w:tc>
        <w:tc>
          <w:tcPr>
            <w:tcW w:w="12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F-5</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1220" w:type="dxa"/>
            <w:vAlign w:val="bottom"/>
          </w:tcPr>
          <w:p>
            <w:pPr>
              <w:spacing w:after="0"/>
              <w:rPr>
                <w:sz w:val="24"/>
                <w:szCs w:val="24"/>
                <w:color w:val="auto"/>
              </w:rPr>
            </w:pP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December 31, 1997, 1996 and  1995</w:t>
            </w:r>
          </w:p>
        </w:tc>
        <w:tc>
          <w:tcPr>
            <w:tcW w:w="12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F-6</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2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F-7</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F-1</w:t>
      </w:r>
    </w:p>
    <w:p>
      <w:pPr>
        <w:sectPr>
          <w:pgSz w:w="11900" w:h="16838" w:orient="portrait"/>
          <w:cols w:equalWidth="0" w:num="1">
            <w:col w:w="10219"/>
          </w:cols>
          <w:pgMar w:left="240" w:top="98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178" w:lineRule="exact"/>
        <w:rPr>
          <w:sz w:val="20"/>
          <w:szCs w:val="20"/>
          <w:color w:val="auto"/>
        </w:rPr>
      </w:pPr>
    </w:p>
    <w:p>
      <w:pPr>
        <w:ind w:right="3919"/>
        <w:spacing w:after="0" w:line="243" w:lineRule="auto"/>
        <w:rPr>
          <w:sz w:val="20"/>
          <w:szCs w:val="20"/>
          <w:color w:val="auto"/>
        </w:rPr>
      </w:pPr>
      <w:r>
        <w:rPr>
          <w:rFonts w:ascii="Courier New" w:cs="Courier New" w:eastAsia="Courier New" w:hAnsi="Courier New"/>
          <w:sz w:val="15"/>
          <w:szCs w:val="15"/>
          <w:color w:val="auto"/>
        </w:rPr>
        <w:t>We have audited the accompanying consolidated balance sheets of Vertex Pharmaceuticals Incorporated as of December 31, 1997 and 1996,</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and the related consolidated statements of operations, stockholders' equity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Vertex Pharmaceuticals Incorporated as of December 31, 1997 and 1996,</w:t>
      </w:r>
    </w:p>
    <w:p>
      <w:pPr>
        <w:spacing w:after="0" w:line="2"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and the consolidated results of its operations and its cash flows for each of the three years in the period ended December 31, 1997,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Coopers &amp; Lybrand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23, 1998</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F-2</w:t>
      </w:r>
    </w:p>
    <w:p>
      <w:pPr>
        <w:sectPr>
          <w:pgSz w:w="11900" w:h="16838" w:orient="portrait"/>
          <w:cols w:equalWidth="0" w:num="1">
            <w:col w:w="10219"/>
          </w:cols>
          <w:pgMar w:left="240" w:top="811" w:right="1440" w:bottom="1440" w:gutter="0" w:footer="0" w:header="0"/>
        </w:sectPr>
      </w:pPr>
    </w:p>
    <w:bookmarkStart w:id="45" w:name="page46"/>
    <w:bookmarkEnd w:id="45"/>
    <w:p>
      <w:pPr>
        <w:ind w:left="8"/>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928"/>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77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none" w:pos="7727" w:val="left"/>
          <w:tab w:leader="none" w:pos="8907"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Current assets:</w:t>
            </w:r>
          </w:p>
        </w:tc>
        <w:tc>
          <w:tcPr>
            <w:tcW w:w="2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90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w:t>
            </w:r>
          </w:p>
        </w:tc>
        <w:tc>
          <w:tcPr>
            <w:tcW w:w="2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$71,454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$34,851</w:t>
            </w:r>
          </w:p>
        </w:tc>
      </w:tr>
      <w:tr>
        <w:trPr>
          <w:trHeight w:val="173"/>
        </w:trPr>
        <w:tc>
          <w:tcPr>
            <w:tcW w:w="5900" w:type="dxa"/>
            <w:vAlign w:val="bottom"/>
          </w:tcPr>
          <w:p>
            <w:pPr>
              <w:ind w:left="620"/>
              <w:spacing w:after="0"/>
              <w:rPr>
                <w:sz w:val="20"/>
                <w:szCs w:val="20"/>
                <w:color w:val="auto"/>
              </w:rPr>
            </w:pPr>
            <w:r>
              <w:rPr>
                <w:rFonts w:ascii="Courier New" w:cs="Courier New" w:eastAsia="Courier New" w:hAnsi="Courier New"/>
                <w:sz w:val="15"/>
                <w:szCs w:val="15"/>
                <w:color w:val="auto"/>
              </w:rPr>
              <w:t>Investments</w:t>
            </w:r>
          </w:p>
        </w:tc>
        <w:tc>
          <w:tcPr>
            <w:tcW w:w="2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208,217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95,508</w:t>
            </w:r>
          </w:p>
        </w:tc>
      </w:tr>
      <w:tr>
        <w:trPr>
          <w:trHeight w:val="173"/>
        </w:trPr>
        <w:tc>
          <w:tcPr>
            <w:tcW w:w="5900" w:type="dxa"/>
            <w:vAlign w:val="bottom"/>
          </w:tcPr>
          <w:p>
            <w:pPr>
              <w:ind w:left="62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1,791</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4880" w:type="dxa"/>
            <w:vAlign w:val="bottom"/>
          </w:tcPr>
          <w:p>
            <w:pPr>
              <w:ind w:left="720"/>
              <w:spacing w:after="0"/>
              <w:rPr>
                <w:sz w:val="20"/>
                <w:szCs w:val="20"/>
                <w:color w:val="auto"/>
              </w:rPr>
            </w:pPr>
            <w:r>
              <w:rPr>
                <w:rFonts w:ascii="Courier New" w:cs="Courier New" w:eastAsia="Courier New" w:hAnsi="Courier New"/>
                <w:sz w:val="15"/>
                <w:szCs w:val="15"/>
                <w:color w:val="auto"/>
              </w:rPr>
              <w:t>Total current assets</w:t>
            </w:r>
          </w:p>
        </w:tc>
        <w:tc>
          <w:tcPr>
            <w:tcW w:w="32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281,623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132,150</w:t>
            </w:r>
          </w:p>
        </w:tc>
      </w:tr>
      <w:tr>
        <w:trPr>
          <w:trHeight w:val="173"/>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Restricted cash</w:t>
            </w:r>
          </w:p>
        </w:tc>
        <w:tc>
          <w:tcPr>
            <w:tcW w:w="32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2,316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2,316</w:t>
            </w:r>
          </w:p>
        </w:tc>
      </w:tr>
      <w:tr>
        <w:trPr>
          <w:trHeight w:val="173"/>
        </w:trPr>
        <w:tc>
          <w:tcPr>
            <w:tcW w:w="48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32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8,663</w:t>
            </w:r>
          </w:p>
        </w:tc>
      </w:tr>
      <w:tr>
        <w:trPr>
          <w:trHeight w:val="173"/>
        </w:trPr>
        <w:tc>
          <w:tcPr>
            <w:tcW w:w="48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2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6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$295,604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$143,499</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Liabilities and</w:t>
            </w:r>
          </w:p>
        </w:tc>
        <w:tc>
          <w:tcPr>
            <w:tcW w:w="4520" w:type="dxa"/>
            <w:vAlign w:val="bottom"/>
          </w:tcPr>
          <w:p>
            <w:pPr>
              <w:ind w:left="60"/>
              <w:spacing w:after="0"/>
              <w:rPr>
                <w:sz w:val="20"/>
                <w:szCs w:val="20"/>
                <w:color w:val="auto"/>
              </w:rPr>
            </w:pPr>
            <w:r>
              <w:rPr>
                <w:rFonts w:ascii="Courier New" w:cs="Courier New" w:eastAsia="Courier New" w:hAnsi="Courier New"/>
                <w:sz w:val="15"/>
                <w:szCs w:val="15"/>
                <w:color w:val="auto"/>
              </w:rPr>
              <w:t>Stockholders' Equity</w:t>
            </w:r>
          </w:p>
        </w:tc>
        <w:tc>
          <w:tcPr>
            <w:tcW w:w="2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59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Current liabilities:</w:t>
            </w:r>
          </w:p>
        </w:tc>
        <w:tc>
          <w:tcPr>
            <w:tcW w:w="2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9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Obligations under capital lease and debt</w:t>
            </w:r>
          </w:p>
        </w:tc>
        <w:tc>
          <w:tcPr>
            <w:tcW w:w="2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$2,510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$2,910</w:t>
            </w:r>
          </w:p>
        </w:tc>
      </w:tr>
      <w:tr>
        <w:trPr>
          <w:trHeight w:val="173"/>
        </w:trPr>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Accounts</w:t>
            </w:r>
          </w:p>
        </w:tc>
        <w:tc>
          <w:tcPr>
            <w:tcW w:w="4520" w:type="dxa"/>
            <w:vAlign w:val="bottom"/>
          </w:tcPr>
          <w:p>
            <w:pPr>
              <w:ind w:left="60"/>
              <w:spacing w:after="0"/>
              <w:rPr>
                <w:sz w:val="20"/>
                <w:szCs w:val="20"/>
                <w:color w:val="auto"/>
              </w:rPr>
            </w:pPr>
            <w:r>
              <w:rPr>
                <w:rFonts w:ascii="Courier New" w:cs="Courier New" w:eastAsia="Courier New" w:hAnsi="Courier New"/>
                <w:sz w:val="15"/>
                <w:szCs w:val="15"/>
                <w:color w:val="auto"/>
              </w:rPr>
              <w:t>payable</w:t>
            </w:r>
          </w:p>
        </w:tc>
        <w:tc>
          <w:tcPr>
            <w:tcW w:w="2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4,247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1,391</w:t>
            </w:r>
          </w:p>
        </w:tc>
      </w:tr>
      <w:tr>
        <w:trPr>
          <w:trHeight w:val="173"/>
        </w:trPr>
        <w:tc>
          <w:tcPr>
            <w:tcW w:w="59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Accrued expenses</w:t>
            </w:r>
          </w:p>
        </w:tc>
        <w:tc>
          <w:tcPr>
            <w:tcW w:w="2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6,385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2,755</w:t>
            </w:r>
          </w:p>
        </w:tc>
      </w:tr>
      <w:tr>
        <w:trPr>
          <w:trHeight w:val="173"/>
        </w:trPr>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Deferred</w:t>
            </w:r>
          </w:p>
        </w:tc>
        <w:tc>
          <w:tcPr>
            <w:tcW w:w="4520" w:type="dxa"/>
            <w:vAlign w:val="bottom"/>
          </w:tcPr>
          <w:p>
            <w:pPr>
              <w:ind w:left="60"/>
              <w:spacing w:after="0"/>
              <w:rPr>
                <w:sz w:val="20"/>
                <w:szCs w:val="20"/>
                <w:color w:val="auto"/>
              </w:rPr>
            </w:pPr>
            <w:r>
              <w:rPr>
                <w:rFonts w:ascii="Courier New" w:cs="Courier New" w:eastAsia="Courier New" w:hAnsi="Courier New"/>
                <w:sz w:val="15"/>
                <w:szCs w:val="15"/>
                <w:color w:val="auto"/>
              </w:rPr>
              <w:t>revenue</w:t>
            </w:r>
          </w:p>
        </w:tc>
        <w:tc>
          <w:tcPr>
            <w:tcW w:w="2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current</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liabilities</w:t>
            </w:r>
          </w:p>
        </w:tc>
        <w:tc>
          <w:tcPr>
            <w:tcW w:w="2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13,698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7,056</w:t>
            </w:r>
          </w:p>
        </w:tc>
      </w:tr>
      <w:tr>
        <w:trPr>
          <w:trHeight w:val="173"/>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Obligations under capital lease and debt,</w:t>
            </w:r>
          </w:p>
        </w:tc>
        <w:tc>
          <w:tcPr>
            <w:tcW w:w="2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excluding</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current</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portion</w:t>
            </w:r>
          </w:p>
        </w:tc>
        <w:tc>
          <w:tcPr>
            <w:tcW w:w="2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5,905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5,617</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3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19,603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12,673</w:t>
            </w:r>
          </w:p>
        </w:tc>
      </w:tr>
    </w:tbl>
    <w:p>
      <w:pPr>
        <w:spacing w:after="0" w:line="3"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8" w:right="805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(Note G) Stockholders' equity:</w:t>
      </w:r>
    </w:p>
    <w:p>
      <w:pPr>
        <w:spacing w:after="0" w:line="2" w:lineRule="exact"/>
        <w:rPr>
          <w:rFonts w:ascii="Courier New" w:cs="Courier New" w:eastAsia="Courier New" w:hAnsi="Courier New"/>
          <w:sz w:val="15"/>
          <w:szCs w:val="15"/>
          <w:color w:val="auto"/>
        </w:rPr>
      </w:pPr>
    </w:p>
    <w:p>
      <w:pPr>
        <w:ind w:left="988" w:right="3999" w:hanging="361"/>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$.01 par value; 1,000,000 shares authorized; none issued</w:t>
      </w:r>
    </w:p>
    <w:p>
      <w:pPr>
        <w:spacing w:after="0" w:line="1"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$.01 par value; 100,000,000 shares authorized; 25,215,617</w:t>
      </w:r>
    </w:p>
    <w:p>
      <w:pPr>
        <w:spacing w:after="0" w:line="3"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1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and 21,097,117</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shares issued and outstanding</w:t>
            </w:r>
          </w:p>
        </w:tc>
        <w:tc>
          <w:tcPr>
            <w:tcW w:w="2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3"/>
        </w:trPr>
        <w:tc>
          <w:tcPr>
            <w:tcW w:w="5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 1997 and 1996, respectively</w:t>
            </w:r>
          </w:p>
        </w:tc>
        <w:tc>
          <w:tcPr>
            <w:tcW w:w="2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w:t>
            </w:r>
          </w:p>
        </w:tc>
      </w:tr>
      <w:tr>
        <w:trPr>
          <w:trHeight w:val="173"/>
        </w:trPr>
        <w:tc>
          <w:tcPr>
            <w:tcW w:w="1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Additional paid-in</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2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392,372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227,510</w:t>
            </w:r>
          </w:p>
        </w:tc>
      </w:tr>
      <w:tr>
        <w:trPr>
          <w:trHeight w:val="173"/>
        </w:trPr>
        <w:tc>
          <w:tcPr>
            <w:tcW w:w="1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Equity adjustments</w:t>
            </w:r>
          </w:p>
        </w:tc>
        <w:tc>
          <w:tcPr>
            <w:tcW w:w="3820" w:type="dxa"/>
            <w:vAlign w:val="bottom"/>
          </w:tcPr>
          <w:p>
            <w:pPr>
              <w:spacing w:after="0"/>
              <w:rPr>
                <w:sz w:val="15"/>
                <w:szCs w:val="15"/>
                <w:color w:val="auto"/>
              </w:rPr>
            </w:pPr>
          </w:p>
        </w:tc>
        <w:tc>
          <w:tcPr>
            <w:tcW w:w="2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r>
      <w:tr>
        <w:trPr>
          <w:trHeight w:val="173"/>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9"/>
              </w:rPr>
              <w:t>Accumulated deficit</w:t>
            </w:r>
          </w:p>
        </w:tc>
        <w:tc>
          <w:tcPr>
            <w:tcW w:w="3820" w:type="dxa"/>
            <w:vAlign w:val="bottom"/>
          </w:tcPr>
          <w:p>
            <w:pPr>
              <w:spacing w:after="0"/>
              <w:rPr>
                <w:sz w:val="15"/>
                <w:szCs w:val="15"/>
                <w:color w:val="auto"/>
              </w:rPr>
            </w:pPr>
          </w:p>
        </w:tc>
        <w:tc>
          <w:tcPr>
            <w:tcW w:w="2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(116,775)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(96,944)</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276,001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130,826</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$295,604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$143,499</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 w:right="3639"/>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349"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F-3</w:t>
      </w:r>
    </w:p>
    <w:p>
      <w:pPr>
        <w:sectPr>
          <w:pgSz w:w="11900" w:h="16838" w:orient="portrait"/>
          <w:cols w:equalWidth="0" w:num="1">
            <w:col w:w="10227"/>
          </w:cols>
          <w:pgMar w:left="232" w:top="811" w:right="1440" w:bottom="1440" w:gutter="0" w:footer="0" w:header="0"/>
        </w:sectPr>
      </w:pPr>
    </w:p>
    <w:bookmarkStart w:id="46" w:name="page47"/>
    <w:bookmarkEnd w:id="46"/>
    <w:p>
      <w:pPr>
        <w:ind w:left="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68"/>
        <w:spacing w:after="0"/>
        <w:rPr>
          <w:sz w:val="20"/>
          <w:szCs w:val="20"/>
          <w:color w:val="auto"/>
        </w:rPr>
      </w:pPr>
      <w:r>
        <w:rPr>
          <w:rFonts w:ascii="Courier New" w:cs="Courier New" w:eastAsia="Courier New" w:hAnsi="Courier New"/>
          <w:sz w:val="15"/>
          <w:szCs w:val="15"/>
          <w:color w:val="auto"/>
        </w:rPr>
        <w:t>Year Ended December 31,</w:t>
      </w:r>
    </w:p>
    <w:p>
      <w:pPr>
        <w:spacing w:after="0" w:line="3" w:lineRule="exact"/>
        <w:rPr>
          <w:sz w:val="20"/>
          <w:szCs w:val="20"/>
          <w:color w:val="auto"/>
        </w:rPr>
      </w:pPr>
    </w:p>
    <w:p>
      <w:pPr>
        <w:ind w:left="54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none" w:pos="5387" w:val="left"/>
          <w:tab w:leader="none" w:pos="6747" w:val="left"/>
          <w:tab w:leader="none" w:pos="8187"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3"/>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Collaborative and other research and development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$29,926</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$13,341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$ 22,081</w:t>
            </w:r>
          </w:p>
        </w:tc>
      </w:tr>
      <w:tr>
        <w:trPr>
          <w:trHeight w:val="173"/>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13,873</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5,257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5,453</w:t>
            </w:r>
          </w:p>
        </w:tc>
      </w:tr>
      <w:tr>
        <w:trPr>
          <w:trHeight w:val="173"/>
        </w:trPr>
        <w:tc>
          <w:tcPr>
            <w:tcW w:w="486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Total revenues</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43,799</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18,598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27,534</w:t>
            </w:r>
          </w:p>
        </w:tc>
      </w:tr>
    </w:tbl>
    <w:p>
      <w:pPr>
        <w:spacing w:after="0" w:line="3"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expenses:</w:t>
      </w:r>
    </w:p>
    <w:p>
      <w:pPr>
        <w:spacing w:after="0" w:line="3"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2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51,624</w:t>
            </w:r>
          </w:p>
        </w:tc>
        <w:tc>
          <w:tcPr>
            <w:tcW w:w="14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35,212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41,512</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2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11,430</w:t>
            </w:r>
          </w:p>
        </w:tc>
        <w:tc>
          <w:tcPr>
            <w:tcW w:w="14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7,929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7,069</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License payment</w:t>
            </w:r>
          </w:p>
        </w:tc>
        <w:tc>
          <w:tcPr>
            <w:tcW w:w="2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15,000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576</w:t>
            </w:r>
          </w:p>
        </w:tc>
        <w:tc>
          <w:tcPr>
            <w:tcW w:w="14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r>
      <w:tr>
        <w:trPr>
          <w:trHeight w:val="173"/>
        </w:trPr>
        <w:tc>
          <w:tcPr>
            <w:tcW w:w="3740" w:type="dxa"/>
            <w:vAlign w:val="bottom"/>
          </w:tcPr>
          <w:p>
            <w:pPr>
              <w:spacing w:after="0"/>
              <w:rPr>
                <w:sz w:val="15"/>
                <w:szCs w:val="15"/>
                <w:color w:val="auto"/>
              </w:rPr>
            </w:pPr>
          </w:p>
        </w:tc>
        <w:tc>
          <w:tcPr>
            <w:tcW w:w="2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Total costs and expenses</w:t>
            </w:r>
          </w:p>
        </w:tc>
        <w:tc>
          <w:tcPr>
            <w:tcW w:w="2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63,630</w:t>
            </w:r>
          </w:p>
        </w:tc>
        <w:tc>
          <w:tcPr>
            <w:tcW w:w="14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58,603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49,062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$(19,831)</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$(40,005)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$(21,528)</w:t>
            </w:r>
          </w:p>
        </w:tc>
      </w:tr>
    </w:tbl>
    <w:p>
      <w:pPr>
        <w:spacing w:after="0" w:line="3"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loss per</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common share</w:t>
            </w:r>
          </w:p>
        </w:tc>
        <w:tc>
          <w:tcPr>
            <w:tcW w:w="1620" w:type="dxa"/>
            <w:vAlign w:val="bottom"/>
          </w:tcPr>
          <w:p>
            <w:pPr>
              <w:ind w:left="620"/>
              <w:spacing w:after="0"/>
              <w:rPr>
                <w:sz w:val="20"/>
                <w:szCs w:val="20"/>
                <w:color w:val="auto"/>
              </w:rPr>
            </w:pPr>
            <w:r>
              <w:rPr>
                <w:rFonts w:ascii="Courier New" w:cs="Courier New" w:eastAsia="Courier New" w:hAnsi="Courier New"/>
                <w:sz w:val="15"/>
                <w:szCs w:val="15"/>
                <w:color w:val="auto"/>
              </w:rPr>
              <w:t>$(0.82)</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$(2.13)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average number of</w:t>
            </w:r>
          </w:p>
        </w:tc>
        <w:tc>
          <w:tcPr>
            <w:tcW w:w="1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common shares</w:t>
            </w:r>
          </w:p>
        </w:tc>
        <w:tc>
          <w:tcPr>
            <w:tcW w:w="3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outstanding</w:t>
            </w:r>
          </w:p>
        </w:tc>
        <w:tc>
          <w:tcPr>
            <w:tcW w:w="1620" w:type="dxa"/>
            <w:vAlign w:val="bottom"/>
          </w:tcPr>
          <w:p>
            <w:pPr>
              <w:ind w:left="620"/>
              <w:spacing w:after="0"/>
              <w:rPr>
                <w:sz w:val="20"/>
                <w:szCs w:val="20"/>
                <w:color w:val="auto"/>
              </w:rPr>
            </w:pPr>
            <w:r>
              <w:rPr>
                <w:rFonts w:ascii="Courier New" w:cs="Courier New" w:eastAsia="Courier New" w:hAnsi="Courier New"/>
                <w:sz w:val="15"/>
                <w:szCs w:val="15"/>
                <w:color w:val="auto"/>
              </w:rPr>
              <w:t>24,264</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18,798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17,231</w:t>
            </w:r>
          </w:p>
        </w:tc>
      </w:tr>
    </w:tbl>
    <w:p>
      <w:pPr>
        <w:spacing w:after="0" w:line="3"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8" w:right="3639"/>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349"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F-4</w:t>
      </w:r>
    </w:p>
    <w:p>
      <w:pPr>
        <w:sectPr>
          <w:pgSz w:w="11900" w:h="16838" w:orient="portrait"/>
          <w:cols w:equalWidth="0" w:num="1">
            <w:col w:w="10227"/>
          </w:cols>
          <w:pgMar w:left="232" w:top="98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3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Common Stock</w:t>
            </w:r>
          </w:p>
        </w:tc>
        <w:tc>
          <w:tcPr>
            <w:tcW w:w="1080" w:type="dxa"/>
            <w:vAlign w:val="bottom"/>
          </w:tcPr>
          <w:p>
            <w:pPr>
              <w:spacing w:after="0"/>
              <w:rPr>
                <w:sz w:val="14"/>
                <w:szCs w:val="14"/>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spacing w:after="0"/>
              <w:rPr>
                <w:sz w:val="14"/>
                <w:szCs w:val="14"/>
                <w:color w:val="auto"/>
              </w:rPr>
            </w:pP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780" w:type="dxa"/>
            <w:vAlign w:val="bottom"/>
          </w:tcPr>
          <w:p>
            <w:pPr>
              <w:spacing w:after="0"/>
              <w:rPr>
                <w:sz w:val="15"/>
                <w:szCs w:val="15"/>
                <w:color w:val="auto"/>
              </w:rPr>
            </w:pPr>
          </w:p>
        </w:tc>
        <w:tc>
          <w:tcPr>
            <w:tcW w:w="3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Paid-In</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Equity</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Accumulated</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w w:val="97"/>
              </w:rPr>
              <w:t>Stockholders'</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720" w:type="dxa"/>
            <w:vAlign w:val="bottom"/>
          </w:tcPr>
          <w:p>
            <w:pPr>
              <w:ind w:left="15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Amount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Capital</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Adjustments</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Deficit</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Equity</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1994</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17,189</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$172</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$140,920</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(203)</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$(35,411)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$105,478</w:t>
            </w:r>
          </w:p>
        </w:tc>
      </w:tr>
      <w:tr>
        <w:trPr>
          <w:trHeight w:val="173"/>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Issuances of common stock:</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Benefit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plans</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1,118</w:t>
            </w: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1,119</w:t>
            </w:r>
          </w:p>
        </w:tc>
      </w:tr>
      <w:tr>
        <w:trPr>
          <w:trHeight w:val="173"/>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Warrant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Net change</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in unrealized holding gains/</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1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losses on investments</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203</w:t>
            </w:r>
          </w:p>
        </w:tc>
        <w:tc>
          <w:tcPr>
            <w:tcW w:w="1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(21,528)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(21,528)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Balance, December 31, 1995</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17,299</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173</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142,038</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(56,939)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85,272</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Issuances of common stock:</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Public offering of common stock</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3,450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77,481</w:t>
            </w: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77,515</w:t>
            </w:r>
          </w:p>
        </w:tc>
      </w:tr>
      <w:tr>
        <w:trPr>
          <w:trHeight w:val="173"/>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Private placement of common stock</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152</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4,998</w:t>
            </w: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5,000</w:t>
            </w:r>
          </w:p>
        </w:tc>
      </w:tr>
      <w:tr>
        <w:trPr>
          <w:trHeight w:val="173"/>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Benefit plans</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2,993</w:t>
            </w: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2,995</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change in unrealized holding gains/</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losses on investments</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w:t>
            </w:r>
          </w:p>
        </w:tc>
        <w:tc>
          <w:tcPr>
            <w:tcW w:w="13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Translation adjustments</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w:t>
            </w:r>
          </w:p>
        </w:tc>
        <w:tc>
          <w:tcPr>
            <w:tcW w:w="13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(40,005)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(40,005)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21,097</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227,510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(96,944)</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130,826</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Issuances of common stock:</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Public offering of common stock</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3,450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148,776</w:t>
            </w: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148,810</w:t>
            </w:r>
          </w:p>
        </w:tc>
      </w:tr>
      <w:tr>
        <w:trPr>
          <w:trHeight w:val="173"/>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Private placement of common stock</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264</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9,997</w:t>
            </w: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w:t>
            </w:r>
          </w:p>
        </w:tc>
      </w:tr>
      <w:tr>
        <w:trPr>
          <w:trHeight w:val="173"/>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Benefit plans</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405</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6,089</w:t>
            </w: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6,093</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change in unrealized holding gains/</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losses on investments</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w:t>
            </w:r>
          </w:p>
        </w:tc>
        <w:tc>
          <w:tcPr>
            <w:tcW w:w="126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Translation adjustments</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(19,831)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(19,831)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tabs>
          <w:tab w:leader="none" w:pos="4660" w:val="left"/>
          <w:tab w:leader="none" w:pos="5840" w:val="left"/>
          <w:tab w:leader="none" w:pos="6820" w:val="left"/>
          <w:tab w:leader="none" w:pos="7900" w:val="left"/>
          <w:tab w:leader="none" w:pos="8260" w:val="left"/>
          <w:tab w:leader="none" w:pos="8980" w:val="left"/>
          <w:tab w:leader="none" w:pos="10340" w:val="left"/>
        </w:tabs>
        <w:rPr>
          <w:sz w:val="20"/>
          <w:szCs w:val="20"/>
          <w:color w:val="auto"/>
        </w:rPr>
      </w:pPr>
      <w:r>
        <w:rPr>
          <w:rFonts w:ascii="Courier New" w:cs="Courier New" w:eastAsia="Courier New" w:hAnsi="Courier New"/>
          <w:sz w:val="15"/>
          <w:szCs w:val="15"/>
          <w:color w:val="auto"/>
        </w:rPr>
        <w:t>Balance, December 31, 1997</w:t>
      </w:r>
      <w:r>
        <w:rPr>
          <w:sz w:val="20"/>
          <w:szCs w:val="20"/>
          <w:color w:val="auto"/>
        </w:rPr>
        <w:tab/>
      </w:r>
      <w:r>
        <w:rPr>
          <w:rFonts w:ascii="Courier New" w:cs="Courier New" w:eastAsia="Courier New" w:hAnsi="Courier New"/>
          <w:sz w:val="15"/>
          <w:szCs w:val="15"/>
          <w:color w:val="auto"/>
        </w:rPr>
        <w:t>25,216</w:t>
      </w:r>
      <w:r>
        <w:rPr>
          <w:sz w:val="20"/>
          <w:szCs w:val="20"/>
          <w:color w:val="auto"/>
        </w:rPr>
        <w:tab/>
      </w:r>
      <w:r>
        <w:rPr>
          <w:rFonts w:ascii="Courier New" w:cs="Courier New" w:eastAsia="Courier New" w:hAnsi="Courier New"/>
          <w:sz w:val="15"/>
          <w:szCs w:val="15"/>
          <w:color w:val="auto"/>
        </w:rPr>
        <w:t>$252</w:t>
      </w:r>
      <w:r>
        <w:rPr>
          <w:sz w:val="20"/>
          <w:szCs w:val="20"/>
          <w:color w:val="auto"/>
        </w:rPr>
        <w:tab/>
      </w:r>
      <w:r>
        <w:rPr>
          <w:rFonts w:ascii="Courier New" w:cs="Courier New" w:eastAsia="Courier New" w:hAnsi="Courier New"/>
          <w:sz w:val="15"/>
          <w:szCs w:val="15"/>
          <w:color w:val="auto"/>
        </w:rPr>
        <w:t>$392,372</w:t>
      </w:r>
      <w:r>
        <w:rPr>
          <w:sz w:val="20"/>
          <w:szCs w:val="20"/>
          <w:color w:val="auto"/>
        </w:rPr>
        <w:tab/>
      </w:r>
      <w:r>
        <w:rPr>
          <w:rFonts w:ascii="Courier New" w:cs="Courier New" w:eastAsia="Courier New" w:hAnsi="Courier New"/>
          <w:sz w:val="15"/>
          <w:szCs w:val="15"/>
          <w:color w:val="auto"/>
        </w:rPr>
        <w:t>$</w:t>
        <w:tab/>
        <w:t>152</w:t>
      </w:r>
      <w:r>
        <w:rPr>
          <w:sz w:val="20"/>
          <w:szCs w:val="20"/>
          <w:color w:val="auto"/>
        </w:rPr>
        <w:tab/>
      </w:r>
      <w:r>
        <w:rPr>
          <w:rFonts w:ascii="Courier New" w:cs="Courier New" w:eastAsia="Courier New" w:hAnsi="Courier New"/>
          <w:sz w:val="15"/>
          <w:szCs w:val="15"/>
          <w:color w:val="auto"/>
        </w:rPr>
        <w:t>$(116,775)</w:t>
      </w:r>
      <w:r>
        <w:rPr>
          <w:sz w:val="20"/>
          <w:szCs w:val="20"/>
          <w:color w:val="auto"/>
        </w:rPr>
        <w:tab/>
      </w:r>
      <w:r>
        <w:rPr>
          <w:rFonts w:ascii="Courier New" w:cs="Courier New" w:eastAsia="Courier New" w:hAnsi="Courier New"/>
          <w:sz w:val="15"/>
          <w:szCs w:val="15"/>
          <w:color w:val="auto"/>
        </w:rPr>
        <w:t>$276,001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940"/>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F-5</w:t>
      </w:r>
    </w:p>
    <w:p>
      <w:pPr>
        <w:sectPr>
          <w:pgSz w:w="11900" w:h="16838" w:orient="portrait"/>
          <w:cols w:equalWidth="0" w:num="1">
            <w:col w:w="11520"/>
          </w:cols>
          <w:pgMar w:left="240" w:top="811" w:right="139" w:bottom="1440" w:gutter="0" w:footer="0" w:header="0"/>
        </w:sectPr>
      </w:pPr>
    </w:p>
    <w:bookmarkStart w:id="48" w:name="page49"/>
    <w:bookmarkEnd w:id="48"/>
    <w:p>
      <w:pPr>
        <w:ind w:left="8"/>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948"/>
        <w:spacing w:after="0"/>
        <w:rPr>
          <w:sz w:val="20"/>
          <w:szCs w:val="20"/>
          <w:color w:val="auto"/>
        </w:rPr>
      </w:pPr>
      <w:r>
        <w:rPr>
          <w:rFonts w:ascii="Courier New" w:cs="Courier New" w:eastAsia="Courier New" w:hAnsi="Courier New"/>
          <w:sz w:val="15"/>
          <w:szCs w:val="15"/>
          <w:color w:val="auto"/>
        </w:rPr>
        <w:t>Year Ended December 31,</w:t>
      </w:r>
    </w:p>
    <w:p>
      <w:pPr>
        <w:spacing w:after="0" w:line="3" w:lineRule="exact"/>
        <w:rPr>
          <w:sz w:val="20"/>
          <w:szCs w:val="20"/>
          <w:color w:val="auto"/>
        </w:rPr>
      </w:pPr>
    </w:p>
    <w:p>
      <w:pPr>
        <w:ind w:left="64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none" w:pos="6467" w:val="left"/>
          <w:tab w:leader="none" w:pos="7827" w:val="left"/>
          <w:tab w:leader="none" w:pos="9267"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3"/>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Net loss</w:t>
            </w:r>
          </w:p>
        </w:tc>
        <w:tc>
          <w:tcPr>
            <w:tcW w:w="1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$(19,831)</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$(40,005)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$(21,528)</w:t>
            </w:r>
          </w:p>
        </w:tc>
      </w:tr>
      <w:tr>
        <w:trPr>
          <w:trHeight w:val="173"/>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Adjustment to reconcile net loss to net</w:t>
            </w:r>
          </w:p>
        </w:tc>
        <w:tc>
          <w:tcPr>
            <w:tcW w:w="1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620" w:type="dxa"/>
            <w:vAlign w:val="bottom"/>
          </w:tcPr>
          <w:p>
            <w:pPr>
              <w:ind w:left="620"/>
              <w:spacing w:after="0"/>
              <w:rPr>
                <w:sz w:val="20"/>
                <w:szCs w:val="20"/>
                <w:color w:val="auto"/>
              </w:rPr>
            </w:pPr>
            <w:r>
              <w:rPr>
                <w:rFonts w:ascii="Courier New" w:cs="Courier New" w:eastAsia="Courier New" w:hAnsi="Courier New"/>
                <w:sz w:val="15"/>
                <w:szCs w:val="15"/>
                <w:color w:val="auto"/>
              </w:rPr>
              <w:t>cash used by operating activities:</w:t>
            </w:r>
          </w:p>
        </w:tc>
        <w:tc>
          <w:tcPr>
            <w:tcW w:w="1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62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3,588</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3,160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3,710</w:t>
            </w:r>
          </w:p>
        </w:tc>
      </w:tr>
      <w:tr>
        <w:trPr>
          <w:trHeight w:val="173"/>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Changes in assets and liabilities:</w:t>
            </w:r>
          </w:p>
        </w:tc>
        <w:tc>
          <w:tcPr>
            <w:tcW w:w="1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620" w:type="dxa"/>
            <w:vAlign w:val="bottom"/>
          </w:tcPr>
          <w:p>
            <w:pPr>
              <w:ind w:left="62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(161)</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(832)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r>
      <w:tr>
        <w:trPr>
          <w:trHeight w:val="173"/>
        </w:trPr>
        <w:tc>
          <w:tcPr>
            <w:tcW w:w="5620" w:type="dxa"/>
            <w:vAlign w:val="bottom"/>
          </w:tcPr>
          <w:p>
            <w:pPr>
              <w:ind w:left="620"/>
              <w:spacing w:after="0"/>
              <w:rPr>
                <w:sz w:val="20"/>
                <w:szCs w:val="20"/>
                <w:color w:val="auto"/>
              </w:rPr>
            </w:pPr>
            <w:r>
              <w:rPr>
                <w:rFonts w:ascii="Courier New" w:cs="Courier New" w:eastAsia="Courier New" w:hAnsi="Courier New"/>
                <w:sz w:val="15"/>
                <w:szCs w:val="15"/>
                <w:color w:val="auto"/>
              </w:rPr>
              <w:t>Accounts payable</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2,856</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(1,631)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1,624</w:t>
            </w:r>
          </w:p>
        </w:tc>
      </w:tr>
      <w:tr>
        <w:trPr>
          <w:trHeight w:val="173"/>
        </w:trPr>
        <w:tc>
          <w:tcPr>
            <w:tcW w:w="5620" w:type="dxa"/>
            <w:vAlign w:val="bottom"/>
          </w:tcPr>
          <w:p>
            <w:pPr>
              <w:ind w:left="620"/>
              <w:spacing w:after="0"/>
              <w:rPr>
                <w:sz w:val="20"/>
                <w:szCs w:val="20"/>
                <w:color w:val="auto"/>
              </w:rPr>
            </w:pPr>
            <w:r>
              <w:rPr>
                <w:rFonts w:ascii="Courier New" w:cs="Courier New" w:eastAsia="Courier New" w:hAnsi="Courier New"/>
                <w:sz w:val="15"/>
                <w:szCs w:val="15"/>
                <w:color w:val="auto"/>
              </w:rPr>
              <w:t>Accrued expenses</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3,630</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(748)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1,231</w:t>
            </w:r>
          </w:p>
        </w:tc>
      </w:tr>
      <w:tr>
        <w:trPr>
          <w:trHeight w:val="173"/>
        </w:trPr>
        <w:tc>
          <w:tcPr>
            <w:tcW w:w="5620" w:type="dxa"/>
            <w:vAlign w:val="bottom"/>
          </w:tcPr>
          <w:p>
            <w:pPr>
              <w:ind w:left="620"/>
              <w:spacing w:after="0"/>
              <w:rPr>
                <w:sz w:val="20"/>
                <w:szCs w:val="20"/>
                <w:color w:val="auto"/>
              </w:rPr>
            </w:pPr>
            <w:r>
              <w:rPr>
                <w:rFonts w:ascii="Courier New" w:cs="Courier New" w:eastAsia="Courier New" w:hAnsi="Courier New"/>
                <w:sz w:val="15"/>
                <w:szCs w:val="15"/>
                <w:color w:val="auto"/>
              </w:rPr>
              <w:t>Deferred revenue</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556</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r>
      <w:tr>
        <w:trPr>
          <w:trHeight w:val="173"/>
        </w:trPr>
        <w:tc>
          <w:tcPr>
            <w:tcW w:w="5620" w:type="dxa"/>
            <w:vAlign w:val="bottom"/>
          </w:tcPr>
          <w:p>
            <w:pPr>
              <w:spacing w:after="0"/>
              <w:rPr>
                <w:sz w:val="15"/>
                <w:szCs w:val="15"/>
                <w:color w:val="auto"/>
              </w:rPr>
            </w:pP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620" w:type="dxa"/>
            <w:vAlign w:val="bottom"/>
          </w:tcPr>
          <w:p>
            <w:pPr>
              <w:ind w:left="900"/>
              <w:spacing w:after="0"/>
              <w:rPr>
                <w:sz w:val="20"/>
                <w:szCs w:val="20"/>
                <w:color w:val="auto"/>
              </w:rPr>
            </w:pPr>
            <w:r>
              <w:rPr>
                <w:rFonts w:ascii="Courier New" w:cs="Courier New" w:eastAsia="Courier New" w:hAnsi="Courier New"/>
                <w:sz w:val="15"/>
                <w:szCs w:val="15"/>
                <w:color w:val="auto"/>
              </w:rPr>
              <w:t>Net cash provided (used) by operating activities</w:t>
            </w:r>
          </w:p>
        </w:tc>
        <w:tc>
          <w:tcPr>
            <w:tcW w:w="1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(9,362)</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(40,253)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(15,950)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2040" w:type="dxa"/>
            <w:vAlign w:val="bottom"/>
          </w:tcPr>
          <w:p>
            <w:pPr>
              <w:ind w:left="60"/>
              <w:spacing w:after="0"/>
              <w:rPr>
                <w:sz w:val="20"/>
                <w:szCs w:val="20"/>
                <w:color w:val="auto"/>
              </w:rPr>
            </w:pPr>
            <w:r>
              <w:rPr>
                <w:rFonts w:ascii="Courier New" w:cs="Courier New" w:eastAsia="Courier New" w:hAnsi="Courier New"/>
                <w:sz w:val="15"/>
                <w:szCs w:val="15"/>
                <w:color w:val="auto"/>
              </w:rPr>
              <w:t>investing activities:</w:t>
            </w:r>
          </w:p>
        </w:tc>
        <w:tc>
          <w:tcPr>
            <w:tcW w:w="2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3"/>
        </w:trPr>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Purchases of</w:t>
            </w:r>
          </w:p>
        </w:tc>
        <w:tc>
          <w:tcPr>
            <w:tcW w:w="2040" w:type="dxa"/>
            <w:vAlign w:val="bottom"/>
          </w:tcPr>
          <w:p>
            <w:pPr>
              <w:ind w:left="60"/>
              <w:spacing w:after="0"/>
              <w:rPr>
                <w:sz w:val="20"/>
                <w:szCs w:val="20"/>
                <w:color w:val="auto"/>
              </w:rPr>
            </w:pPr>
            <w:r>
              <w:rPr>
                <w:rFonts w:ascii="Courier New" w:cs="Courier New" w:eastAsia="Courier New" w:hAnsi="Courier New"/>
                <w:sz w:val="15"/>
                <w:szCs w:val="15"/>
                <w:color w:val="auto"/>
              </w:rPr>
              <w:t>investments</w:t>
            </w:r>
          </w:p>
        </w:tc>
        <w:tc>
          <w:tcPr>
            <w:tcW w:w="2120" w:type="dxa"/>
            <w:vAlign w:val="bottom"/>
          </w:tcPr>
          <w:p>
            <w:pPr>
              <w:spacing w:after="0"/>
              <w:rPr>
                <w:sz w:val="15"/>
                <w:szCs w:val="15"/>
                <w:color w:val="auto"/>
              </w:rPr>
            </w:pP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(303,599)</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(73,035)</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(61,862)</w:t>
            </w:r>
          </w:p>
        </w:tc>
      </w:tr>
      <w:tr>
        <w:trPr>
          <w:trHeight w:val="173"/>
        </w:trPr>
        <w:tc>
          <w:tcPr>
            <w:tcW w:w="34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Sales and maturities of investments</w:t>
            </w:r>
          </w:p>
        </w:tc>
        <w:tc>
          <w:tcPr>
            <w:tcW w:w="2120" w:type="dxa"/>
            <w:vAlign w:val="bottom"/>
          </w:tcPr>
          <w:p>
            <w:pPr>
              <w:spacing w:after="0"/>
              <w:rPr>
                <w:sz w:val="15"/>
                <w:szCs w:val="15"/>
                <w:color w:val="auto"/>
              </w:rPr>
            </w:pP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191,005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36,150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38,304</w:t>
            </w:r>
          </w:p>
        </w:tc>
      </w:tr>
      <w:tr>
        <w:trPr>
          <w:trHeight w:val="173"/>
        </w:trPr>
        <w:tc>
          <w:tcPr>
            <w:tcW w:w="3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Deposit to collateralize letter of</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credit</w:t>
            </w: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(2,316)</w:t>
            </w:r>
          </w:p>
        </w:tc>
      </w:tr>
      <w:tr>
        <w:trPr>
          <w:trHeight w:val="173"/>
        </w:trPr>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Expenditures</w:t>
            </w:r>
          </w:p>
        </w:tc>
        <w:tc>
          <w:tcPr>
            <w:tcW w:w="4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for property and equipment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(6,020)</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(3,983)</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(3,078)</w:t>
            </w:r>
          </w:p>
        </w:tc>
      </w:tr>
      <w:tr>
        <w:trPr>
          <w:trHeight w:val="173"/>
        </w:trPr>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Other assets</w:t>
            </w:r>
          </w:p>
        </w:tc>
        <w:tc>
          <w:tcPr>
            <w:tcW w:w="20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w:t>
            </w:r>
          </w:p>
        </w:tc>
      </w:tr>
      <w:tr>
        <w:trPr>
          <w:trHeight w:val="173"/>
        </w:trPr>
        <w:tc>
          <w:tcPr>
            <w:tcW w:w="1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Net cash provided (used) by</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(118,814)</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(40,350)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(29,017)</w:t>
            </w:r>
          </w:p>
        </w:tc>
      </w:tr>
    </w:tbl>
    <w:p>
      <w:pPr>
        <w:spacing w:after="0" w:line="3"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 from financing activities:</w:t>
      </w:r>
    </w:p>
    <w:p>
      <w:pPr>
        <w:spacing w:after="0" w:line="3"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Repayment of capital lease obligations and debt</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(3,104)</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(2,187)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(1,790)</w:t>
            </w:r>
          </w:p>
        </w:tc>
      </w:tr>
      <w:tr>
        <w:trPr>
          <w:trHeight w:val="173"/>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Proceeds from equipment sale/leaseback</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1,179</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3,727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2,385</w:t>
            </w:r>
          </w:p>
        </w:tc>
      </w:tr>
      <w:tr>
        <w:trPr>
          <w:trHeight w:val="173"/>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Proceeds from debt</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1,813</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Proceeds from public offerings of common stock</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148,810</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77,515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Proceeds from private placement of common stock</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10,000</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5,000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Proceeds from other issuances of capital stock</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6,093</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2,995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1,119</w:t>
            </w:r>
          </w:p>
        </w:tc>
      </w:tr>
      <w:tr>
        <w:trPr>
          <w:trHeight w:val="173"/>
        </w:trPr>
        <w:tc>
          <w:tcPr>
            <w:tcW w:w="5460" w:type="dxa"/>
            <w:vAlign w:val="bottom"/>
          </w:tcPr>
          <w:p>
            <w:pPr>
              <w:spacing w:after="0"/>
              <w:rPr>
                <w:sz w:val="15"/>
                <w:szCs w:val="15"/>
                <w:color w:val="auto"/>
              </w:rPr>
            </w:pP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460" w:type="dxa"/>
            <w:vAlign w:val="bottom"/>
          </w:tcPr>
          <w:p>
            <w:pPr>
              <w:ind w:left="640"/>
              <w:spacing w:after="0"/>
              <w:rPr>
                <w:sz w:val="20"/>
                <w:szCs w:val="20"/>
                <w:color w:val="auto"/>
              </w:rPr>
            </w:pPr>
            <w:r>
              <w:rPr>
                <w:rFonts w:ascii="Courier New" w:cs="Courier New" w:eastAsia="Courier New" w:hAnsi="Courier New"/>
                <w:sz w:val="15"/>
                <w:szCs w:val="15"/>
                <w:color w:val="auto"/>
              </w:rPr>
              <w:t>Net cash provided (used) by financing activities</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164,791</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87,050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1,714</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268"/>
        <w:spacing w:after="0"/>
        <w:tabs>
          <w:tab w:leader="none" w:pos="6567" w:val="left"/>
          <w:tab w:leader="none" w:pos="8007" w:val="left"/>
          <w:tab w:leader="none" w:pos="9447" w:val="left"/>
        </w:tabs>
        <w:rPr>
          <w:sz w:val="20"/>
          <w:szCs w:val="20"/>
          <w:color w:val="auto"/>
        </w:rPr>
      </w:pPr>
      <w:r>
        <w:rPr>
          <w:rFonts w:ascii="Courier New" w:cs="Courier New" w:eastAsia="Courier New" w:hAnsi="Courier New"/>
          <w:sz w:val="15"/>
          <w:szCs w:val="15"/>
          <w:color w:val="auto"/>
        </w:rPr>
        <w:t>Effect of exchange rates on cash</w:t>
      </w:r>
      <w:r>
        <w:rPr>
          <w:sz w:val="20"/>
          <w:szCs w:val="20"/>
          <w:color w:val="auto"/>
        </w:rPr>
        <w:tab/>
      </w: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7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60" w:type="dxa"/>
            <w:vAlign w:val="bottom"/>
            <w:gridSpan w:val="5"/>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36,603</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6,461</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(43,253)</w:t>
            </w:r>
          </w:p>
        </w:tc>
      </w:tr>
      <w:tr>
        <w:trPr>
          <w:trHeight w:val="173"/>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Cash</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and cash equivalents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beginning of year</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34,851</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28,390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71,643</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7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Cash</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and cash equivalents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end of year</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$71,454</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$34,851</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$28,390</w:t>
            </w:r>
          </w:p>
        </w:tc>
      </w:tr>
    </w:tbl>
    <w:p>
      <w:pPr>
        <w:spacing w:after="0" w:line="3"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8" w:right="3639"/>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349"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F-6</w:t>
      </w:r>
    </w:p>
    <w:p>
      <w:pPr>
        <w:sectPr>
          <w:pgSz w:w="11900" w:h="16838" w:orient="portrait"/>
          <w:cols w:equalWidth="0" w:num="1">
            <w:col w:w="10227"/>
          </w:cols>
          <w:pgMar w:left="232" w:top="811" w:right="1440" w:bottom="1440" w:gutter="0" w:footer="0" w:header="0"/>
        </w:sectPr>
      </w:pPr>
    </w:p>
    <w:bookmarkStart w:id="49" w:name="page50"/>
    <w:bookmarkEnd w:id="49"/>
    <w:p>
      <w:pPr>
        <w:ind w:left="8"/>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The Company</w:t>
      </w:r>
    </w:p>
    <w:p>
      <w:pPr>
        <w:spacing w:after="0" w:line="178"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Vertex Pharmaceuticals Incorporated ("Vertex" or the "Company") uses a range of drug discovery technologies to identify, design and develop novel, orally deliverable compounds that have the potential to treat major human diseases. To date, the Company has not received any revenues from the sale of pharmaceutical products. The Company's revenues during 1997, 1996 and 1995 principally resulted from research support payments from corporate partners. The Company expects to incur significant operating losses over the next several years as a result of expenditures for its research and development programs.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consolidated financial statements include the accounts of the Company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its subsidiaries: Altus Biologics Inc., Vertex Securities Corp. and Vertex</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Pharmaceuticals (Europe) Limited. All material intercompany transactions are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eliminated. The Company sold its majority interest in Versal Technologies,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 at net book value during 1997 and currently accounts for its remaining 19%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ownership under the cost method.</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The Company is subject to risks common to companies in the biotechnology industry including, but not limited to, development by the Company or its competitors of new technological innovations, dependence on key personnel, protection of proprietary technology, technological and clinical trial uncertainty, dependence on collaborative partners, share price volatility, the need to obtain additional funding, reliance on pharmaceutical pricing and reimbursement, uncertainties regarding manufacturing and sales and marketing, product liability and compliance with government regulations.</w:t>
      </w:r>
    </w:p>
    <w:p>
      <w:pPr>
        <w:spacing w:after="0" w:line="178" w:lineRule="exact"/>
        <w:rPr>
          <w:sz w:val="20"/>
          <w:szCs w:val="20"/>
          <w:color w:val="auto"/>
        </w:rPr>
      </w:pPr>
    </w:p>
    <w:p>
      <w:pPr>
        <w:ind w:left="8" w:right="8159" w:hanging="8"/>
        <w:spacing w:after="0" w:line="524" w:lineRule="auto"/>
        <w:tabs>
          <w:tab w:leader="none" w:pos="36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Policies Use of Estimates</w:t>
      </w:r>
    </w:p>
    <w:p>
      <w:pPr>
        <w:spacing w:after="0" w:line="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and Cash Equivalents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Cash equivalents, which are money market funds and debt securities, are valued at cost plus accrued interest. The Company considers all highly liquid investments with original maturities of three months or less at the date of purchase to be cash equivalents. Changes in cash and cash equivalents may be affected by shifts in investment portfolio maturities as well as by actual cash receipts and disbursements. Financial instruments which potentially subject the Company to concentration of credit risk consist principally of money market funds and marketable securities. The Company places these investments in highly rated financial institutions, and, by policy, limits the amounts of credit exposure to any one financial institution. These amounts at times may exceed federally insured limits. The Company has not experienced any losses in such accounts and does not believe it is exposed to any significant credit risk on these funds.</w:t>
      </w:r>
    </w:p>
    <w:p>
      <w:pPr>
        <w:spacing w:after="0" w:line="35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Investments</w:t>
      </w:r>
    </w:p>
    <w:p>
      <w:pPr>
        <w:spacing w:after="0" w:line="178" w:lineRule="exact"/>
        <w:rPr>
          <w:sz w:val="20"/>
          <w:szCs w:val="20"/>
          <w:color w:val="auto"/>
        </w:rPr>
      </w:pPr>
    </w:p>
    <w:p>
      <w:pPr>
        <w:ind w:left="8" w:right="4099"/>
        <w:spacing w:after="0" w:line="243" w:lineRule="auto"/>
        <w:rPr>
          <w:sz w:val="20"/>
          <w:szCs w:val="20"/>
          <w:color w:val="auto"/>
        </w:rPr>
      </w:pPr>
      <w:r>
        <w:rPr>
          <w:rFonts w:ascii="Courier New" w:cs="Courier New" w:eastAsia="Courier New" w:hAnsi="Courier New"/>
          <w:sz w:val="15"/>
          <w:szCs w:val="15"/>
          <w:color w:val="auto"/>
        </w:rPr>
        <w:t>Investments consist of marketable securities which are classified as available-for-sale. Investments</w:t>
      </w:r>
    </w:p>
    <w:p>
      <w:pPr>
        <w:spacing w:after="0" w:line="349"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F-7</w:t>
      </w:r>
    </w:p>
    <w:p>
      <w:pPr>
        <w:sectPr>
          <w:pgSz w:w="11900" w:h="16838" w:orient="portrait"/>
          <w:cols w:equalWidth="0" w:num="1">
            <w:col w:w="10227"/>
          </w:cols>
          <w:pgMar w:left="232" w:top="811" w:right="1440" w:bottom="1440" w:gutter="0" w:footer="0" w:header="0"/>
        </w:sectPr>
      </w:pPr>
    </w:p>
    <w:bookmarkStart w:id="50" w:name="page51"/>
    <w:bookmarkEnd w:id="50"/>
    <w:p>
      <w:pPr>
        <w:ind w:right="3099"/>
        <w:spacing w:after="0" w:line="244" w:lineRule="auto"/>
        <w:rPr>
          <w:sz w:val="20"/>
          <w:szCs w:val="20"/>
          <w:color w:val="auto"/>
        </w:rPr>
      </w:pPr>
      <w:r>
        <w:rPr>
          <w:rFonts w:ascii="Courier New" w:cs="Courier New" w:eastAsia="Courier New" w:hAnsi="Courier New"/>
          <w:sz w:val="15"/>
          <w:szCs w:val="15"/>
          <w:color w:val="auto"/>
        </w:rPr>
        <w:t>are stated at fair value with unrealized gains and losses included as a component of stockholders' equity until realized. The fair value of these securities is based on quoted market prices. Realized gains and losses are determined on the specific identification method and are included in investment income.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Property and equipment are recorded at cost. Depreciation and amortization are provided using the straight-line method over the lesser of the lease terms or the estimated useful lives of the related assets, generally four or five years for equipment and furniture and three years for purchased software. When assets are retired or otherwise disposed of, the assets and related allowances for depreciation and amortization are eliminated from the accounts and any resulting gain or loss is reflected in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Revenue under research and development arrangements is recognized as earned under the terms of the respective agreements. License payments are recorded when received and the license agreements are signed. Product research funding is recorded as revenue, generally on a quarterly basis, as research effort is incurred. Deferred revenue arises from payments received which have not yet been earned under research and development arrangements. The Company recognizes milestone payments when the milestones are achieved.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research and development costs are expensed as incurred.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provides for federal and state taxes on pretax income at applicable rates in accordance with Statement of Financial Accounting Standards No. 109, "Accounting for Income Taxes." Potential future income tax benefits resulting from net operating losses and unused research and experimentation tax credits are available to offset future income.</w:t>
      </w:r>
    </w:p>
    <w:p>
      <w:pPr>
        <w:spacing w:after="0" w:line="17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Basic and</w:t>
        <w:tab/>
        <w:t>Diluted Loss per Common Share</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Company adopted requirements relating to basic and diluted earnings per share in accordance with Statement of Financial Accounting Standards No. 128, "Earnings Per Share" as of the fourth quarter of 1997. Basic earnings per share is based upon the weighted average number of common shares outstanding during the period. Diluted earnings per share is based upon the weighted average number of common shares outstanding during the period plus additional weighted average common equivalent shares outstanding during the period when the effect is not anti-dilutive. Common equivalent shares result from the assumed exercise of outstanding stock options, the proceeds of which are then assumed to have been used to repurchase outstanding stock options using the treasury stock method. Common equivalent shares have not been included in the per-share calculations as the effect would be anti-dilutive. Total potential common equivalent shares consist of 4,702,000 stock options outstanding which has a weighted average excise price of $22.03 as of December 31, 1997.</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FASB has recently issued Statement of Financial Accounting Standards No. 130 ("SFAS 130"), "Reporting Comprehensive Income". This Statement requires that total comprehensive income be reported and that changes be shown in a financial statement displayed with the same prominence as other financial statements. SFAS 130 is effective for fiscal years beginning after December 15, 1997. Reclassification of financial statements for earlier periods is required for</w:t>
      </w:r>
    </w:p>
    <w:p>
      <w:pPr>
        <w:spacing w:after="0" w:line="33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F-8</w:t>
      </w:r>
    </w:p>
    <w:p>
      <w:pPr>
        <w:sectPr>
          <w:pgSz w:w="11900" w:h="16838" w:orient="portrait"/>
          <w:cols w:equalWidth="0" w:num="1">
            <w:col w:w="10219"/>
          </w:cols>
          <w:pgMar w:left="240" w:top="638" w:right="1440" w:bottom="1440" w:gutter="0" w:footer="0" w:header="0"/>
        </w:sectPr>
      </w:pPr>
    </w:p>
    <w:bookmarkStart w:id="51" w:name="page52"/>
    <w:bookmarkEnd w:id="51"/>
    <w:p>
      <w:pPr>
        <w:ind w:left="8" w:right="3739"/>
        <w:spacing w:after="0" w:line="243" w:lineRule="auto"/>
        <w:rPr>
          <w:sz w:val="20"/>
          <w:szCs w:val="20"/>
          <w:color w:val="auto"/>
        </w:rPr>
      </w:pPr>
      <w:r>
        <w:rPr>
          <w:rFonts w:ascii="Courier New" w:cs="Courier New" w:eastAsia="Courier New" w:hAnsi="Courier New"/>
          <w:sz w:val="15"/>
          <w:szCs w:val="15"/>
          <w:color w:val="auto"/>
        </w:rPr>
        <w:t>comparative purposes. The Company does not believe that this will have a material impact on net loss.</w:t>
      </w:r>
    </w:p>
    <w:p>
      <w:pPr>
        <w:spacing w:after="0" w:line="175" w:lineRule="exact"/>
        <w:rPr>
          <w:sz w:val="20"/>
          <w:szCs w:val="20"/>
          <w:color w:val="auto"/>
        </w:rPr>
      </w:pPr>
    </w:p>
    <w:p>
      <w:pPr>
        <w:ind w:left="368" w:hanging="368"/>
        <w:spacing w:after="0"/>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Investments consist of the following at December 31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tcPr>
          <w:p>
            <w:pPr>
              <w:jc w:val="right"/>
              <w:ind w:right="1285"/>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spacing w:after="0"/>
              <w:rPr>
                <w:sz w:val="14"/>
                <w:szCs w:val="14"/>
                <w:color w:val="auto"/>
              </w:rPr>
            </w:pPr>
          </w:p>
        </w:tc>
        <w:tc>
          <w:tcPr>
            <w:tcW w:w="14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Cost</w:t>
            </w:r>
          </w:p>
        </w:tc>
        <w:tc>
          <w:tcPr>
            <w:tcW w:w="1820" w:type="dxa"/>
            <w:vAlign w:val="bottom"/>
          </w:tcPr>
          <w:p>
            <w:pPr>
              <w:ind w:left="640"/>
              <w:spacing w:after="0"/>
              <w:rPr>
                <w:sz w:val="20"/>
                <w:szCs w:val="20"/>
                <w:color w:val="auto"/>
              </w:rPr>
            </w:pPr>
            <w:r>
              <w:rPr>
                <w:rFonts w:ascii="Courier New" w:cs="Courier New" w:eastAsia="Courier New" w:hAnsi="Courier New"/>
                <w:sz w:val="15"/>
                <w:szCs w:val="15"/>
                <w:color w:val="auto"/>
              </w:rPr>
              <w:t>Fair Value</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Cost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173"/>
        </w:trPr>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Cash and cash equivalents</w:t>
            </w: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3"/>
        </w:trPr>
        <w:tc>
          <w:tcPr>
            <w:tcW w:w="31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Cash and money market funds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$43,072</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$43,072</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$21,253</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$21,253</w:t>
            </w:r>
          </w:p>
        </w:tc>
      </w:tr>
      <w:tr>
        <w:trPr>
          <w:trHeight w:val="173"/>
        </w:trPr>
        <w:tc>
          <w:tcPr>
            <w:tcW w:w="31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Corporate debt securities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28,382</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28,382</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13,598</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13,598</w:t>
            </w:r>
          </w:p>
        </w:tc>
      </w:tr>
      <w:tr>
        <w:trPr>
          <w:trHeight w:val="173"/>
        </w:trPr>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Total cash and cash equivalents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$71,454</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$71,454</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$34,851</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$34,851</w:t>
            </w:r>
          </w:p>
        </w:tc>
      </w:tr>
      <w:tr>
        <w:trPr>
          <w:trHeight w:val="173"/>
        </w:trPr>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3"/>
        </w:trPr>
        <w:tc>
          <w:tcPr>
            <w:tcW w:w="31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US Government securities</w:t>
            </w:r>
          </w:p>
        </w:tc>
        <w:tc>
          <w:tcPr>
            <w:tcW w:w="9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3"/>
        </w:trPr>
        <w:tc>
          <w:tcPr>
            <w:tcW w:w="1760" w:type="dxa"/>
            <w:vAlign w:val="bottom"/>
          </w:tcPr>
          <w:p>
            <w:pPr>
              <w:ind w:left="800"/>
              <w:spacing w:after="0"/>
              <w:rPr>
                <w:sz w:val="20"/>
                <w:szCs w:val="20"/>
                <w:color w:val="auto"/>
              </w:rPr>
            </w:pPr>
            <w:r>
              <w:rPr>
                <w:rFonts w:ascii="Courier New" w:cs="Courier New" w:eastAsia="Courier New" w:hAnsi="Courier New"/>
                <w:sz w:val="15"/>
                <w:szCs w:val="15"/>
                <w:color w:val="auto"/>
              </w:rPr>
              <w:t>Due within</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1 year</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$4,719</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$4,713</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$7,555</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$7,568</w:t>
            </w:r>
          </w:p>
        </w:tc>
      </w:tr>
      <w:tr>
        <w:trPr>
          <w:trHeight w:val="173"/>
        </w:trPr>
        <w:tc>
          <w:tcPr>
            <w:tcW w:w="1760" w:type="dxa"/>
            <w:vAlign w:val="bottom"/>
          </w:tcPr>
          <w:p>
            <w:pPr>
              <w:ind w:left="800"/>
              <w:spacing w:after="0"/>
              <w:rPr>
                <w:sz w:val="20"/>
                <w:szCs w:val="20"/>
                <w:color w:val="auto"/>
              </w:rPr>
            </w:pPr>
            <w:r>
              <w:rPr>
                <w:rFonts w:ascii="Courier New" w:cs="Courier New" w:eastAsia="Courier New" w:hAnsi="Courier New"/>
                <w:sz w:val="15"/>
                <w:szCs w:val="15"/>
                <w:color w:val="auto"/>
              </w:rPr>
              <w:t>Due within</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1 to 5 years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40,167</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40,200</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1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Corporate debt securities</w:t>
            </w:r>
          </w:p>
        </w:tc>
        <w:tc>
          <w:tcPr>
            <w:tcW w:w="9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3"/>
        </w:trPr>
        <w:tc>
          <w:tcPr>
            <w:tcW w:w="1760" w:type="dxa"/>
            <w:vAlign w:val="bottom"/>
          </w:tcPr>
          <w:p>
            <w:pPr>
              <w:ind w:left="800"/>
              <w:spacing w:after="0"/>
              <w:rPr>
                <w:sz w:val="20"/>
                <w:szCs w:val="20"/>
                <w:color w:val="auto"/>
              </w:rPr>
            </w:pPr>
            <w:r>
              <w:rPr>
                <w:rFonts w:ascii="Courier New" w:cs="Courier New" w:eastAsia="Courier New" w:hAnsi="Courier New"/>
                <w:sz w:val="15"/>
                <w:szCs w:val="15"/>
                <w:color w:val="auto"/>
              </w:rPr>
              <w:t>Due within</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1 year</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71,136</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71,165</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64,140</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64,155</w:t>
            </w:r>
          </w:p>
        </w:tc>
      </w:tr>
      <w:tr>
        <w:trPr>
          <w:trHeight w:val="173"/>
        </w:trPr>
        <w:tc>
          <w:tcPr>
            <w:tcW w:w="1760" w:type="dxa"/>
            <w:vAlign w:val="bottom"/>
          </w:tcPr>
          <w:p>
            <w:pPr>
              <w:ind w:left="800"/>
              <w:spacing w:after="0"/>
              <w:rPr>
                <w:sz w:val="20"/>
                <w:szCs w:val="20"/>
                <w:color w:val="auto"/>
              </w:rPr>
            </w:pPr>
            <w:r>
              <w:rPr>
                <w:rFonts w:ascii="Courier New" w:cs="Courier New" w:eastAsia="Courier New" w:hAnsi="Courier New"/>
                <w:sz w:val="15"/>
                <w:szCs w:val="15"/>
                <w:color w:val="auto"/>
              </w:rPr>
              <w:t>Due within</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1 to 5 years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69,771</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69,851</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23,780</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23,785</w:t>
            </w:r>
          </w:p>
        </w:tc>
      </w:tr>
      <w:tr>
        <w:trPr>
          <w:trHeight w:val="173"/>
        </w:trPr>
        <w:tc>
          <w:tcPr>
            <w:tcW w:w="1760" w:type="dxa"/>
            <w:vAlign w:val="bottom"/>
          </w:tcPr>
          <w:p>
            <w:pPr>
              <w:ind w:left="800"/>
              <w:spacing w:after="0"/>
              <w:rPr>
                <w:sz w:val="20"/>
                <w:szCs w:val="20"/>
                <w:color w:val="auto"/>
              </w:rPr>
            </w:pPr>
            <w:r>
              <w:rPr>
                <w:rFonts w:ascii="Courier New" w:cs="Courier New" w:eastAsia="Courier New" w:hAnsi="Courier New"/>
                <w:sz w:val="15"/>
                <w:szCs w:val="15"/>
                <w:color w:val="auto"/>
              </w:rPr>
              <w:t>Due over 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22,276</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22,288</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 Investments</w:t>
            </w:r>
          </w:p>
        </w:tc>
        <w:tc>
          <w:tcPr>
            <w:tcW w:w="134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$208,069</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$208,217</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$95,475</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$95,508</w:t>
            </w:r>
          </w:p>
        </w:tc>
      </w:tr>
      <w:tr>
        <w:trPr>
          <w:trHeight w:val="173"/>
        </w:trPr>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Gross unrealized holding gains and losses at December 31, 1997 were $184,000 and $36,000, respectively, and at December 31, 1996 were $89,000 and $56,000, respectively. The effect of gross realized gains and losses on the financial statements for the years 1997, 1996 and 1995 was immaterial. Maturities stated are final maturities, the effective maturities for certain securities may be shorter in duration.</w:t>
      </w:r>
    </w:p>
    <w:p>
      <w:pPr>
        <w:spacing w:after="0" w:line="176" w:lineRule="exact"/>
        <w:rPr>
          <w:sz w:val="20"/>
          <w:szCs w:val="20"/>
          <w:color w:val="auto"/>
        </w:rPr>
      </w:pPr>
    </w:p>
    <w:p>
      <w:pPr>
        <w:ind w:left="368" w:hanging="368"/>
        <w:spacing w:after="0"/>
        <w:tabs>
          <w:tab w:leader="none" w:pos="3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Cash</w:t>
      </w:r>
    </w:p>
    <w:p>
      <w:pPr>
        <w:spacing w:after="0" w:line="178" w:lineRule="exact"/>
        <w:rPr>
          <w:sz w:val="20"/>
          <w:szCs w:val="20"/>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On March 16, 1995, the Company signed a ten-year operating lease for additional facilities occupied in 1996. In accordance with the lease agreement, the Company was required to deposit approximately $2,316,000 with its bank to collateralize a conditional, stand-by letter of credit in the name of the landlord. The letter of credit is redeemable only if the Company defaults on the lease under specific criteria. These funds are restricted from the Company's use during the lease period, although the Company is entitled to all interest earned on the funds.</w:t>
      </w:r>
    </w:p>
    <w:p>
      <w:pPr>
        <w:spacing w:after="0" w:line="160" w:lineRule="exact"/>
        <w:rPr>
          <w:sz w:val="20"/>
          <w:szCs w:val="20"/>
          <w:color w:val="auto"/>
        </w:rPr>
      </w:pPr>
    </w:p>
    <w:p>
      <w:pPr>
        <w:ind w:left="368" w:hanging="368"/>
        <w:spacing w:after="0"/>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and equipment consist of the following at December 31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360" w:type="dxa"/>
            <w:vAlign w:val="bottom"/>
          </w:tcPr>
          <w:p>
            <w:pPr>
              <w:spacing w:after="0"/>
              <w:rPr>
                <w:sz w:val="15"/>
                <w:szCs w:val="15"/>
                <w:color w:val="auto"/>
              </w:rPr>
            </w:pP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6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$6,983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$4,719</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Furniture and equipment</w:t>
            </w: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4,511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2,260</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Purchased software</w:t>
            </w: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2,823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2,418</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Equipment under capital lease</w:t>
            </w: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20,403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19,303</w:t>
            </w:r>
          </w:p>
        </w:tc>
      </w:tr>
      <w:tr>
        <w:trPr>
          <w:trHeight w:val="173"/>
        </w:trPr>
        <w:tc>
          <w:tcPr>
            <w:tcW w:w="4360" w:type="dxa"/>
            <w:vAlign w:val="bottom"/>
          </w:tcPr>
          <w:p>
            <w:pPr>
              <w:spacing w:after="0"/>
              <w:rPr>
                <w:sz w:val="15"/>
                <w:szCs w:val="15"/>
                <w:color w:val="auto"/>
              </w:rPr>
            </w:pP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360" w:type="dxa"/>
            <w:vAlign w:val="bottom"/>
          </w:tcPr>
          <w:p>
            <w:pPr>
              <w:spacing w:after="0"/>
              <w:rPr>
                <w:sz w:val="15"/>
                <w:szCs w:val="15"/>
                <w:color w:val="auto"/>
              </w:rPr>
            </w:pP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34,720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28,700</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23,625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20,037</w:t>
            </w:r>
          </w:p>
        </w:tc>
      </w:tr>
      <w:tr>
        <w:trPr>
          <w:trHeight w:val="173"/>
        </w:trPr>
        <w:tc>
          <w:tcPr>
            <w:tcW w:w="4360" w:type="dxa"/>
            <w:vAlign w:val="bottom"/>
          </w:tcPr>
          <w:p>
            <w:pPr>
              <w:spacing w:after="0"/>
              <w:rPr>
                <w:sz w:val="15"/>
                <w:szCs w:val="15"/>
                <w:color w:val="auto"/>
              </w:rPr>
            </w:pP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360" w:type="dxa"/>
            <w:vAlign w:val="bottom"/>
          </w:tcPr>
          <w:p>
            <w:pPr>
              <w:spacing w:after="0"/>
              <w:rPr>
                <w:sz w:val="15"/>
                <w:szCs w:val="15"/>
                <w:color w:val="auto"/>
              </w:rPr>
            </w:pP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$11,095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$8,663</w:t>
            </w:r>
          </w:p>
        </w:tc>
      </w:tr>
      <w:tr>
        <w:trPr>
          <w:trHeight w:val="173"/>
        </w:trPr>
        <w:tc>
          <w:tcPr>
            <w:tcW w:w="4360" w:type="dxa"/>
            <w:vAlign w:val="bottom"/>
          </w:tcPr>
          <w:p>
            <w:pPr>
              <w:spacing w:after="0"/>
              <w:rPr>
                <w:sz w:val="15"/>
                <w:szCs w:val="15"/>
                <w:color w:val="auto"/>
              </w:rPr>
            </w:pP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360" w:type="dxa"/>
            <w:vAlign w:val="bottom"/>
          </w:tcPr>
          <w:p>
            <w:pPr>
              <w:spacing w:after="0"/>
              <w:rPr>
                <w:sz w:val="15"/>
                <w:szCs w:val="15"/>
                <w:color w:val="auto"/>
              </w:rPr>
            </w:pPr>
          </w:p>
        </w:tc>
        <w:tc>
          <w:tcPr>
            <w:tcW w:w="1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8" w:right="3919"/>
        <w:spacing w:after="0" w:line="243" w:lineRule="auto"/>
        <w:rPr>
          <w:sz w:val="20"/>
          <w:szCs w:val="20"/>
          <w:color w:val="auto"/>
        </w:rPr>
      </w:pPr>
      <w:r>
        <w:rPr>
          <w:rFonts w:ascii="Courier New" w:cs="Courier New" w:eastAsia="Courier New" w:hAnsi="Courier New"/>
          <w:sz w:val="15"/>
          <w:szCs w:val="15"/>
          <w:color w:val="auto"/>
        </w:rPr>
        <w:t>The net book value of equipment under capital lease was $5,811,000 and $7,366,000 at December</w:t>
      </w:r>
    </w:p>
    <w:p>
      <w:pPr>
        <w:spacing w:after="0" w:line="175"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F-9</w:t>
      </w:r>
    </w:p>
    <w:p>
      <w:pPr>
        <w:sectPr>
          <w:pgSz w:w="11900" w:h="16838" w:orient="portrait"/>
          <w:cols w:equalWidth="0" w:num="1">
            <w:col w:w="10227"/>
          </w:cols>
          <w:pgMar w:left="232" w:top="638" w:right="1440" w:bottom="1440" w:gutter="0" w:footer="0" w:header="0"/>
        </w:sectPr>
      </w:pPr>
    </w:p>
    <w:bookmarkStart w:id="52" w:name="page53"/>
    <w:bookmarkEnd w:id="52"/>
    <w:p>
      <w:pPr>
        <w:ind w:left="8"/>
        <w:spacing w:after="0"/>
        <w:rPr>
          <w:sz w:val="20"/>
          <w:szCs w:val="20"/>
          <w:color w:val="auto"/>
        </w:rPr>
      </w:pPr>
      <w:r>
        <w:rPr>
          <w:rFonts w:ascii="Courier New" w:cs="Courier New" w:eastAsia="Courier New" w:hAnsi="Courier New"/>
          <w:sz w:val="15"/>
          <w:szCs w:val="15"/>
          <w:color w:val="auto"/>
        </w:rPr>
        <w:t>31, 1997 and 1996, respectively.</w:t>
      </w:r>
    </w:p>
    <w:p>
      <w:pPr>
        <w:spacing w:after="0" w:line="350" w:lineRule="exact"/>
        <w:rPr>
          <w:sz w:val="20"/>
          <w:szCs w:val="20"/>
          <w:color w:val="auto"/>
        </w:rPr>
      </w:pPr>
    </w:p>
    <w:p>
      <w:pPr>
        <w:ind w:left="368" w:hanging="368"/>
        <w:spacing w:after="0"/>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Accrued expenses consist of the following at December 31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2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320" w:type="dxa"/>
            <w:vAlign w:val="bottom"/>
          </w:tcPr>
          <w:p>
            <w:pPr>
              <w:spacing w:after="0"/>
              <w:rPr>
                <w:sz w:val="15"/>
                <w:szCs w:val="15"/>
                <w:color w:val="auto"/>
              </w:rPr>
            </w:pPr>
          </w:p>
        </w:tc>
        <w:tc>
          <w:tcPr>
            <w:tcW w:w="2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3320" w:type="dxa"/>
            <w:vAlign w:val="bottom"/>
          </w:tcPr>
          <w:p>
            <w:pPr>
              <w:spacing w:after="0"/>
              <w:rPr>
                <w:sz w:val="20"/>
                <w:szCs w:val="20"/>
                <w:color w:val="auto"/>
              </w:rPr>
            </w:pPr>
            <w:r>
              <w:rPr>
                <w:rFonts w:ascii="Courier New" w:cs="Courier New" w:eastAsia="Courier New" w:hAnsi="Courier New"/>
                <w:sz w:val="15"/>
                <w:szCs w:val="15"/>
                <w:color w:val="auto"/>
              </w:rPr>
              <w:t>Professional fees</w:t>
            </w:r>
          </w:p>
        </w:tc>
        <w:tc>
          <w:tcPr>
            <w:tcW w:w="2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$1,192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$1,196</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Development contract costs</w:t>
            </w:r>
          </w:p>
        </w:tc>
        <w:tc>
          <w:tcPr>
            <w:tcW w:w="2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2,663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317</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Payroll and benefits</w:t>
            </w:r>
          </w:p>
        </w:tc>
        <w:tc>
          <w:tcPr>
            <w:tcW w:w="2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1,145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567</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1,385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r>
      <w:tr>
        <w:trPr>
          <w:trHeight w:val="173"/>
        </w:trPr>
        <w:tc>
          <w:tcPr>
            <w:tcW w:w="3320" w:type="dxa"/>
            <w:vAlign w:val="bottom"/>
          </w:tcPr>
          <w:p>
            <w:pPr>
              <w:spacing w:after="0"/>
              <w:rPr>
                <w:sz w:val="15"/>
                <w:szCs w:val="15"/>
                <w:color w:val="auto"/>
              </w:rPr>
            </w:pPr>
          </w:p>
        </w:tc>
        <w:tc>
          <w:tcPr>
            <w:tcW w:w="2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320" w:type="dxa"/>
            <w:vAlign w:val="bottom"/>
          </w:tcPr>
          <w:p>
            <w:pPr>
              <w:spacing w:after="0"/>
              <w:rPr>
                <w:sz w:val="15"/>
                <w:szCs w:val="15"/>
                <w:color w:val="auto"/>
              </w:rPr>
            </w:pPr>
          </w:p>
        </w:tc>
        <w:tc>
          <w:tcPr>
            <w:tcW w:w="2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$6,385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$2,755</w:t>
            </w:r>
          </w:p>
        </w:tc>
      </w:tr>
      <w:tr>
        <w:trPr>
          <w:trHeight w:val="173"/>
        </w:trPr>
        <w:tc>
          <w:tcPr>
            <w:tcW w:w="3320" w:type="dxa"/>
            <w:vAlign w:val="bottom"/>
          </w:tcPr>
          <w:p>
            <w:pPr>
              <w:spacing w:after="0"/>
              <w:rPr>
                <w:sz w:val="15"/>
                <w:szCs w:val="15"/>
                <w:color w:val="auto"/>
              </w:rPr>
            </w:pPr>
          </w:p>
        </w:tc>
        <w:tc>
          <w:tcPr>
            <w:tcW w:w="2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320" w:type="dxa"/>
            <w:vAlign w:val="bottom"/>
          </w:tcPr>
          <w:p>
            <w:pPr>
              <w:spacing w:after="0"/>
              <w:rPr>
                <w:sz w:val="15"/>
                <w:szCs w:val="15"/>
                <w:color w:val="auto"/>
              </w:rPr>
            </w:pPr>
          </w:p>
        </w:tc>
        <w:tc>
          <w:tcPr>
            <w:tcW w:w="2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8" w:right="5439" w:hanging="8"/>
        <w:spacing w:after="0" w:line="488" w:lineRule="auto"/>
        <w:tabs>
          <w:tab w:leader="none" w:pos="36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Capital Leases and Debt Obligations Capital Leases and Debt Obligations</w:t>
      </w:r>
    </w:p>
    <w:p>
      <w:pPr>
        <w:spacing w:after="0" w:line="3" w:lineRule="exact"/>
        <w:rPr>
          <w:sz w:val="20"/>
          <w:szCs w:val="20"/>
          <w:color w:val="auto"/>
        </w:rPr>
      </w:pPr>
    </w:p>
    <w:p>
      <w:pPr>
        <w:ind w:left="8" w:right="3819"/>
        <w:spacing w:after="0" w:line="243" w:lineRule="auto"/>
        <w:rPr>
          <w:sz w:val="20"/>
          <w:szCs w:val="20"/>
          <w:color w:val="auto"/>
        </w:rPr>
      </w:pPr>
      <w:r>
        <w:rPr>
          <w:rFonts w:ascii="Courier New" w:cs="Courier New" w:eastAsia="Courier New" w:hAnsi="Courier New"/>
          <w:sz w:val="15"/>
          <w:szCs w:val="15"/>
          <w:color w:val="auto"/>
        </w:rPr>
        <w:t>At December 31, 1997, long-term capital lease and debt obligations were due as follows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Capital leases</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Debt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3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$2,623</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$2,899</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2,034</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2,334</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1,434</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1,761</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1,294</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1,649</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619</w:t>
            </w:r>
          </w:p>
        </w:tc>
      </w:tr>
      <w:tr>
        <w:trPr>
          <w:trHeight w:val="173"/>
        </w:trPr>
        <w:tc>
          <w:tcPr>
            <w:tcW w:w="2340" w:type="dxa"/>
            <w:vAlign w:val="bottom"/>
          </w:tcPr>
          <w:p>
            <w:pPr>
              <w:spacing w:after="0"/>
              <w:rPr>
                <w:sz w:val="15"/>
                <w:szCs w:val="15"/>
                <w:color w:val="auto"/>
              </w:rPr>
            </w:pP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23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7,473</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1,789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9,262</w:t>
            </w:r>
          </w:p>
        </w:tc>
      </w:tr>
      <w:tr>
        <w:trPr>
          <w:trHeight w:val="173"/>
        </w:trPr>
        <w:tc>
          <w:tcPr>
            <w:tcW w:w="2340" w:type="dxa"/>
            <w:vAlign w:val="bottom"/>
          </w:tcPr>
          <w:p>
            <w:pPr>
              <w:spacing w:after="0"/>
              <w:rPr>
                <w:sz w:val="15"/>
                <w:szCs w:val="15"/>
                <w:color w:val="auto"/>
              </w:rPr>
            </w:pP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2340" w:type="dxa"/>
            <w:vAlign w:val="bottom"/>
          </w:tcPr>
          <w:p>
            <w:pPr>
              <w:spacing w:after="0"/>
              <w:rPr>
                <w:sz w:val="20"/>
                <w:szCs w:val="20"/>
                <w:color w:val="auto"/>
              </w:rPr>
            </w:pPr>
            <w:r>
              <w:rPr>
                <w:rFonts w:ascii="Courier New" w:cs="Courier New" w:eastAsia="Courier New" w:hAnsi="Courier New"/>
                <w:sz w:val="15"/>
                <w:szCs w:val="15"/>
                <w:color w:val="auto"/>
              </w:rPr>
              <w:t>Less amount representing</w:t>
            </w: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interest payments</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847</w:t>
            </w: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847</w:t>
            </w:r>
          </w:p>
        </w:tc>
      </w:tr>
      <w:tr>
        <w:trPr>
          <w:trHeight w:val="173"/>
        </w:trPr>
        <w:tc>
          <w:tcPr>
            <w:tcW w:w="2340" w:type="dxa"/>
            <w:vAlign w:val="bottom"/>
          </w:tcPr>
          <w:p>
            <w:pPr>
              <w:spacing w:after="0"/>
              <w:rPr>
                <w:sz w:val="15"/>
                <w:szCs w:val="15"/>
                <w:color w:val="auto"/>
              </w:rPr>
            </w:pP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Present value of minimum</w:t>
            </w:r>
          </w:p>
        </w:tc>
        <w:tc>
          <w:tcPr>
            <w:tcW w:w="1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lease and debt payments</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6,626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1,789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8,415</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2,234</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2,510</w:t>
            </w:r>
          </w:p>
        </w:tc>
      </w:tr>
      <w:tr>
        <w:trPr>
          <w:trHeight w:val="173"/>
        </w:trPr>
        <w:tc>
          <w:tcPr>
            <w:tcW w:w="2340" w:type="dxa"/>
            <w:vAlign w:val="bottom"/>
          </w:tcPr>
          <w:p>
            <w:pPr>
              <w:spacing w:after="0"/>
              <w:rPr>
                <w:sz w:val="15"/>
                <w:szCs w:val="15"/>
                <w:color w:val="auto"/>
              </w:rPr>
            </w:pP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tcPr>
          <w:p>
            <w:pPr>
              <w:spacing w:after="0"/>
              <w:rPr>
                <w:sz w:val="15"/>
                <w:szCs w:val="15"/>
                <w:color w:val="auto"/>
              </w:rPr>
            </w:pP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$4,392</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$5,905</w:t>
            </w:r>
          </w:p>
        </w:tc>
      </w:tr>
      <w:tr>
        <w:trPr>
          <w:trHeight w:val="173"/>
        </w:trPr>
        <w:tc>
          <w:tcPr>
            <w:tcW w:w="2340" w:type="dxa"/>
            <w:vAlign w:val="bottom"/>
          </w:tcPr>
          <w:p>
            <w:pPr>
              <w:spacing w:after="0"/>
              <w:rPr>
                <w:sz w:val="15"/>
                <w:szCs w:val="15"/>
                <w:color w:val="auto"/>
              </w:rPr>
            </w:pP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tcPr>
          <w:p>
            <w:pPr>
              <w:spacing w:after="0"/>
              <w:rPr>
                <w:sz w:val="15"/>
                <w:szCs w:val="15"/>
                <w:color w:val="auto"/>
              </w:rPr>
            </w:pP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During 1997 and 1996, the Company financed under capital lease arrangements an aggregate of $1,179,000 and $3,727,000, respectively, of asset cost under its master lease agreements. At the end of the lease term, the Company has the right to either return the equipment to the lessor or purchase the equipment for fair market value at that time. These agreements have a term of four or five years, and require that the Company maintain a certain level of cash and investments.</w:t>
      </w:r>
    </w:p>
    <w:p>
      <w:pPr>
        <w:spacing w:after="0" w:line="163"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Also during 1997, the Company financed under a master debt agreement, asset cost of $676,000 and $1,137,000 with interest rates of 8.59% and 8.38%, respectively. The Company has certain equipment designated as collateral under these agreements. These agreements have a term of five years, and require that the Company maintain a certain level of cash and investments.</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Interest paid under capital leases and debt was $576,000 and $462,000 in 1997 and 1996, respectively. At December 31, 1997, the Company had availability under its 1997 master debt agreement to finance up to an additional $2,187,000 of equipment.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Commitments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leases its facilities and certain equipment under operating leases. The Company's leases have terms through the year 2005. Noncancelable future minimum payments are as follows: $3,742,000 in 1998, $3,499,000 in 1999, and $3,326,000 in 2000, $2,786,000 in 2001 and $2,450,000 in 2002, and $6,515,000 thereafter. Rental expense was $3,363,000, $3,063,000</w:t>
      </w:r>
    </w:p>
    <w:p>
      <w:pPr>
        <w:spacing w:after="0" w:line="200" w:lineRule="exact"/>
        <w:rPr>
          <w:sz w:val="20"/>
          <w:szCs w:val="20"/>
          <w:color w:val="auto"/>
        </w:rPr>
      </w:pPr>
    </w:p>
    <w:p>
      <w:pPr>
        <w:spacing w:after="0" w:line="32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F-10</w:t>
      </w:r>
    </w:p>
    <w:p>
      <w:pPr>
        <w:sectPr>
          <w:pgSz w:w="11900" w:h="16838" w:orient="portrait"/>
          <w:cols w:equalWidth="0" w:num="1">
            <w:col w:w="10227"/>
          </w:cols>
          <w:pgMar w:left="232" w:top="638" w:right="1440" w:bottom="35" w:gutter="0" w:footer="0" w:header="0"/>
        </w:sectPr>
      </w:pPr>
    </w:p>
    <w:bookmarkStart w:id="53" w:name="page54"/>
    <w:bookmarkEnd w:id="53"/>
    <w:p>
      <w:pPr>
        <w:ind w:left="8"/>
        <w:spacing w:after="0"/>
        <w:rPr>
          <w:sz w:val="20"/>
          <w:szCs w:val="20"/>
          <w:color w:val="auto"/>
        </w:rPr>
      </w:pPr>
      <w:r>
        <w:rPr>
          <w:rFonts w:ascii="Courier New" w:cs="Courier New" w:eastAsia="Courier New" w:hAnsi="Courier New"/>
          <w:sz w:val="15"/>
          <w:szCs w:val="15"/>
          <w:color w:val="auto"/>
        </w:rPr>
        <w:t>and $1,281,000 in 1997, 1996 and 1995, respectively.</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The Company has certain license and maintenance contracts that contain future, committed payments for the support and upgrade of specific software programs currently used in research. For the years 1998, 1999, 2000 and 2001 these amounts are $210,000, $314,000, $343,000 and $349,000, respectively.</w:t>
      </w:r>
    </w:p>
    <w:p>
      <w:pPr>
        <w:spacing w:after="0" w:line="349" w:lineRule="exact"/>
        <w:rPr>
          <w:sz w:val="20"/>
          <w:szCs w:val="20"/>
          <w:color w:val="auto"/>
        </w:rPr>
      </w:pPr>
    </w:p>
    <w:p>
      <w:pPr>
        <w:ind w:left="368" w:hanging="368"/>
        <w:spacing w:after="0"/>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Company's federal statutory income tax rate for 1997, 1996 and 1995 was 34%. The Company recorded no income tax benefit for 1997, 1996 and 1995 and recorded a full valuation allowance against net operating losses due to uncertainties related to realizability of these tax assets.</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Deferred tax liabilities and assets are determined based on the difference between financial statement and tax bases using enacted tax rates in effect for the year in which the differences are expected to reverse. The components of the deferred taxes at December 31,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1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2960" w:type="dxa"/>
            <w:vAlign w:val="bottom"/>
          </w:tcPr>
          <w:p>
            <w:pPr>
              <w:spacing w:after="0"/>
              <w:rPr>
                <w:sz w:val="15"/>
                <w:szCs w:val="15"/>
                <w:color w:val="auto"/>
              </w:rPr>
            </w:pPr>
          </w:p>
        </w:tc>
        <w:tc>
          <w:tcPr>
            <w:tcW w:w="1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960" w:type="dxa"/>
            <w:vAlign w:val="bottom"/>
          </w:tcPr>
          <w:p>
            <w:pPr>
              <w:spacing w:after="0"/>
              <w:rPr>
                <w:sz w:val="20"/>
                <w:szCs w:val="20"/>
                <w:color w:val="auto"/>
              </w:rPr>
            </w:pPr>
            <w:r>
              <w:rPr>
                <w:rFonts w:ascii="Courier New" w:cs="Courier New" w:eastAsia="Courier New" w:hAnsi="Courier New"/>
                <w:sz w:val="15"/>
                <w:szCs w:val="15"/>
                <w:color w:val="auto"/>
              </w:rPr>
              <w:t>Net operating loss</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$38,434</w:t>
            </w:r>
          </w:p>
        </w:tc>
        <w:tc>
          <w:tcPr>
            <w:tcW w:w="1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$30,567</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Tax credits carryforward</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5,829</w:t>
            </w:r>
          </w:p>
        </w:tc>
        <w:tc>
          <w:tcPr>
            <w:tcW w:w="1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4,089</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1,211</w:t>
            </w:r>
          </w:p>
        </w:tc>
        <w:tc>
          <w:tcPr>
            <w:tcW w:w="1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1,253</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468</w:t>
            </w:r>
          </w:p>
        </w:tc>
        <w:tc>
          <w:tcPr>
            <w:tcW w:w="1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526</w:t>
            </w:r>
          </w:p>
        </w:tc>
      </w:tr>
      <w:tr>
        <w:trPr>
          <w:trHeight w:val="173"/>
        </w:trPr>
        <w:tc>
          <w:tcPr>
            <w:tcW w:w="2960" w:type="dxa"/>
            <w:vAlign w:val="bottom"/>
          </w:tcPr>
          <w:p>
            <w:pPr>
              <w:spacing w:after="0"/>
              <w:rPr>
                <w:sz w:val="15"/>
                <w:szCs w:val="15"/>
                <w:color w:val="auto"/>
              </w:rPr>
            </w:pPr>
          </w:p>
        </w:tc>
        <w:tc>
          <w:tcPr>
            <w:tcW w:w="1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960" w:type="dxa"/>
            <w:vAlign w:val="bottom"/>
          </w:tcPr>
          <w:p>
            <w:pPr>
              <w:spacing w:after="0"/>
              <w:rPr>
                <w:sz w:val="20"/>
                <w:szCs w:val="20"/>
                <w:color w:val="auto"/>
              </w:rPr>
            </w:pPr>
            <w:r>
              <w:rPr>
                <w:rFonts w:ascii="Courier New" w:cs="Courier New" w:eastAsia="Courier New" w:hAnsi="Courier New"/>
                <w:sz w:val="15"/>
                <w:szCs w:val="15"/>
                <w:color w:val="auto"/>
              </w:rPr>
              <w:t>Gross deferred tax asset</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45,942</w:t>
            </w:r>
          </w:p>
        </w:tc>
        <w:tc>
          <w:tcPr>
            <w:tcW w:w="1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36,435</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1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(45,942)</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(36,435)</w:t>
            </w:r>
          </w:p>
        </w:tc>
      </w:tr>
      <w:tr>
        <w:trPr>
          <w:trHeight w:val="173"/>
        </w:trPr>
        <w:tc>
          <w:tcPr>
            <w:tcW w:w="2960" w:type="dxa"/>
            <w:vAlign w:val="bottom"/>
          </w:tcPr>
          <w:p>
            <w:pPr>
              <w:spacing w:after="0"/>
              <w:rPr>
                <w:sz w:val="15"/>
                <w:szCs w:val="15"/>
                <w:color w:val="auto"/>
              </w:rPr>
            </w:pPr>
          </w:p>
        </w:tc>
        <w:tc>
          <w:tcPr>
            <w:tcW w:w="1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960" w:type="dxa"/>
            <w:vAlign w:val="bottom"/>
          </w:tcPr>
          <w:p>
            <w:pPr>
              <w:spacing w:after="0"/>
              <w:rPr>
                <w:sz w:val="20"/>
                <w:szCs w:val="20"/>
                <w:color w:val="auto"/>
              </w:rPr>
            </w:pPr>
            <w:r>
              <w:rPr>
                <w:rFonts w:ascii="Courier New" w:cs="Courier New" w:eastAsia="Courier New" w:hAnsi="Courier New"/>
                <w:sz w:val="15"/>
                <w:szCs w:val="15"/>
                <w:color w:val="auto"/>
              </w:rPr>
              <w:t>Net deferred tax balance</w:t>
            </w:r>
          </w:p>
        </w:tc>
        <w:tc>
          <w:tcPr>
            <w:tcW w:w="1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w:t>
            </w:r>
          </w:p>
        </w:tc>
        <w:tc>
          <w:tcPr>
            <w:tcW w:w="15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w:t>
            </w:r>
          </w:p>
        </w:tc>
      </w:tr>
      <w:tr>
        <w:trPr>
          <w:trHeight w:val="173"/>
        </w:trPr>
        <w:tc>
          <w:tcPr>
            <w:tcW w:w="2960" w:type="dxa"/>
            <w:vAlign w:val="bottom"/>
          </w:tcPr>
          <w:p>
            <w:pPr>
              <w:spacing w:after="0"/>
              <w:rPr>
                <w:sz w:val="15"/>
                <w:szCs w:val="15"/>
                <w:color w:val="auto"/>
              </w:rPr>
            </w:pPr>
          </w:p>
        </w:tc>
        <w:tc>
          <w:tcPr>
            <w:tcW w:w="1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60" w:type="dxa"/>
            <w:vAlign w:val="bottom"/>
          </w:tcPr>
          <w:p>
            <w:pPr>
              <w:spacing w:after="0"/>
              <w:rPr>
                <w:sz w:val="15"/>
                <w:szCs w:val="15"/>
                <w:color w:val="auto"/>
              </w:rPr>
            </w:pPr>
          </w:p>
        </w:tc>
        <w:tc>
          <w:tcPr>
            <w:tcW w:w="1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For federal income tax purposes, as of December 31, 1997, the Company has regular tax net operating loss carryforwards of approximately $113,040,000 and $5,829,000 of tax credits, which may be used to offset future income. These net operating loss carryforwards expire beginning in 2005, and the tax credit carryforwards begin to expire in 2004.</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amount of tax credits and net operating loss carryforwards that the Company may utilize in any one year is limited in accordance with Internal Revenue Code Section 382. This limitation arises whenever a cumulative change in ownership in excess of 50% occurs. A change of ownership has occurred which will limit the amount of net operating loss and tax credits available prior to the change. There may also be further changes of ownership subsequent to 1997 which may also limit the amount of net operating loss and tax credit utilization in a subsequent year.</w:t>
      </w:r>
    </w:p>
    <w:p>
      <w:pPr>
        <w:spacing w:after="0" w:line="178" w:lineRule="exact"/>
        <w:rPr>
          <w:sz w:val="20"/>
          <w:szCs w:val="20"/>
          <w:color w:val="auto"/>
        </w:rPr>
      </w:pPr>
    </w:p>
    <w:p>
      <w:pPr>
        <w:ind w:left="8" w:right="7519" w:hanging="8"/>
        <w:spacing w:after="0" w:line="488" w:lineRule="auto"/>
        <w:tabs>
          <w:tab w:leader="none" w:pos="3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and Preferred Stock Common Stock</w:t>
      </w:r>
    </w:p>
    <w:p>
      <w:pPr>
        <w:spacing w:after="0" w:line="3"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June 1997, Eli Lilly and Company ("Lilly") purchased 263,922 shares of the Company's common stock for $10,000,000. In March 1997, the Company completed a public offering of 3,450,000 shares of its common stock at a price of $45.50 per share with net proceeds to the Company of approximately $148,810,000. In August 1996, the Company completed a public</w:t>
      </w:r>
    </w:p>
    <w:p>
      <w:pPr>
        <w:spacing w:after="0" w:line="349"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F-11</w:t>
      </w:r>
    </w:p>
    <w:p>
      <w:pPr>
        <w:sectPr>
          <w:pgSz w:w="11900" w:h="16838" w:orient="portrait"/>
          <w:cols w:equalWidth="0" w:num="1">
            <w:col w:w="10227"/>
          </w:cols>
          <w:pgMar w:left="232" w:top="638" w:right="1440" w:bottom="1440" w:gutter="0" w:footer="0" w:header="0"/>
        </w:sectPr>
      </w:pPr>
    </w:p>
    <w:bookmarkStart w:id="54" w:name="page55"/>
    <w:bookmarkEnd w:id="54"/>
    <w:p>
      <w:pPr>
        <w:ind w:right="3379"/>
        <w:spacing w:after="0" w:line="244" w:lineRule="auto"/>
        <w:rPr>
          <w:sz w:val="20"/>
          <w:szCs w:val="20"/>
          <w:color w:val="auto"/>
        </w:rPr>
      </w:pPr>
      <w:r>
        <w:rPr>
          <w:rFonts w:ascii="Courier New" w:cs="Courier New" w:eastAsia="Courier New" w:hAnsi="Courier New"/>
          <w:sz w:val="15"/>
          <w:szCs w:val="15"/>
          <w:color w:val="auto"/>
        </w:rPr>
        <w:t>offering of 3,450,000 shares of its Common Stock at a price of $24 per share with net proceeds to the Company of approximately $77,515,000. In June 1996, Glaxo Wellcome purchased 151,792 shares of the Company's Common Stock for approximately $5,000,000.</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1997, the Company increased the authorized number of shares of Common Stock by 50,000,000 shares to 100,000,000 shares. At December 31, 1997, 6,690,318 shares of the Company's Common Stock were reserved for exercise of Common Stock options granted or to be granted under its 1991 Stock Option Plan, 1994 Stock and Option Plan, and 1996 Stock and Option Plan, 47,999 shares were reserved for exercise of certain other options granted in 1991, 114,219 shares of Common Stock were reserved for issuance under the Company's 401(k) Plan, and 113,898 shares of Common Stock were reserved for issuance under the Company's Employee Stock Purchase Plan.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Company applies APB Opinion No. 25 and related interpretations in accounting for its stock-based compensation plans. However, pro forma disclosures as if the Company adopted the cost recognition requirements under FASB Statement No. 123 "Accounting for Stock-Based Compensation" ("SFAS 123") in 1997, 1996 and 1995 are presented below. Compensation expense of $66,000 was recognized during 1997. No compensation expense was recognized for these plans in 1996 and 1995.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reserved 4,000,000 shares under its 1991 Stock Option Plan (the "1991 Plan") and 1994 Stock and Option Plan (the "1994 Plan"). The Company's 1996 Stock and Option Plan (the "1996 Plan"; together with the 1991 Plan and the 1994 Plan, the "Plans") reserved an additional 3,250,000 shares, of which 1,250,000 shares were reserved during 1997. Under the 1994 Plan and the 1996 Plan, stock rights, which are either (i) incentive stock options, (ii) non-qualified stock options ("NQSOs"), or (iii) award shares of Common Stock or the opportunity to make a direct purchase of shares of Common Stock ("Stock Awards"), may be granted to employees (including officers and directors who are employees), consultants, advisors and non-employee directors (NQSOs and stock awards only), either as options intended to qualify as "incentive stock options" under the Internal Revenue Code or as non-qualified stock options. Incentive stock options granted under the Plans may not be granted at a price less than the fair market value of the Common Stock on the date of grant. Non-qualified stock options may be granted at an exercise price established by the Compensation Committee of the Board of Directors, which may be less than, equal to or greater than the fair value of the Common Stock on the date of grant. Vesting periods, generally four or five years, are determined by the Compensation Committee. Incentive stock options granted under the Plans must expire not more than ten years from the date of grant.</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F-12</w:t>
      </w:r>
    </w:p>
    <w:p>
      <w:pPr>
        <w:sectPr>
          <w:pgSz w:w="11900" w:h="16838" w:orient="portrait"/>
          <w:cols w:equalWidth="0" w:num="1">
            <w:col w:w="10219"/>
          </w:cols>
          <w:pgMar w:left="240" w:top="812" w:right="1440" w:bottom="1440" w:gutter="0" w:footer="0" w:header="0"/>
        </w:sectPr>
      </w:pPr>
    </w:p>
    <w:bookmarkStart w:id="55" w:name="page56"/>
    <w:bookmarkEnd w:id="55"/>
    <w:p>
      <w:pPr>
        <w:ind w:right="3019"/>
        <w:spacing w:after="0" w:line="243" w:lineRule="auto"/>
        <w:rPr>
          <w:sz w:val="20"/>
          <w:szCs w:val="20"/>
          <w:color w:val="auto"/>
        </w:rPr>
      </w:pPr>
      <w:r>
        <w:rPr>
          <w:rFonts w:ascii="Courier New" w:cs="Courier New" w:eastAsia="Courier New" w:hAnsi="Courier New"/>
          <w:sz w:val="15"/>
          <w:szCs w:val="15"/>
          <w:color w:val="auto"/>
        </w:rPr>
        <w:t>Stock option activity for the years ended December 31, 1997, 1996 and 1995 is as follows (shares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jc w:val="right"/>
              <w:ind w:right="845"/>
              <w:spacing w:after="0"/>
              <w:rPr>
                <w:sz w:val="20"/>
                <w:szCs w:val="20"/>
                <w:color w:val="auto"/>
              </w:rPr>
            </w:pPr>
            <w:r>
              <w:rPr>
                <w:rFonts w:ascii="Courier New" w:cs="Courier New" w:eastAsia="Courier New" w:hAnsi="Courier New"/>
                <w:sz w:val="15"/>
                <w:szCs w:val="15"/>
                <w:color w:val="auto"/>
                <w:w w:val="94"/>
              </w:rPr>
              <w:t>1997</w:t>
            </w:r>
          </w:p>
        </w:tc>
        <w:tc>
          <w:tcPr>
            <w:tcW w:w="1120" w:type="dxa"/>
            <w:vAlign w:val="bottom"/>
          </w:tcPr>
          <w:p>
            <w:pPr>
              <w:spacing w:after="0"/>
              <w:rPr>
                <w:sz w:val="14"/>
                <w:szCs w:val="14"/>
                <w:color w:val="auto"/>
              </w:rPr>
            </w:pPr>
          </w:p>
        </w:tc>
        <w:tc>
          <w:tcPr>
            <w:tcW w:w="13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spacing w:after="0"/>
              <w:rPr>
                <w:sz w:val="14"/>
                <w:szCs w:val="14"/>
                <w:color w:val="auto"/>
              </w:rPr>
            </w:pPr>
          </w:p>
        </w:tc>
        <w:tc>
          <w:tcPr>
            <w:tcW w:w="13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2420" w:type="dxa"/>
            <w:vAlign w:val="bottom"/>
          </w:tcPr>
          <w:p>
            <w:pPr>
              <w:spacing w:after="0"/>
              <w:rPr>
                <w:sz w:val="15"/>
                <w:szCs w:val="15"/>
                <w:color w:val="auto"/>
              </w:rPr>
            </w:pPr>
          </w:p>
        </w:tc>
        <w:tc>
          <w:tcPr>
            <w:tcW w:w="2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Weighted</w:t>
            </w:r>
          </w:p>
        </w:tc>
        <w:tc>
          <w:tcPr>
            <w:tcW w:w="1120" w:type="dxa"/>
            <w:vAlign w:val="bottom"/>
          </w:tcPr>
          <w:p>
            <w:pPr>
              <w:spacing w:after="0"/>
              <w:rPr>
                <w:sz w:val="15"/>
                <w:szCs w:val="15"/>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Weighted</w:t>
            </w:r>
          </w:p>
        </w:tc>
        <w:tc>
          <w:tcPr>
            <w:tcW w:w="104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Weighted</w:t>
            </w:r>
          </w:p>
        </w:tc>
      </w:tr>
      <w:tr>
        <w:trPr>
          <w:trHeight w:val="173"/>
        </w:trPr>
        <w:tc>
          <w:tcPr>
            <w:tcW w:w="2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Average</w:t>
            </w:r>
          </w:p>
        </w:tc>
        <w:tc>
          <w:tcPr>
            <w:tcW w:w="1120" w:type="dxa"/>
            <w:vAlign w:val="bottom"/>
          </w:tcPr>
          <w:p>
            <w:pPr>
              <w:spacing w:after="0"/>
              <w:rPr>
                <w:sz w:val="15"/>
                <w:szCs w:val="15"/>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Average</w:t>
            </w:r>
          </w:p>
        </w:tc>
        <w:tc>
          <w:tcPr>
            <w:tcW w:w="104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2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Exercise</w:t>
            </w:r>
          </w:p>
        </w:tc>
        <w:tc>
          <w:tcPr>
            <w:tcW w:w="1120" w:type="dxa"/>
            <w:vAlign w:val="bottom"/>
          </w:tcPr>
          <w:p>
            <w:pPr>
              <w:spacing w:after="0"/>
              <w:rPr>
                <w:sz w:val="15"/>
                <w:szCs w:val="15"/>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Exercise</w:t>
            </w:r>
          </w:p>
        </w:tc>
        <w:tc>
          <w:tcPr>
            <w:tcW w:w="104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Exercise</w:t>
            </w:r>
          </w:p>
        </w:tc>
      </w:tr>
      <w:tr>
        <w:trPr>
          <w:trHeight w:val="173"/>
        </w:trPr>
        <w:tc>
          <w:tcPr>
            <w:tcW w:w="24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Price</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Price</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Shares</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2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beginning of year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4,033</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$18.98</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3,196</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$14.63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2,523</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$13.13</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1,257</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$29.78</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1,056</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$31.11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829</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$18.77</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$13.97</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$12.96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$11.48</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$23.99</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$16.11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$12.51</w:t>
            </w:r>
          </w:p>
        </w:tc>
      </w:tr>
      <w:tr>
        <w:trPr>
          <w:trHeight w:val="173"/>
        </w:trPr>
        <w:tc>
          <w:tcPr>
            <w:tcW w:w="24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Outstanding at end</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4,702</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$22.03</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4,033</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$18.98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3,196</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$14.63</w:t>
            </w:r>
          </w:p>
        </w:tc>
      </w:tr>
      <w:tr>
        <w:trPr>
          <w:trHeight w:val="173"/>
        </w:trPr>
        <w:tc>
          <w:tcPr>
            <w:tcW w:w="24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Options exercisable</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at year-end</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1,944</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$16.50</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1,625</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$13.92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$12.99</w:t>
            </w:r>
          </w:p>
        </w:tc>
      </w:tr>
      <w:tr>
        <w:trPr>
          <w:trHeight w:val="173"/>
        </w:trPr>
        <w:tc>
          <w:tcPr>
            <w:tcW w:w="24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Weighted average fair</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value of options granted</w:t>
            </w: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during the year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$13.94</w:t>
            </w:r>
          </w:p>
        </w:tc>
        <w:tc>
          <w:tcPr>
            <w:tcW w:w="12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$15.04</w:t>
            </w:r>
          </w:p>
        </w:tc>
        <w:tc>
          <w:tcPr>
            <w:tcW w:w="13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$9.05</w:t>
            </w:r>
          </w:p>
        </w:tc>
        <w:tc>
          <w:tcPr>
            <w:tcW w:w="1360" w:type="dxa"/>
            <w:vAlign w:val="bottom"/>
          </w:tcPr>
          <w:p>
            <w:pPr>
              <w:spacing w:after="0"/>
              <w:rPr>
                <w:sz w:val="15"/>
                <w:szCs w:val="15"/>
                <w:color w:val="auto"/>
              </w:rPr>
            </w:pPr>
          </w:p>
        </w:tc>
      </w:tr>
      <w:tr>
        <w:trPr>
          <w:trHeight w:val="173"/>
        </w:trPr>
        <w:tc>
          <w:tcPr>
            <w:tcW w:w="24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bl>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fair value of each option granted during 1997, 1996 and 1995 was estimated on the date of grant using the Black-Scholes option-pricing model with the following weighted average assumptions: (1) expected life of 5.18 years for the 1997 grants and 5.41 years for the 1996 and 1995 grants (2) expected volatility of 44.7% for the 1997 grants and 42% for the 1996 and 1995 grants (3) risk-free interest rate of 5.5% for the 1997 grants and 6.30% for the 1996 and 1995 grants and (4) no dividend yield.</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The following table summarizes information about stock options outstanding and exercisable at December 31, 1997 (shares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9"/>
              </w:rPr>
              <w:t>Options Outstanding</w:t>
            </w:r>
          </w:p>
        </w:tc>
        <w:tc>
          <w:tcPr>
            <w:tcW w:w="1080" w:type="dxa"/>
            <w:vAlign w:val="bottom"/>
          </w:tcPr>
          <w:p>
            <w:pPr>
              <w:spacing w:after="0"/>
              <w:rPr>
                <w:sz w:val="14"/>
                <w:szCs w:val="14"/>
                <w:color w:val="auto"/>
              </w:rPr>
            </w:pPr>
          </w:p>
        </w:tc>
        <w:tc>
          <w:tcPr>
            <w:tcW w:w="2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Options Exercisable</w:t>
            </w:r>
          </w:p>
        </w:tc>
      </w:tr>
      <w:tr>
        <w:trPr>
          <w:trHeight w:val="173"/>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78"/>
              </w:rPr>
              <w:t>-----------------------------------------------</w:t>
            </w:r>
          </w:p>
        </w:tc>
        <w:tc>
          <w:tcPr>
            <w:tcW w:w="1080" w:type="dxa"/>
            <w:vAlign w:val="bottom"/>
          </w:tcPr>
          <w:p>
            <w:pPr>
              <w:spacing w:after="0"/>
              <w:rPr>
                <w:sz w:val="15"/>
                <w:szCs w:val="15"/>
                <w:color w:val="auto"/>
              </w:rPr>
            </w:pPr>
          </w:p>
        </w:tc>
        <w:tc>
          <w:tcPr>
            <w:tcW w:w="2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Weighted</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Weighted</w:t>
            </w:r>
          </w:p>
        </w:tc>
        <w:tc>
          <w:tcPr>
            <w:tcW w:w="1340" w:type="dxa"/>
            <w:vAlign w:val="bottom"/>
          </w:tcPr>
          <w:p>
            <w:pPr>
              <w:spacing w:after="0"/>
              <w:rPr>
                <w:sz w:val="15"/>
                <w:szCs w:val="15"/>
                <w:color w:val="auto"/>
              </w:rPr>
            </w:pPr>
          </w:p>
        </w:tc>
        <w:tc>
          <w:tcPr>
            <w:tcW w:w="10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Weighted</w:t>
            </w:r>
          </w:p>
        </w:tc>
      </w:tr>
      <w:tr>
        <w:trPr>
          <w:trHeight w:val="173"/>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0" w:type="dxa"/>
            <w:vAlign w:val="bottom"/>
          </w:tcPr>
          <w:p>
            <w:pPr>
              <w:jc w:val="center"/>
              <w:ind w:right="5"/>
              <w:spacing w:after="0"/>
              <w:rPr>
                <w:sz w:val="20"/>
                <w:szCs w:val="20"/>
                <w:color w:val="auto"/>
              </w:rPr>
            </w:pPr>
            <w:r>
              <w:rPr>
                <w:rFonts w:ascii="Courier New" w:cs="Courier New" w:eastAsia="Courier New" w:hAnsi="Courier New"/>
                <w:sz w:val="15"/>
                <w:szCs w:val="15"/>
                <w:color w:val="auto"/>
              </w:rPr>
              <w:t>Average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Average</w:t>
            </w:r>
          </w:p>
        </w:tc>
        <w:tc>
          <w:tcPr>
            <w:tcW w:w="134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80" w:type="dxa"/>
            <w:vAlign w:val="bottom"/>
          </w:tcPr>
          <w:p>
            <w:pPr>
              <w:spacing w:after="0"/>
              <w:rPr>
                <w:sz w:val="15"/>
                <w:szCs w:val="15"/>
                <w:color w:val="auto"/>
              </w:rPr>
            </w:pPr>
          </w:p>
        </w:tc>
        <w:tc>
          <w:tcPr>
            <w:tcW w:w="17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Range of</w:t>
            </w:r>
          </w:p>
        </w:tc>
        <w:tc>
          <w:tcPr>
            <w:tcW w:w="1660" w:type="dxa"/>
            <w:vAlign w:val="bottom"/>
          </w:tcPr>
          <w:p>
            <w:pPr>
              <w:ind w:left="500"/>
              <w:spacing w:after="0"/>
              <w:rPr>
                <w:sz w:val="20"/>
                <w:szCs w:val="20"/>
                <w:color w:val="auto"/>
              </w:rPr>
            </w:pPr>
            <w:r>
              <w:rPr>
                <w:rFonts w:ascii="Courier New" w:cs="Courier New" w:eastAsia="Courier New" w:hAnsi="Courier New"/>
                <w:sz w:val="15"/>
                <w:szCs w:val="15"/>
                <w:color w:val="auto"/>
              </w:rPr>
              <w:t>Number</w:t>
            </w:r>
          </w:p>
        </w:tc>
        <w:tc>
          <w:tcPr>
            <w:tcW w:w="200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Remaining</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Exercise</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10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Exercise</w:t>
            </w:r>
          </w:p>
        </w:tc>
      </w:tr>
      <w:tr>
        <w:trPr>
          <w:trHeight w:val="173"/>
        </w:trPr>
        <w:tc>
          <w:tcPr>
            <w:tcW w:w="80" w:type="dxa"/>
            <w:vAlign w:val="bottom"/>
          </w:tcPr>
          <w:p>
            <w:pPr>
              <w:spacing w:after="0"/>
              <w:rPr>
                <w:sz w:val="15"/>
                <w:szCs w:val="15"/>
                <w:color w:val="auto"/>
              </w:rPr>
            </w:pPr>
          </w:p>
        </w:tc>
        <w:tc>
          <w:tcPr>
            <w:tcW w:w="17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exercise prices</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Outstanding</w:t>
            </w:r>
          </w:p>
        </w:tc>
        <w:tc>
          <w:tcPr>
            <w:tcW w:w="20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Contractual Life</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Price</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Exercisable</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6.48</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 $13.63</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1,069</w:t>
            </w:r>
          </w:p>
        </w:tc>
        <w:tc>
          <w:tcPr>
            <w:tcW w:w="20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5.89</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$11.58</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824</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$11.41</w:t>
            </w:r>
          </w:p>
        </w:tc>
      </w:tr>
      <w:tr>
        <w:trPr>
          <w:trHeight w:val="17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13.75</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 $19.00</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1,416</w:t>
            </w:r>
          </w:p>
        </w:tc>
        <w:tc>
          <w:tcPr>
            <w:tcW w:w="20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6.89</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$17.09</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858</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$16.57</w:t>
            </w:r>
          </w:p>
        </w:tc>
      </w:tr>
      <w:tr>
        <w:trPr>
          <w:trHeight w:val="17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19.50</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 $27.34</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976</w:t>
            </w:r>
          </w:p>
        </w:tc>
        <w:tc>
          <w:tcPr>
            <w:tcW w:w="20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9.84</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$27.07</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$24.12</w:t>
            </w:r>
          </w:p>
        </w:tc>
      </w:tr>
      <w:tr>
        <w:trPr>
          <w:trHeight w:val="17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27.38</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 $33.06</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945</w:t>
            </w:r>
          </w:p>
        </w:tc>
        <w:tc>
          <w:tcPr>
            <w:tcW w:w="20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8.99</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$30.99</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179</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$31.01</w:t>
            </w:r>
          </w:p>
        </w:tc>
      </w:tr>
      <w:tr>
        <w:trPr>
          <w:trHeight w:val="17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33.19</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 $49.13</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296</w:t>
            </w:r>
          </w:p>
        </w:tc>
        <w:tc>
          <w:tcPr>
            <w:tcW w:w="20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9.41</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$38.12</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61</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$38.80</w:t>
            </w:r>
          </w:p>
        </w:tc>
      </w:tr>
      <w:tr>
        <w:trPr>
          <w:trHeight w:val="173"/>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r>
      <w:tr>
        <w:trPr>
          <w:trHeight w:val="347"/>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6.48</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 $49.13</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4,702</w:t>
            </w:r>
          </w:p>
        </w:tc>
        <w:tc>
          <w:tcPr>
            <w:tcW w:w="20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7.85</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$22.03</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1,944</w:t>
            </w:r>
          </w:p>
        </w:tc>
        <w:tc>
          <w:tcPr>
            <w:tcW w:w="10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$16.50</w:t>
            </w:r>
          </w:p>
        </w:tc>
      </w:tr>
      <w:tr>
        <w:trPr>
          <w:trHeight w:val="173"/>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r>
    </w:tbl>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F-13</w:t>
      </w:r>
    </w:p>
    <w:p>
      <w:pPr>
        <w:sectPr>
          <w:pgSz w:w="11900" w:h="16838" w:orient="portrait"/>
          <w:cols w:equalWidth="0" w:num="1">
            <w:col w:w="10219"/>
          </w:cols>
          <w:pgMar w:left="240" w:top="985"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Under the Company's Employee Stock Purchase Plan, substantially all permanent employees may, through payroll withholdings, purchase shares of the Company's Common Stock at a price of 85% of the lesser of fair market value at the beginning or end of each six-month withholding period. During 1997, 26,213 shares were issued at an average price of $28.00 per share. During 1996, 32,296 shares of Common Stock at an average price of $19.21 per share were issued to employees under the plan. During 1995, 42,445 shares of Common Stock at a price of $11.26 per share were issued to employees under the plan. Had the Company adopted SFAS 123, the weighted average fair value of each purchase right granted during 1997, 1996 and 1995 would have been $9.16, $5.76 and $3.25, respectively. The fair value was estimated at the beginning of the withholding period using the Black-Scholes option-pricing model with the following weighted average assumptions: (1) expected life of one half year for all years (2) expected volatility of 51%, 41% and 35% for 1997, 1996 and 1995 respectively (3) risk-free interest rate of 5.43% for 1997, 5.50% for 1996 and 1995 and (4) no dividend yield.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Disclosures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Had compensation cost for the Company's 1997, 1996 and 1995 grants for stock-based compensation plans been determined consistent with SFAS 123, the Company's net loss and net loss per share for 1997, 1996 and 1995 would approximate the pro forma amounts below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3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347"/>
        </w:trPr>
        <w:tc>
          <w:tcPr>
            <w:tcW w:w="30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rPr>
              <w:t>As reported</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$(19,831)</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$(40,005)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$(21,528)</w:t>
            </w:r>
          </w:p>
        </w:tc>
      </w:tr>
      <w:tr>
        <w:trPr>
          <w:trHeight w:val="173"/>
        </w:trPr>
        <w:tc>
          <w:tcPr>
            <w:tcW w:w="3020" w:type="dxa"/>
            <w:vAlign w:val="bottom"/>
          </w:tcPr>
          <w:p>
            <w:pPr>
              <w:spacing w:after="0"/>
              <w:rPr>
                <w:sz w:val="15"/>
                <w:szCs w:val="15"/>
                <w:color w:val="auto"/>
              </w:rPr>
            </w:pP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rPr>
              <w:t>Pro forma</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$(25,154)</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$(42,025)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$(21,750)</w:t>
            </w:r>
          </w:p>
        </w:tc>
      </w:tr>
      <w:tr>
        <w:trPr>
          <w:trHeight w:val="347"/>
        </w:trPr>
        <w:tc>
          <w:tcPr>
            <w:tcW w:w="3020" w:type="dxa"/>
            <w:vAlign w:val="bottom"/>
          </w:tcPr>
          <w:p>
            <w:pPr>
              <w:spacing w:after="0"/>
              <w:rPr>
                <w:sz w:val="20"/>
                <w:szCs w:val="20"/>
                <w:color w:val="auto"/>
              </w:rPr>
            </w:pPr>
            <w:r>
              <w:rPr>
                <w:rFonts w:ascii="Courier New" w:cs="Courier New" w:eastAsia="Courier New" w:hAnsi="Courier New"/>
                <w:sz w:val="15"/>
                <w:szCs w:val="15"/>
                <w:color w:val="auto"/>
              </w:rPr>
              <w:t>Basic and diluted loss per share</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rPr>
              <w:t>As reported</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(0.82)</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3"/>
        </w:trPr>
        <w:tc>
          <w:tcPr>
            <w:tcW w:w="3020" w:type="dxa"/>
            <w:vAlign w:val="bottom"/>
          </w:tcPr>
          <w:p>
            <w:pPr>
              <w:spacing w:after="0"/>
              <w:rPr>
                <w:sz w:val="15"/>
                <w:szCs w:val="15"/>
                <w:color w:val="auto"/>
              </w:rPr>
            </w:pP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rPr>
              <w:t>Pro forma</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(1.04)</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bl>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effects of applying SFAS 123 in this pro forma disclosure are not indicative of future amounts since SFAS 123 does not apply to awards prior to 1995 and additional awards in future years are anticipated.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1995, all remaining warrants, originally issued in connection with equipment lease financing transactions, were exercised in non-cash, net exercise transactions to acquire an aggregate of 16,801 shares of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Each holder of a share of outstanding Common Stock also holds one share purchase right (a "Right") for each share of Common Stock. Each Right entitles the holder to purchase from the Company one one-hundredth of a share of Series A junior participating preferred stock, $.01 par value (the "Junior Preferred Shares"), of the Company at a price of $270 per one one-hundredth of a Junior Preferred Share (the "Purchase Price"). The Rights are not exercisable until the earlier of acquisition by a person or group of 15% or more of the outstanding Common Stock (an "Acquiring Person") or the announcement of an intention to make or commencement of a tender offer or exchange offer the consummation of which would result in the beneficial ownership by a person or group of 15% or more of the outstanding Common Stock. In the event that any person or group becomes an Acquiring Person, each holder of a Right other than the Acquiring Person will thereafter have the right to receive upon exercise that number of shares of Common Stock</w:t>
      </w:r>
    </w:p>
    <w:p>
      <w:pPr>
        <w:spacing w:after="0" w:line="18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F-14</w:t>
      </w:r>
    </w:p>
    <w:p>
      <w:pPr>
        <w:sectPr>
          <w:pgSz w:w="11900" w:h="16838" w:orient="portrait"/>
          <w:cols w:equalWidth="0" w:num="1">
            <w:col w:w="10219"/>
          </w:cols>
          <w:pgMar w:left="240" w:top="811" w:right="1440" w:bottom="1440" w:gutter="0" w:footer="0" w:header="0"/>
        </w:sectPr>
      </w:pPr>
    </w:p>
    <w:bookmarkStart w:id="57" w:name="page58"/>
    <w:bookmarkEnd w:id="57"/>
    <w:p>
      <w:pPr>
        <w:ind w:left="8" w:right="3019"/>
        <w:spacing w:after="0" w:line="244" w:lineRule="auto"/>
        <w:rPr>
          <w:sz w:val="20"/>
          <w:szCs w:val="20"/>
          <w:color w:val="auto"/>
        </w:rPr>
      </w:pPr>
      <w:r>
        <w:rPr>
          <w:rFonts w:ascii="Courier New" w:cs="Courier New" w:eastAsia="Courier New" w:hAnsi="Courier New"/>
          <w:sz w:val="15"/>
          <w:szCs w:val="15"/>
          <w:color w:val="auto"/>
        </w:rPr>
        <w:t>having a market value of two times the Purchase Price and, in the event that the Company is acquired in a business combination transaction or 50% or more of its assets are sold, each holder of a Right will thereafter have the right to receive upon exercise that number of shares of Common Stock of the acquiring company which at the time of the transaction will have a market value of two times the Purchase Price. Under certain specified circumstances, the Board of Directors of the Company may cause the Rights (other than Rights owned by such person or group) to be exchanged, in whole or in part, for Common Stock or Junior Preferred Shares, at an exchange rate of one share of Common Stock per Right or one one-hundredth of a Junior Preferred Share per Right. At any time prior to the acquisition by a person or group of beneficial ownership of 15% or more of the outstanding Common Stock, the Board of Directors of the Company may redeem the Rights in whole at a price of $.01 per Right.</w:t>
      </w:r>
    </w:p>
    <w:p>
      <w:pPr>
        <w:spacing w:after="0" w:line="181" w:lineRule="exact"/>
        <w:rPr>
          <w:sz w:val="20"/>
          <w:szCs w:val="20"/>
          <w:color w:val="auto"/>
        </w:rPr>
      </w:pPr>
    </w:p>
    <w:p>
      <w:pPr>
        <w:ind w:left="368" w:hanging="368"/>
        <w:spacing w:after="0"/>
        <w:tabs>
          <w:tab w:leader="none" w:pos="3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Collaborative Research and Development Agreements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and Kissei Pharmaceutical Co., Ltd. ("Kissei") are collaborating to design inhibitors of p38 MAP kinase and to develop them as novel, orally active drugs for the treatment of inflammatory and neurological diseases. Under the terms of the agreement, Kissei will pay the Company up to $22 million composed of a $4 million license payment, $11 million of product research funding over three years and $7 million of development and commercialization milestone payments. From the inception of the agreement in September 1997 through December 31, 1997, $5,500,000, including a $4,000,000 license payment in September 1997, has been recognized as revenue. The Company and Kissei will collaborate to identify and evaluate compounds that target p38 MAP kinase. Kissei will have the right to develop and commercialize these compounds in its licensed territories. Kissei has exclusive rights to p38 MAP kinase compounds in Japan and certain Southeast Asian countries and semi-exclusive rights in China, Taiwan and South Korea. The Company retains exclusive marketing rights in the United States, Canada, Europe, and the rest of the world. In addition, the Company will have the right to supply bulk drug material to Kissei for sale in its territory, and will receive royalties and drug supply payments on future product sales, if any. Kissei has the right to terminate the agreement without cause upon six months' notice after June 1998. Revenues earned from Kissei under the MAP kinase agreement were $5,500,000 in 1997.</w:t>
      </w:r>
    </w:p>
    <w:p>
      <w:pPr>
        <w:spacing w:after="0" w:line="18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The Company and Lilly are collaborating on designing inhibitors of the hepatitis</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 protease enzyme and to develop them as novel drugs to treat hepatitis 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infection. Under the terms of the agreement, Lilly will pay the Company up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$51 million composed of a $3 million up-front payment paid in June 1997, $33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million of product research funding over six years and $15 million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development and commercialization milestone payments. From the inception of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agreement in June 1997 through December 31, 1997, $5,694,000, including 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$3,000,000 up-front payment, has been recognized as revenue. The Company and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Lilly will jointly manage the research, development, manufacturing and marketing</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drug candidates emerging from the collaboration. The Company will have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primary responsibility for drug design, process development and pre-commercial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drug substance manufacturing, and Lilly will have primary responsibility for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formulation, preclinical and clinical development and global marketing.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has the option to supply 100 percent of Lilly's commercial drug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substance supply needs. The Company will receive royalties on future product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 if any. If the Company exercises its commercial supply option,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will receive drug supply payments in addition to royalties on future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product sales, if any. Lilly has the right to terminate the agreement without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cause upon six months' notice after June 1999. In connection with this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collaboration, Lilly purchased 263,922 shares of the Company's common stock for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$10,000,000. Revenues earned from Lilly were $5,694,000 in 1997.</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and BioChem Therapeutic Inc. ("BioChem") are collaborating on the development and commercialization in Canada of Incel(TM) (VX-710), Vertex's lead multidrug resistance reversal agent. Under the development agreement, BioChem is obligated to pay Vertex up to $4,000,000</w:t>
      </w:r>
    </w:p>
    <w:p>
      <w:pPr>
        <w:spacing w:after="0" w:line="175"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Page F-15</w:t>
      </w:r>
    </w:p>
    <w:p>
      <w:pPr>
        <w:sectPr>
          <w:pgSz w:w="11900" w:h="16838" w:orient="portrait"/>
          <w:cols w:equalWidth="0" w:num="1">
            <w:col w:w="10227"/>
          </w:cols>
          <w:pgMar w:left="232" w:top="812" w:right="1440" w:bottom="1440" w:gutter="0" w:footer="0" w:header="0"/>
        </w:sectPr>
      </w:pPr>
    </w:p>
    <w:bookmarkStart w:id="58" w:name="page59"/>
    <w:bookmarkEnd w:id="58"/>
    <w:p>
      <w:pPr>
        <w:ind w:right="3279"/>
        <w:spacing w:after="0" w:line="244" w:lineRule="auto"/>
        <w:rPr>
          <w:sz w:val="20"/>
          <w:szCs w:val="20"/>
          <w:color w:val="auto"/>
        </w:rPr>
      </w:pPr>
      <w:r>
        <w:rPr>
          <w:rFonts w:ascii="Courier New" w:cs="Courier New" w:eastAsia="Courier New" w:hAnsi="Courier New"/>
          <w:sz w:val="15"/>
          <w:szCs w:val="15"/>
          <w:color w:val="auto"/>
        </w:rPr>
        <w:t>comprised of an initial licensing fee of $500,000 and development and commercialization milestones payments. From the inception of the agreement in May 1996 through the year ended December 31, 1997, $750,000 has been recognized as license and research revenue. BioChem will fund development of Incel in Canada, including Phase II clinical trials in two different cancer indications currently underway. Vertex will supply BioChem's clinical and commercial drug supply needs. In 1996, the Company also received additional revenues related to the sale of clinical trial material to BioChem. BioChem will pay Vertex a portion of its net sales, which will cover Vertex's cost of supplying material and will provide a profit to Vertex. BioChem has the right to terminate the agreement without cause upon six months' notice. Termination will relieve BioChem of any further payment obligations and will end any license granted to BioChem by Vertex under the agreement. Revenues earned from BioChem were $251,000 and $577,000 in 1997 and 1996, respectively.</w:t>
      </w:r>
    </w:p>
    <w:p>
      <w:pPr>
        <w:spacing w:after="0" w:line="182"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In October 1995, the Company and Alpha Therapeutic Corporation ("Alpha") entered into an agreement to collaborate on the development and commercialization of VX-366 for the treatment of sickle cell disease and beta thalassemia. From the inception of the agreement in October 1995 through August, 1997, $500,000 has been recognized as revenue. During 1997 and 1996 the Company received additional revenues related to the sale of clinical trial material to Alpha. Revenues earned from Alpha were $13,000, $225,000 and $500,000 in 1997, 1996 and 1995, respectively. In August 1997, the Company and Alpha terminated this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Glaxo Wellcome plc ("Glaxo Wellcome") are collaborating 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of compounds in connection with the Company's HIV Program. Under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collaborative agreement, Glaxo Wellcome agreed to pay the Company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$42,000,000 comprised of a $15,000,000 initial license payment paid in 1993,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$14,000,000 of product research funding over five years and $13,000,000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and commercialization milestone payments. From the inception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in December 1993 through the year ended December 31, 1997, $28,000,000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been recognized as revenue. Glaxo Wellcome is also obligated to pay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additional development and commercialization milestone payments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subsequent drug candidates. In addition, Glaxo Wellcome agreed to bear all costs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development in its territory of drug candidates under the collaboration.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and 1995, the Company received additional revenue related to reimbursements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clinical development. Under the agreement, Glaxo Wellcome is also required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pay Vertex a royalty on sales. Glaxo Wellcome has the right to terminate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collaboration without cause upon twelve months' notice given at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and has the right to terminate the license arrangements without cause upon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twelve months' notice given at any time provided such notice is not given before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research collaboration has been terminated. Termination by Glaxo Wellcome of</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research collaboration will relieve Glaxo Wellcome of its obligation to make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research support payments under the agreement. Termination by Glaxo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Wellcome of the license arrangements under the agreement will relieve it of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 to make further commercialization and development milestone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royalty payments and will end any license granted to Glaxo Wellcome by Vertex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thereunder. Revenues earned from Glaxo Wellcome were $3,275,000, $6,289,000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$10,053,000 for 1997, 1996 and 1995. In June 1996, the Company and Glaxo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Wellcome obtained a worldwide, non-exclusive license under certain G.D. Searle &amp;</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("Searle") patent applications in the area of HIV protease inhibition.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Vertex paid $15,000,000 and Glaxo Wellcome paid $10,000,000 to Searle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The Company also agreed to pay Searle a royalty on sales of amprenavir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(VX-478), the Company's lead HIV compound.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and Hoechst Marion Roussel ("HMR") are collaborating on the development of the interleukin-1 beta converting enzyme inhibitors, VX-740 as an anti-inflammatory agent. Under the collaborative agreement, HMR is obligated to pay the Company up to $30,500,000, comprised of $18,500,000 of product research funding over five years and $12,000,000 of development and commercialization milestone payments. From the inception of the agreement in September 1993 through the year ended December 31, 1997, $21,500,000, including a $3,000,000 milestone</w:t>
      </w:r>
    </w:p>
    <w:p>
      <w:pPr>
        <w:spacing w:after="0" w:line="17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F-16</w:t>
      </w:r>
    </w:p>
    <w:p>
      <w:pPr>
        <w:sectPr>
          <w:pgSz w:w="11900" w:h="16838" w:orient="portrait"/>
          <w:cols w:equalWidth="0" w:num="1">
            <w:col w:w="10219"/>
          </w:cols>
          <w:pgMar w:left="240" w:top="812" w:right="1440" w:bottom="1440" w:gutter="0" w:footer="0" w:header="0"/>
        </w:sectPr>
      </w:pPr>
    </w:p>
    <w:bookmarkStart w:id="59" w:name="page60"/>
    <w:bookmarkEnd w:id="59"/>
    <w:p>
      <w:pPr>
        <w:ind w:left="8" w:right="3019"/>
        <w:spacing w:after="0" w:line="244" w:lineRule="auto"/>
        <w:rPr>
          <w:sz w:val="20"/>
          <w:szCs w:val="20"/>
          <w:color w:val="auto"/>
        </w:rPr>
      </w:pPr>
      <w:r>
        <w:rPr>
          <w:rFonts w:ascii="Courier New" w:cs="Courier New" w:eastAsia="Courier New" w:hAnsi="Courier New"/>
          <w:sz w:val="15"/>
          <w:szCs w:val="15"/>
          <w:color w:val="auto"/>
        </w:rPr>
        <w:t>payment in December 1997 on the commencement of formal preclinical development, has been recognized as revenue. The Company received additional revenue related to reimbursements for clinical development in 1997. HMR has the right to terminate the agreement without cause upon twelve months' notice at any time. For a period of one year after any such termination, HMR retains the right to select one or more compounds for development and to license such compound or compounds from Vertex, provided HMR resumes all research funding and commercialization milestone payments and makes all such payments that would otherwise have been due but for such termination. Otherwise, in the case of such termination, all rights to compounds developed under the research and license agreements will revert to Vertex. The Company also received additional revenue related to reimbursement for patent filings in HMR's territories. Revenues earned under the HMR agreement were $8,660,000, $4,196,000 and $3,749,000 in 1997, 1996 and 1995, respectively. Product research funding under this agreement ended on December 31, 1997.</w:t>
      </w:r>
    </w:p>
    <w:p>
      <w:pPr>
        <w:spacing w:after="0" w:line="18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 and Kissei are collaborating on the research and development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compounds in connection with the Company's HIV Program. Under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collaborative agreement, Kissei is obligated to pay the Company up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$20,000,000, comprised of $9,800,000 of product research funding through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1995, $7,000,000 of development milestone and territory option payments and 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$3,200,000 equity investment. From the inception of the agreement in April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1993 through the year ended December 31, 1997, $14,642,000 has been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recognized as revenue. The Company received additional revenue related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reimbursements for clinical development in 1997, 1996 and 1995. During 1997,</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 also received $4,000,000 related to reimbursements of certain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development costs. Under the collaboration, Kissei is also required to pay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Vertex a royalty on sales. Revenues earned under this Kissei agreement were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$4,310,000, $692,000 and $5,370,000 in 1997, 1996 and 1995, respectively.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Product research funding under this agreement ended at December 31, 1995.</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 Company and Chugai Pharmaceutical Co., Ltd. ("Chugai") entered into a collaborative agreement for research and development of immunosuppressive compounds in conjunction with Vertex's Autoimmune Diseases Program. Research funding under this agreement ended in the first half of 1995 and the research collaboration ended in October of 1995. Revenues earned under the Chugai Agreement were $34,000 and $1,915,000 in 1996 and 1995, respectively.</w:t>
      </w:r>
    </w:p>
    <w:p>
      <w:pPr>
        <w:spacing w:after="0" w:line="350" w:lineRule="exact"/>
        <w:rPr>
          <w:sz w:val="20"/>
          <w:szCs w:val="20"/>
          <w:color w:val="auto"/>
        </w:rPr>
      </w:pPr>
    </w:p>
    <w:p>
      <w:pPr>
        <w:ind w:left="368" w:hanging="368"/>
        <w:spacing w:after="0"/>
        <w:tabs>
          <w:tab w:leader="none" w:pos="36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78" w:lineRule="exact"/>
        <w:rPr>
          <w:sz w:val="20"/>
          <w:szCs w:val="20"/>
          <w:color w:val="auto"/>
        </w:rPr>
      </w:pPr>
    </w:p>
    <w:p>
      <w:pPr>
        <w:ind w:left="8" w:right="3019"/>
        <w:spacing w:after="0" w:line="263" w:lineRule="auto"/>
        <w:rPr>
          <w:sz w:val="20"/>
          <w:szCs w:val="20"/>
          <w:color w:val="auto"/>
        </w:rPr>
      </w:pPr>
      <w:r>
        <w:rPr>
          <w:rFonts w:ascii="Courier New" w:cs="Courier New" w:eastAsia="Courier New" w:hAnsi="Courier New"/>
          <w:sz w:val="14"/>
          <w:szCs w:val="14"/>
          <w:color w:val="auto"/>
        </w:rPr>
        <w:t>The Company has a 401(k) retirement plan in which substantially all of its permanent employees are eligible to participate. Participants may contribute up to 15% of their annual compensation to the plan, subject to statutory limitations. For 1997, the Company declared discretionary matching contributions to the plan in the aggregate amount of $482,000, payable in the form of shares of the Company's Common Stock. Of these shares, 6,458 were issued as of December 31, 1997 with the remaining 7,113 issuable in 1998. For 1996, the Company declared discretionary matching contributions to the plan in the aggregate amount of $426,000, payable in the form of shares of the Company's Common Stock. Of these shares, 7,013 were issued as of December 31, 1996 with the remaining 5,278 issued in 1997. For 1995, the Company declared discretionary matching contributions to the plan in the aggregate amount of $354,000, payable in the form of 17,469 shares of the Company's Common Stock, issued in 1996.</w:t>
      </w:r>
    </w:p>
    <w:p>
      <w:pPr>
        <w:spacing w:after="0" w:line="34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 Related Party</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 sibling of the Company's President is a partner in the law firm representing the Company to which $394,000, $472,000 and $255,000 in legal fees were paid in 1997, 1996 and 1995, respectively.</w:t>
      </w:r>
    </w:p>
    <w:p>
      <w:pPr>
        <w:spacing w:after="0" w:line="175"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Page F-17</w:t>
      </w:r>
    </w:p>
    <w:p>
      <w:pPr>
        <w:sectPr>
          <w:pgSz w:w="11900" w:h="16838" w:orient="portrait"/>
          <w:cols w:equalWidth="0" w:num="1">
            <w:col w:w="10227"/>
          </w:cols>
          <w:pgMar w:left="232" w:top="638" w:right="1440" w:bottom="1440" w:gutter="0" w:footer="0" w:header="0"/>
        </w:sectPr>
      </w:pPr>
    </w:p>
    <w:bookmarkStart w:id="60" w:name="page61"/>
    <w:bookmarkEnd w:id="60"/>
    <w:p>
      <w:pPr>
        <w:ind w:left="1268"/>
        <w:spacing w:after="0"/>
        <w:rPr>
          <w:sz w:val="20"/>
          <w:szCs w:val="20"/>
          <w:color w:val="auto"/>
        </w:rPr>
      </w:pPr>
      <w:r>
        <w:rPr>
          <w:rFonts w:ascii="Courier New" w:cs="Courier New" w:eastAsia="Courier New" w:hAnsi="Courier New"/>
          <w:sz w:val="15"/>
          <w:szCs w:val="15"/>
          <w:color w:val="auto"/>
        </w:rPr>
        <w:t>Exhibits Filed With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Exhibit</w:t>
            </w:r>
          </w:p>
        </w:tc>
        <w:tc>
          <w:tcPr>
            <w:tcW w:w="1760" w:type="dxa"/>
            <w:vAlign w:val="bottom"/>
          </w:tcPr>
          <w:p>
            <w:pPr>
              <w:spacing w:after="0"/>
              <w:rPr>
                <w:sz w:val="14"/>
                <w:szCs w:val="14"/>
                <w:color w:val="auto"/>
              </w:rPr>
            </w:pPr>
          </w:p>
        </w:tc>
        <w:tc>
          <w:tcPr>
            <w:tcW w:w="7520" w:type="dxa"/>
            <w:vAlign w:val="bottom"/>
          </w:tcPr>
          <w:p>
            <w:pPr>
              <w:ind w:left="2660"/>
              <w:spacing w:after="0"/>
              <w:rPr>
                <w:sz w:val="20"/>
                <w:szCs w:val="20"/>
                <w:color w:val="auto"/>
              </w:rPr>
            </w:pPr>
            <w:r>
              <w:rPr>
                <w:rFonts w:ascii="Courier New" w:cs="Courier New" w:eastAsia="Courier New" w:hAnsi="Courier New"/>
                <w:sz w:val="15"/>
                <w:szCs w:val="15"/>
                <w:color w:val="auto"/>
              </w:rPr>
              <w:t>Exhibit</w:t>
            </w:r>
          </w:p>
        </w:tc>
      </w:tr>
      <w:tr>
        <w:trPr>
          <w:trHeight w:val="173"/>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1760" w:type="dxa"/>
            <w:vAlign w:val="bottom"/>
          </w:tcPr>
          <w:p>
            <w:pPr>
              <w:spacing w:after="0"/>
              <w:rPr>
                <w:sz w:val="15"/>
                <w:szCs w:val="15"/>
                <w:color w:val="auto"/>
              </w:rPr>
            </w:pPr>
          </w:p>
        </w:tc>
        <w:tc>
          <w:tcPr>
            <w:tcW w:w="7520" w:type="dxa"/>
            <w:vAlign w:val="bottom"/>
          </w:tcPr>
          <w:p>
            <w:pPr>
              <w:ind w:left="248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752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r>
      <w:tr>
        <w:trPr>
          <w:trHeight w:val="347"/>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9280" w:type="dxa"/>
            <w:vAlign w:val="bottom"/>
            <w:gridSpan w:val="2"/>
          </w:tcPr>
          <w:p>
            <w:pPr>
              <w:spacing w:after="0"/>
              <w:rPr>
                <w:sz w:val="20"/>
                <w:szCs w:val="20"/>
                <w:color w:val="auto"/>
              </w:rPr>
            </w:pPr>
            <w:r>
              <w:rPr>
                <w:rFonts w:ascii="Courier New" w:cs="Courier New" w:eastAsia="Courier New" w:hAnsi="Courier New"/>
                <w:sz w:val="15"/>
                <w:szCs w:val="15"/>
                <w:color w:val="auto"/>
              </w:rPr>
              <w:t>Restated Articles of Organization filed with the Commonwealth of Massachusetts on July 31, 1991.</w:t>
            </w:r>
          </w:p>
        </w:tc>
      </w:tr>
      <w:tr>
        <w:trPr>
          <w:trHeight w:val="347"/>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3.2</w:t>
            </w:r>
          </w:p>
        </w:tc>
        <w:tc>
          <w:tcPr>
            <w:tcW w:w="9280" w:type="dxa"/>
            <w:vAlign w:val="bottom"/>
            <w:gridSpan w:val="2"/>
          </w:tcPr>
          <w:p>
            <w:pPr>
              <w:spacing w:after="0"/>
              <w:rPr>
                <w:sz w:val="20"/>
                <w:szCs w:val="20"/>
                <w:color w:val="auto"/>
              </w:rPr>
            </w:pPr>
            <w:r>
              <w:rPr>
                <w:rFonts w:ascii="Courier New" w:cs="Courier New" w:eastAsia="Courier New" w:hAnsi="Courier New"/>
                <w:sz w:val="15"/>
                <w:szCs w:val="15"/>
                <w:color w:val="auto"/>
              </w:rPr>
              <w:t>Articles of Amendment Filed with the Commonwealth of Massachusetts on June 4, 1997.</w:t>
            </w:r>
          </w:p>
        </w:tc>
      </w:tr>
      <w:tr>
        <w:trPr>
          <w:trHeight w:val="347"/>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3.3</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Certificate of Vote</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w w:val="99"/>
              </w:rPr>
              <w:t>of Directors Establishing a Series of a Class of Stock, as filed with the Secretary</w:t>
            </w:r>
          </w:p>
        </w:tc>
      </w:tr>
      <w:tr>
        <w:trPr>
          <w:trHeight w:val="173"/>
        </w:trPr>
        <w:tc>
          <w:tcPr>
            <w:tcW w:w="108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of the Commonwealth</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of Massachusetts on July 31, 1991.</w:t>
            </w:r>
          </w:p>
        </w:tc>
      </w:tr>
      <w:tr>
        <w:trPr>
          <w:trHeight w:val="347"/>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10.4</w:t>
            </w:r>
          </w:p>
        </w:tc>
        <w:tc>
          <w:tcPr>
            <w:tcW w:w="9280" w:type="dxa"/>
            <w:vAlign w:val="bottom"/>
            <w:gridSpan w:val="2"/>
          </w:tcPr>
          <w:p>
            <w:pPr>
              <w:spacing w:after="0"/>
              <w:rPr>
                <w:sz w:val="20"/>
                <w:szCs w:val="20"/>
                <w:color w:val="auto"/>
              </w:rPr>
            </w:pPr>
            <w:r>
              <w:rPr>
                <w:rFonts w:ascii="Courier New" w:cs="Courier New" w:eastAsia="Courier New" w:hAnsi="Courier New"/>
                <w:sz w:val="15"/>
                <w:szCs w:val="15"/>
                <w:color w:val="auto"/>
              </w:rPr>
              <w:t>Amendment to 1996 Stock and Option Plan adopted December 12, 1997.*</w:t>
            </w:r>
          </w:p>
        </w:tc>
      </w:tr>
      <w:tr>
        <w:trPr>
          <w:trHeight w:val="347"/>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10.17</w:t>
            </w:r>
          </w:p>
        </w:tc>
        <w:tc>
          <w:tcPr>
            <w:tcW w:w="9280" w:type="dxa"/>
            <w:vAlign w:val="bottom"/>
            <w:gridSpan w:val="2"/>
          </w:tcPr>
          <w:p>
            <w:pPr>
              <w:spacing w:after="0"/>
              <w:rPr>
                <w:sz w:val="20"/>
                <w:szCs w:val="20"/>
                <w:color w:val="auto"/>
              </w:rPr>
            </w:pPr>
            <w:r>
              <w:rPr>
                <w:rFonts w:ascii="Courier New" w:cs="Courier New" w:eastAsia="Courier New" w:hAnsi="Courier New"/>
                <w:sz w:val="15"/>
                <w:szCs w:val="15"/>
                <w:color w:val="auto"/>
              </w:rPr>
              <w:t>Second Amendment, dated 1 February 1998, to Lease between Fort Washington Realty Trust and the Company</w:t>
            </w:r>
          </w:p>
        </w:tc>
      </w:tr>
      <w:tr>
        <w:trPr>
          <w:trHeight w:val="173"/>
        </w:trPr>
        <w:tc>
          <w:tcPr>
            <w:tcW w:w="108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dated March 1 1993.</w:t>
            </w:r>
          </w:p>
        </w:tc>
        <w:tc>
          <w:tcPr>
            <w:tcW w:w="7520" w:type="dxa"/>
            <w:vAlign w:val="bottom"/>
          </w:tcPr>
          <w:p>
            <w:pPr>
              <w:spacing w:after="0"/>
              <w:rPr>
                <w:sz w:val="15"/>
                <w:szCs w:val="15"/>
                <w:color w:val="auto"/>
              </w:rPr>
            </w:pPr>
          </w:p>
        </w:tc>
      </w:tr>
      <w:tr>
        <w:trPr>
          <w:trHeight w:val="347"/>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10.20</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Second Amendment to</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w w:val="99"/>
              </w:rPr>
              <w:t>Lease and Option Agreement dated June 12, 1997 between Fort Washington Realty Trust</w:t>
            </w:r>
          </w:p>
        </w:tc>
      </w:tr>
      <w:tr>
        <w:trPr>
          <w:trHeight w:val="173"/>
        </w:trPr>
        <w:tc>
          <w:tcPr>
            <w:tcW w:w="108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and the Company.</w:t>
            </w:r>
          </w:p>
        </w:tc>
        <w:tc>
          <w:tcPr>
            <w:tcW w:w="7520" w:type="dxa"/>
            <w:vAlign w:val="bottom"/>
          </w:tcPr>
          <w:p>
            <w:pPr>
              <w:spacing w:after="0"/>
              <w:rPr>
                <w:sz w:val="15"/>
                <w:szCs w:val="15"/>
                <w:color w:val="auto"/>
              </w:rPr>
            </w:pPr>
          </w:p>
        </w:tc>
      </w:tr>
      <w:tr>
        <w:trPr>
          <w:trHeight w:val="347"/>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21</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Subsidiaries of the</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Company.</w:t>
            </w:r>
          </w:p>
        </w:tc>
      </w:tr>
      <w:tr>
        <w:trPr>
          <w:trHeight w:val="347"/>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23</w:t>
            </w:r>
          </w:p>
        </w:tc>
        <w:tc>
          <w:tcPr>
            <w:tcW w:w="9280" w:type="dxa"/>
            <w:vAlign w:val="bottom"/>
            <w:gridSpan w:val="2"/>
          </w:tcPr>
          <w:p>
            <w:pPr>
              <w:spacing w:after="0"/>
              <w:rPr>
                <w:sz w:val="20"/>
                <w:szCs w:val="20"/>
                <w:color w:val="auto"/>
              </w:rPr>
            </w:pPr>
            <w:r>
              <w:rPr>
                <w:rFonts w:ascii="Courier New" w:cs="Courier New" w:eastAsia="Courier New" w:hAnsi="Courier New"/>
                <w:sz w:val="15"/>
                <w:szCs w:val="15"/>
                <w:color w:val="auto"/>
              </w:rPr>
              <w:t>Consent of Independent Accountants.</w:t>
            </w:r>
          </w:p>
        </w:tc>
      </w:tr>
    </w:tbl>
    <w:p>
      <w:pPr>
        <w:spacing w:after="0" w:line="178" w:lineRule="exact"/>
        <w:rPr>
          <w:sz w:val="20"/>
          <w:szCs w:val="20"/>
          <w:color w:val="auto"/>
        </w:rPr>
      </w:pPr>
    </w:p>
    <w:p>
      <w:pPr>
        <w:ind w:left="1088" w:right="180" w:hanging="907"/>
        <w:spacing w:after="0" w:line="243" w:lineRule="auto"/>
        <w:tabs>
          <w:tab w:leader="none" w:pos="1088"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(submitted as an exhibit only in the electronic format of this format of this Annual Report on Form 10-K submitted to the Securities and Exchange Commission.</w:t>
      </w:r>
    </w:p>
    <w:p>
      <w:pPr>
        <w:spacing w:after="0" w:line="348"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Compensatory plan or agreement applicable to management and employees.</w:t>
      </w:r>
    </w:p>
    <w:p>
      <w:pPr>
        <w:sectPr>
          <w:pgSz w:w="11900" w:h="16838" w:orient="portrait"/>
          <w:cols w:equalWidth="0" w:num="1">
            <w:col w:w="10368"/>
          </w:cols>
          <w:pgMar w:left="232" w:top="811" w:right="1299" w:bottom="1440" w:gutter="0" w:footer="0" w:header="0"/>
        </w:sectPr>
      </w:pPr>
    </w:p>
    <w:bookmarkStart w:id="61" w:name="page62"/>
    <w:bookmarkEnd w:id="61"/>
    <w:p>
      <w:pPr>
        <w:ind w:left="5580"/>
        <w:spacing w:after="0"/>
        <w:rPr>
          <w:sz w:val="20"/>
          <w:szCs w:val="20"/>
          <w:color w:val="auto"/>
        </w:rPr>
      </w:pPr>
      <w:r>
        <w:rPr>
          <w:rFonts w:ascii="Courier New" w:cs="Courier New" w:eastAsia="Courier New" w:hAnsi="Courier New"/>
          <w:sz w:val="15"/>
          <w:szCs w:val="15"/>
          <w:color w:val="auto"/>
        </w:rPr>
        <w:t>EXHIBIT 3.1</w:t>
      </w:r>
    </w:p>
    <w:p>
      <w:pPr>
        <w:spacing w:after="0" w:line="350"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FEDERAL IDENTIFICATION</w:t>
      </w:r>
    </w:p>
    <w:p>
      <w:pPr>
        <w:spacing w:after="0" w:line="3"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NO 04-3039129</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The Commonwealth of Massachusetts</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MICHAEL JOSEPH CONNOLLY</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Secretary of State</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ONE ASHBURTON PLACE, BOSTON, MASS: 02108</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RESTATED ARTICLES OF ORGANIZATION</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General Laws, Chapter 156B, Section 74</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This certificate must be submitted to the Secretary of the Commonwealth within sixty days after the date of the vote of stockholders adopting the restated articles of organization. The fee for filing this certificate is prescribed by General Laws, Chapter 156B Section 114. Make check payable to the Commonwealth of Massachusetts.</w:t>
      </w:r>
    </w:p>
    <w:p>
      <w:pPr>
        <w:spacing w:after="0" w:line="176" w:lineRule="exact"/>
        <w:rPr>
          <w:sz w:val="20"/>
          <w:szCs w:val="20"/>
          <w:color w:val="auto"/>
        </w:rPr>
      </w:pPr>
    </w:p>
    <w:p>
      <w:pPr>
        <w:spacing w:after="0"/>
        <w:tabs>
          <w:tab w:leader="none" w:pos="880" w:val="left"/>
          <w:tab w:leader="none" w:pos="3120" w:val="left"/>
        </w:tabs>
        <w:rPr>
          <w:sz w:val="20"/>
          <w:szCs w:val="20"/>
          <w:color w:val="auto"/>
        </w:rPr>
      </w:pPr>
      <w:r>
        <w:rPr>
          <w:rFonts w:ascii="Courier New" w:cs="Courier New" w:eastAsia="Courier New" w:hAnsi="Courier New"/>
          <w:sz w:val="15"/>
          <w:szCs w:val="15"/>
          <w:color w:val="auto"/>
        </w:rPr>
        <w:t>We,</w:t>
      </w:r>
      <w:r>
        <w:rPr>
          <w:sz w:val="20"/>
          <w:szCs w:val="20"/>
          <w:color w:val="auto"/>
        </w:rPr>
        <w:tab/>
      </w:r>
      <w:r>
        <w:rPr>
          <w:rFonts w:ascii="Courier New" w:cs="Courier New" w:eastAsia="Courier New" w:hAnsi="Courier New"/>
          <w:sz w:val="15"/>
          <w:szCs w:val="15"/>
          <w:color w:val="auto"/>
        </w:rPr>
        <w:t>Joshua Boger</w:t>
      </w:r>
      <w:r>
        <w:rPr>
          <w:sz w:val="20"/>
          <w:szCs w:val="20"/>
          <w:color w:val="auto"/>
        </w:rPr>
        <w:tab/>
      </w:r>
      <w:r>
        <w:rPr>
          <w:rFonts w:ascii="Courier New" w:cs="Courier New" w:eastAsia="Courier New" w:hAnsi="Courier New"/>
          <w:sz w:val="15"/>
          <w:szCs w:val="15"/>
          <w:color w:val="auto"/>
        </w:rPr>
        <w:t>, President</w:t>
      </w:r>
    </w:p>
    <w:p>
      <w:pPr>
        <w:spacing w:after="0" w:line="3" w:lineRule="exact"/>
        <w:rPr>
          <w:sz w:val="20"/>
          <w:szCs w:val="20"/>
          <w:color w:val="auto"/>
        </w:rPr>
      </w:pPr>
    </w:p>
    <w:p>
      <w:pPr>
        <w:ind w:left="440"/>
        <w:spacing w:after="0"/>
        <w:tabs>
          <w:tab w:leader="none" w:pos="3120" w:val="left"/>
          <w:tab w:leader="none" w:pos="3940" w:val="left"/>
        </w:tabs>
        <w:rPr>
          <w:sz w:val="20"/>
          <w:szCs w:val="20"/>
          <w:color w:val="auto"/>
        </w:rPr>
      </w:pPr>
      <w:r>
        <w:rPr>
          <w:rFonts w:ascii="Courier New" w:cs="Courier New" w:eastAsia="Courier New" w:hAnsi="Courier New"/>
          <w:sz w:val="15"/>
          <w:szCs w:val="15"/>
          <w:color w:val="auto"/>
        </w:rPr>
        <w:t>Richard H. Aldrich</w:t>
      </w:r>
      <w:r>
        <w:rPr>
          <w:sz w:val="20"/>
          <w:szCs w:val="20"/>
          <w:color w:val="auto"/>
        </w:rPr>
        <w:tab/>
      </w:r>
      <w:r>
        <w:rPr>
          <w:rFonts w:ascii="Courier New" w:cs="Courier New" w:eastAsia="Courier New" w:hAnsi="Courier New"/>
          <w:sz w:val="15"/>
          <w:szCs w:val="15"/>
          <w:color w:val="auto"/>
        </w:rPr>
        <w:t>, Clerk</w:t>
        <w:tab/>
        <w:t>of</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 of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located at 40 Allston Street, Cambridge, Massachusetts 02139 do hereby certify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following restatement of the articles of organization of the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gridSpan w:val="4"/>
          </w:tcPr>
          <w:p>
            <w:pPr>
              <w:spacing w:after="0"/>
              <w:rPr>
                <w:sz w:val="20"/>
                <w:szCs w:val="20"/>
                <w:color w:val="auto"/>
              </w:rPr>
            </w:pPr>
            <w:r>
              <w:rPr>
                <w:rFonts w:ascii="Courier New" w:cs="Courier New" w:eastAsia="Courier New" w:hAnsi="Courier New"/>
                <w:sz w:val="15"/>
                <w:szCs w:val="15"/>
                <w:color w:val="auto"/>
              </w:rPr>
              <w:t>corporation was duly adopted at a meeting held on</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May 24  , 1991, by vote of</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1,080,000</w:t>
            </w:r>
          </w:p>
        </w:tc>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shares of common</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 of 2,702,500</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shares outstanding,</w:t>
            </w:r>
          </w:p>
        </w:tc>
      </w:tr>
      <w:tr>
        <w:trPr>
          <w:trHeight w:val="173"/>
        </w:trPr>
        <w:tc>
          <w:tcPr>
            <w:tcW w:w="1080" w:type="dxa"/>
            <w:vAlign w:val="bottom"/>
          </w:tcPr>
          <w:p>
            <w:pPr>
              <w:spacing w:after="0"/>
              <w:rPr>
                <w:sz w:val="15"/>
                <w:szCs w:val="15"/>
                <w:color w:val="auto"/>
              </w:rPr>
            </w:pPr>
          </w:p>
        </w:tc>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(Class of Stock)</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5,051,955</w:t>
            </w:r>
          </w:p>
        </w:tc>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shares of Series A</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2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Convertible Preferred Stock</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out of</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5,279,227 shares</w:t>
            </w:r>
          </w:p>
        </w:tc>
      </w:tr>
      <w:tr>
        <w:trPr>
          <w:trHeight w:val="173"/>
        </w:trPr>
        <w:tc>
          <w:tcPr>
            <w:tcW w:w="1080" w:type="dxa"/>
            <w:vAlign w:val="bottom"/>
          </w:tcPr>
          <w:p>
            <w:pPr>
              <w:spacing w:after="0"/>
              <w:rPr>
                <w:sz w:val="15"/>
                <w:szCs w:val="15"/>
                <w:color w:val="auto"/>
              </w:rPr>
            </w:pPr>
          </w:p>
        </w:tc>
        <w:tc>
          <w:tcPr>
            <w:tcW w:w="28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outstanding, and</w:t>
            </w:r>
          </w:p>
        </w:tc>
        <w:tc>
          <w:tcPr>
            <w:tcW w:w="7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(Class of Stock)</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1,343,655</w:t>
            </w:r>
          </w:p>
        </w:tc>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shares of Series B</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2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Convertible Preferred Stock</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out of</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1,404,000 shares</w:t>
            </w:r>
          </w:p>
        </w:tc>
      </w:tr>
      <w:tr>
        <w:trPr>
          <w:trHeight w:val="173"/>
        </w:trPr>
        <w:tc>
          <w:tcPr>
            <w:tcW w:w="1080" w:type="dxa"/>
            <w:vAlign w:val="bottom"/>
          </w:tcPr>
          <w:p>
            <w:pPr>
              <w:spacing w:after="0"/>
              <w:rPr>
                <w:sz w:val="15"/>
                <w:szCs w:val="15"/>
                <w:color w:val="auto"/>
              </w:rPr>
            </w:pPr>
          </w:p>
        </w:tc>
        <w:tc>
          <w:tcPr>
            <w:tcW w:w="1980" w:type="dxa"/>
            <w:vAlign w:val="bottom"/>
          </w:tcPr>
          <w:p>
            <w:pPr>
              <w:ind w:left="720"/>
              <w:spacing w:after="0"/>
              <w:rPr>
                <w:sz w:val="20"/>
                <w:szCs w:val="20"/>
                <w:color w:val="auto"/>
              </w:rPr>
            </w:pPr>
            <w:r>
              <w:rPr>
                <w:rFonts w:ascii="Courier New" w:cs="Courier New" w:eastAsia="Courier New" w:hAnsi="Courier New"/>
                <w:sz w:val="15"/>
                <w:szCs w:val="15"/>
                <w:color w:val="auto"/>
              </w:rPr>
              <w:t>outstanding,</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3"/>
        </w:trPr>
        <w:tc>
          <w:tcPr>
            <w:tcW w:w="1080" w:type="dxa"/>
            <w:vAlign w:val="bottom"/>
          </w:tcPr>
          <w:p>
            <w:pPr>
              <w:spacing w:after="0"/>
              <w:rPr>
                <w:sz w:val="15"/>
                <w:szCs w:val="15"/>
                <w:color w:val="auto"/>
              </w:rPr>
            </w:pPr>
          </w:p>
        </w:tc>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(Class of Stock)</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80" w:type="dxa"/>
            <w:vAlign w:val="bottom"/>
          </w:tcPr>
          <w:p>
            <w:pPr>
              <w:spacing w:after="0"/>
              <w:rPr>
                <w:sz w:val="15"/>
                <w:szCs w:val="15"/>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being at least two-third of each class of stock outstanding and entitled to vote and of each class or series of stock adversely affected thereby:</w:t>
      </w:r>
    </w:p>
    <w:p>
      <w:pPr>
        <w:spacing w:after="0" w:line="176" w:lineRule="exact"/>
        <w:rPr>
          <w:sz w:val="20"/>
          <w:szCs w:val="20"/>
          <w:color w:val="auto"/>
        </w:rPr>
      </w:pPr>
    </w:p>
    <w:p>
      <w:pPr>
        <w:ind w:left="1340" w:right="4639" w:hanging="897"/>
        <w:spacing w:after="0" w:line="243" w:lineRule="auto"/>
        <w:tabs>
          <w:tab w:leader="none" w:pos="889"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by which the corporation shall be known is: Vertex Pharmaceuticals Incorporated</w:t>
      </w:r>
    </w:p>
    <w:p>
      <w:pPr>
        <w:spacing w:after="0" w:line="176" w:lineRule="exact"/>
        <w:rPr>
          <w:rFonts w:ascii="Courier New" w:cs="Courier New" w:eastAsia="Courier New" w:hAnsi="Courier New"/>
          <w:sz w:val="15"/>
          <w:szCs w:val="15"/>
          <w:color w:val="auto"/>
        </w:rPr>
      </w:pPr>
    </w:p>
    <w:p>
      <w:pPr>
        <w:ind w:left="900" w:right="3199" w:hanging="457"/>
        <w:spacing w:after="0" w:line="244" w:lineRule="auto"/>
        <w:tabs>
          <w:tab w:leader="none" w:pos="9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for which the corporation is formed are as follows: To develop, manufacture, market, and sell pharmaceutical products. To carry on any business or other activity which may be lawfully carried on by a corporation organized under the Business Corporation Law of the Commonwealth of Massachusetts whether or not related to those referred to in the foregoing paragraph.</w:t>
      </w:r>
    </w:p>
    <w:p>
      <w:pPr>
        <w:spacing w:after="0" w:line="177"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571,429 shares of Series C Convertible Preferred Stock out of 571,429 shares outstanding Note: If the space provided under any article or item on this form is insufficient, additions shall be set forth on separate 8 1/2 x 11 sheets of paper leaving a left hand margin of at least 1 inch for binding. Additions to more than one article may be continued on a single sheet so long as each article requiring each such addition is clearly indicated.</w:t>
      </w:r>
    </w:p>
    <w:p>
      <w:pPr>
        <w:sectPr>
          <w:pgSz w:w="11900" w:h="16838" w:orient="portrait"/>
          <w:cols w:equalWidth="0" w:num="1">
            <w:col w:w="10219"/>
          </w:cols>
          <w:pgMar w:left="240" w:top="314" w:right="1440" w:bottom="1440" w:gutter="0" w:footer="0" w:header="0"/>
        </w:sectPr>
      </w:pPr>
    </w:p>
    <w:bookmarkStart w:id="62" w:name="page63"/>
    <w:bookmarkEnd w:id="62"/>
    <w:p>
      <w:pPr>
        <w:ind w:right="3019" w:firstLine="443"/>
        <w:spacing w:after="0" w:line="243" w:lineRule="auto"/>
        <w:tabs>
          <w:tab w:leader="none" w:pos="90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and the par value, if any, of each class of stock which the corporation is authorized to issue is as follows:</w:t>
      </w:r>
    </w:p>
    <w:p>
      <w:pPr>
        <w:sectPr>
          <w:pgSz w:w="11900" w:h="16838" w:orient="portrait"/>
          <w:cols w:equalWidth="0" w:num="1">
            <w:col w:w="10219"/>
          </w:cols>
          <w:pgMar w:left="240" w:top="638"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of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Par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With Par Value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 Value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4">
            <w:col w:w="1440" w:space="360"/>
            <w:col w:w="1700" w:space="540"/>
            <w:col w:w="1720" w:space="100"/>
            <w:col w:w="4359"/>
          </w:cols>
          <w:pgMar w:left="240" w:top="63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w:t>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$.01</w:t>
      </w:r>
    </w:p>
    <w:p>
      <w:pPr>
        <w:spacing w:after="0" w:line="177" w:lineRule="exact"/>
        <w:rPr>
          <w:sz w:val="20"/>
          <w:szCs w:val="20"/>
          <w:color w:val="auto"/>
        </w:rPr>
      </w:pPr>
    </w:p>
    <w:p>
      <w:pPr>
        <w:sectPr>
          <w:pgSz w:w="11900" w:h="16838" w:orient="portrait"/>
          <w:cols w:equalWidth="0" w:num="4">
            <w:col w:w="1520" w:space="720"/>
            <w:col w:w="1180" w:space="720"/>
            <w:col w:w="1440" w:space="720"/>
            <w:col w:w="391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5"/>
          <w:szCs w:val="15"/>
          <w:color w:val="auto"/>
        </w:rPr>
        <w:t>25,000,000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$.01</w:t>
      </w:r>
    </w:p>
    <w:p>
      <w:pPr>
        <w:spacing w:after="0" w:line="178" w:lineRule="exact"/>
        <w:rPr>
          <w:sz w:val="20"/>
          <w:szCs w:val="20"/>
          <w:color w:val="auto"/>
        </w:rPr>
      </w:pPr>
    </w:p>
    <w:p>
      <w:pPr>
        <w:sectPr>
          <w:pgSz w:w="11900" w:h="16838" w:orient="portrait"/>
          <w:cols w:equalWidth="0" w:num="4">
            <w:col w:w="1520" w:space="720"/>
            <w:col w:w="1080" w:space="720"/>
            <w:col w:w="1540" w:space="720"/>
            <w:col w:w="3919"/>
          </w:cols>
          <w:pgMar w:left="240" w:top="638" w:right="1440" w:bottom="1440" w:gutter="0" w:footer="0" w:header="0"/>
          <w:type w:val="continuous"/>
        </w:sectPr>
      </w:pPr>
    </w:p>
    <w:p>
      <w:pPr>
        <w:ind w:left="900" w:right="3019" w:hanging="459"/>
        <w:spacing w:after="0" w:line="244" w:lineRule="auto"/>
        <w:tabs>
          <w:tab w:leader="none" w:pos="880" w:val="left"/>
        </w:tabs>
        <w:rPr>
          <w:sz w:val="20"/>
          <w:szCs w:val="20"/>
          <w:color w:val="auto"/>
        </w:rPr>
      </w:pPr>
      <w:r>
        <w:rPr>
          <w:rFonts w:ascii="Courier New" w:cs="Courier New" w:eastAsia="Courier New" w:hAnsi="Courier New"/>
          <w:sz w:val="15"/>
          <w:szCs w:val="15"/>
          <w:color w:val="auto"/>
        </w:rPr>
        <w:t>*4.</w:t>
        <w:tab/>
        <w:t>If more than one class is authorized, a description of each of the different classes of stock with, if any, the preferences, voting powers, qualifications, special or relative rights or privileges as to each class thereof and any series now established:</w:t>
      </w:r>
    </w:p>
    <w:p>
      <w:pPr>
        <w:spacing w:after="0" w:line="17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00" w:right="3019" w:hanging="459"/>
        <w:spacing w:after="0" w:line="243" w:lineRule="auto"/>
        <w:tabs>
          <w:tab w:leader="none" w:pos="880" w:val="left"/>
        </w:tabs>
        <w:rPr>
          <w:sz w:val="20"/>
          <w:szCs w:val="20"/>
          <w:color w:val="auto"/>
        </w:rPr>
      </w:pPr>
      <w:r>
        <w:rPr>
          <w:rFonts w:ascii="Courier New" w:cs="Courier New" w:eastAsia="Courier New" w:hAnsi="Courier New"/>
          <w:sz w:val="15"/>
          <w:szCs w:val="15"/>
          <w:color w:val="auto"/>
        </w:rPr>
        <w:t>*5.</w:t>
        <w:tab/>
        <w:t>The restrictions, if any, imposed by the articles of organization upon the transfer of shares of stock of any class are as follows:</w:t>
      </w:r>
    </w:p>
    <w:p>
      <w:pPr>
        <w:spacing w:after="0" w:line="17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00" w:right="3019" w:hanging="459"/>
        <w:spacing w:after="0" w:line="244" w:lineRule="auto"/>
        <w:tabs>
          <w:tab w:leader="none" w:pos="880" w:val="left"/>
        </w:tabs>
        <w:rPr>
          <w:sz w:val="20"/>
          <w:szCs w:val="20"/>
          <w:color w:val="auto"/>
        </w:rPr>
      </w:pPr>
      <w:r>
        <w:rPr>
          <w:rFonts w:ascii="Courier New" w:cs="Courier New" w:eastAsia="Courier New" w:hAnsi="Courier New"/>
          <w:sz w:val="15"/>
          <w:szCs w:val="15"/>
          <w:color w:val="auto"/>
        </w:rPr>
        <w:t>*6.</w:t>
        <w:tab/>
        <w:t>Other lawful provisions, if any, for the conduct and regulation of the business and affairs of the corporation, for its voluntary dissolution, or for limiting, defining, or regulating the powers of the corporation, or of its directors or stockholders, or of any class of stockholders:</w:t>
      </w:r>
    </w:p>
    <w:p>
      <w:pPr>
        <w:spacing w:after="0" w:line="176"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there are no such provisions, state "None".</w:t>
      </w:r>
    </w:p>
    <w:p>
      <w:pPr>
        <w:sectPr>
          <w:pgSz w:w="11900" w:h="16838" w:orient="portrait"/>
          <w:cols w:equalWidth="0" w:num="1">
            <w:col w:w="10219"/>
          </w:cols>
          <w:pgMar w:left="240" w:top="638" w:right="1440" w:bottom="1440" w:gutter="0" w:footer="0" w:header="0"/>
          <w:type w:val="continuous"/>
        </w:sectPr>
      </w:pPr>
    </w:p>
    <w:bookmarkStart w:id="63" w:name="page64"/>
    <w:bookmarkEnd w:id="63"/>
    <w:p>
      <w:pPr>
        <w:ind w:left="3328"/>
        <w:spacing w:after="0"/>
        <w:rPr>
          <w:sz w:val="20"/>
          <w:szCs w:val="20"/>
          <w:color w:val="auto"/>
        </w:rPr>
      </w:pPr>
      <w:r>
        <w:rPr>
          <w:rFonts w:ascii="Courier New" w:cs="Courier New" w:eastAsia="Courier New" w:hAnsi="Courier New"/>
          <w:sz w:val="15"/>
          <w:szCs w:val="15"/>
          <w:color w:val="auto"/>
        </w:rPr>
        <w:t>AMENDMENTS</w:t>
      </w:r>
    </w:p>
    <w:p>
      <w:pPr>
        <w:spacing w:after="0" w:line="177" w:lineRule="exact"/>
        <w:rPr>
          <w:sz w:val="20"/>
          <w:szCs w:val="20"/>
          <w:color w:val="auto"/>
        </w:rPr>
      </w:pPr>
    </w:p>
    <w:p>
      <w:pPr>
        <w:ind w:left="448" w:hanging="448"/>
        <w:spacing w:after="0"/>
        <w:tabs>
          <w:tab w:leader="none" w:pos="4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3 is amended as follows:</w:t>
      </w:r>
    </w:p>
    <w:p>
      <w:pPr>
        <w:spacing w:after="0" w:line="178" w:lineRule="exact"/>
        <w:rPr>
          <w:sz w:val="20"/>
          <w:szCs w:val="20"/>
          <w:color w:val="auto"/>
        </w:rPr>
      </w:pPr>
    </w:p>
    <w:p>
      <w:pPr>
        <w:ind w:left="8" w:right="3199" w:hanging="8"/>
        <w:spacing w:after="0" w:line="244" w:lineRule="auto"/>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three shares of the Common Stock, $.01 par value, of the Corporation outstanding on the effective date of these Restated Articles of Organization shall on such effective date be combined into two shares of Common Stock, $.01 par value; provided, that no fractional shares shall be issued in connection with such combination and the fair value of fractional shares resulting therefrom shall be paid in cash to holders who would otherwise have received such fractional shares; and provided, further, that in connection with the foregoing, no changes shall be made in the capital or surplus account of the Corporation.</w:t>
      </w:r>
    </w:p>
    <w:p>
      <w:pPr>
        <w:spacing w:after="0" w:line="179" w:lineRule="exact"/>
        <w:rPr>
          <w:rFonts w:ascii="Courier New" w:cs="Courier New" w:eastAsia="Courier New" w:hAnsi="Courier New"/>
          <w:sz w:val="15"/>
          <w:szCs w:val="15"/>
          <w:color w:val="auto"/>
        </w:rPr>
      </w:pPr>
    </w:p>
    <w:p>
      <w:pPr>
        <w:ind w:left="8" w:right="3019" w:hanging="8"/>
        <w:spacing w:after="0" w:line="244" w:lineRule="auto"/>
        <w:tabs>
          <w:tab w:leader="none" w:pos="45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and simultaneously with the combination described above, the authorized Common Stock, $.01 par value, of the Corporation shall be reduced from 11,024,000 shares to 7,349,333 shares; provided, that in connection with the foregoing, no changes shall be made in the capital or surplus account of the Corporation.</w:t>
      </w:r>
    </w:p>
    <w:p>
      <w:pPr>
        <w:spacing w:after="0" w:line="176" w:lineRule="exact"/>
        <w:rPr>
          <w:rFonts w:ascii="Courier New" w:cs="Courier New" w:eastAsia="Courier New" w:hAnsi="Courier New"/>
          <w:sz w:val="15"/>
          <w:szCs w:val="15"/>
          <w:color w:val="auto"/>
        </w:rPr>
      </w:pPr>
    </w:p>
    <w:p>
      <w:pPr>
        <w:ind w:left="8" w:right="3019" w:hanging="8"/>
        <w:spacing w:after="0" w:line="244" w:lineRule="auto"/>
        <w:tabs>
          <w:tab w:leader="none" w:pos="5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three shares of each series of the Convertible Preferred Stock, $.01 par value, of the Corporation outstanding on the effective date of these Restated Articles of Organization shall on such effective date, pursuant to the terms of such Convertible Preferred Stock, be automatically converted into two shares of Common Stock, $.01 par value; provided, that no fractional shares shall be issued in connection with said conversion and the fair value of fractional shares resulting therefrom shall be paid in cash to holders who would have otherwise received such fractional shares.</w:t>
      </w:r>
    </w:p>
    <w:p>
      <w:pPr>
        <w:spacing w:after="0" w:line="178" w:lineRule="exact"/>
        <w:rPr>
          <w:rFonts w:ascii="Courier New" w:cs="Courier New" w:eastAsia="Courier New" w:hAnsi="Courier New"/>
          <w:sz w:val="15"/>
          <w:szCs w:val="15"/>
          <w:color w:val="auto"/>
        </w:rPr>
      </w:pPr>
    </w:p>
    <w:p>
      <w:pPr>
        <w:ind w:left="8" w:right="3099" w:hanging="8"/>
        <w:spacing w:after="0" w:line="244" w:lineRule="auto"/>
        <w:tabs>
          <w:tab w:leader="none" w:pos="45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and simultaneously with the conversion described above, the entire class, including each series of such class, of Convertible Preferred Stock, $.01 par value, of the Corporation shall be cancelled and withdrawn from the authorized capital stock of the Corporation.</w:t>
      </w:r>
    </w:p>
    <w:p>
      <w:pPr>
        <w:spacing w:after="0" w:line="175" w:lineRule="exact"/>
        <w:rPr>
          <w:rFonts w:ascii="Courier New" w:cs="Courier New" w:eastAsia="Courier New" w:hAnsi="Courier New"/>
          <w:sz w:val="15"/>
          <w:szCs w:val="15"/>
          <w:color w:val="auto"/>
        </w:rPr>
      </w:pPr>
    </w:p>
    <w:p>
      <w:pPr>
        <w:ind w:left="8" w:right="3099" w:hanging="8"/>
        <w:spacing w:after="0" w:line="244" w:lineRule="auto"/>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foregoing, the amount of the authorized capital stock of the Corporation shall be increased to 26,000,000 shares, consisting of 25,000,000 shares of Common Stock, $.01 par value, and 1,000,000 shares of Preferred Stock, $.01 par value.</w:t>
      </w:r>
    </w:p>
    <w:p>
      <w:pPr>
        <w:spacing w:after="0" w:line="175" w:lineRule="exact"/>
        <w:rPr>
          <w:sz w:val="20"/>
          <w:szCs w:val="20"/>
          <w:color w:val="auto"/>
        </w:rPr>
      </w:pPr>
    </w:p>
    <w:p>
      <w:pPr>
        <w:ind w:left="448" w:hanging="448"/>
        <w:spacing w:after="0"/>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4 is amended as follows:</w:t>
      </w:r>
    </w:p>
    <w:p>
      <w:pPr>
        <w:spacing w:after="0" w:line="178" w:lineRule="exact"/>
        <w:rPr>
          <w:sz w:val="20"/>
          <w:szCs w:val="20"/>
          <w:color w:val="auto"/>
        </w:rPr>
      </w:pPr>
    </w:p>
    <w:p>
      <w:pPr>
        <w:ind w:left="8" w:right="3019" w:hanging="8"/>
        <w:spacing w:after="0" w:line="244" w:lineRule="auto"/>
        <w:tabs>
          <w:tab w:leader="none" w:pos="36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of Preferred Stock, S.01 par value, authorized pursuant to Article 3 is authorized to be issued by the Board of Directors, in one or more series, as set forth in Article 4 of these Restated Articles of Organization.</w:t>
      </w:r>
    </w:p>
    <w:p>
      <w:pPr>
        <w:sectPr>
          <w:pgSz w:w="11900" w:h="16838" w:orient="portrait"/>
          <w:cols w:equalWidth="0" w:num="1">
            <w:col w:w="10227"/>
          </w:cols>
          <w:pgMar w:left="232" w:top="811" w:right="1440" w:bottom="1440" w:gutter="0" w:footer="0" w:header="0"/>
        </w:sectPr>
      </w:pPr>
    </w:p>
    <w:bookmarkStart w:id="64" w:name="page65"/>
    <w:bookmarkEnd w:id="64"/>
    <w:p>
      <w:pPr>
        <w:ind w:left="8"/>
        <w:spacing w:after="0"/>
        <w:rPr>
          <w:sz w:val="20"/>
          <w:szCs w:val="20"/>
          <w:color w:val="auto"/>
        </w:rPr>
      </w:pPr>
      <w:r>
        <w:rPr>
          <w:rFonts w:ascii="Courier New" w:cs="Courier New" w:eastAsia="Courier New" w:hAnsi="Courier New"/>
          <w:sz w:val="15"/>
          <w:szCs w:val="15"/>
          <w:color w:val="auto"/>
        </w:rPr>
        <w:t>3. Article 6 is amended as follows:</w:t>
      </w:r>
    </w:p>
    <w:p>
      <w:pPr>
        <w:spacing w:after="0" w:line="178" w:lineRule="exact"/>
        <w:rPr>
          <w:sz w:val="20"/>
          <w:szCs w:val="20"/>
          <w:color w:val="auto"/>
        </w:rPr>
      </w:pPr>
    </w:p>
    <w:p>
      <w:pPr>
        <w:ind w:left="448" w:right="3019" w:hanging="448"/>
        <w:spacing w:after="0" w:line="243"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paragraph, relating to Amendment of the By-Laws, is designated as Part A.</w:t>
      </w:r>
    </w:p>
    <w:p>
      <w:pPr>
        <w:spacing w:after="0" w:line="176" w:lineRule="exact"/>
        <w:rPr>
          <w:rFonts w:ascii="Courier New" w:cs="Courier New" w:eastAsia="Courier New" w:hAnsi="Courier New"/>
          <w:sz w:val="15"/>
          <w:szCs w:val="15"/>
          <w:color w:val="auto"/>
        </w:rPr>
      </w:pPr>
    </w:p>
    <w:p>
      <w:pPr>
        <w:ind w:left="448" w:right="3199" w:hanging="448"/>
        <w:spacing w:after="0" w:line="243"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paragraph, relating to Meetings of Stockholders, is designated as Part B.</w:t>
      </w:r>
    </w:p>
    <w:p>
      <w:pPr>
        <w:spacing w:after="0" w:line="176" w:lineRule="exact"/>
        <w:rPr>
          <w:sz w:val="20"/>
          <w:szCs w:val="20"/>
          <w:color w:val="auto"/>
        </w:rPr>
      </w:pPr>
    </w:p>
    <w:p>
      <w:pPr>
        <w:ind w:left="448" w:right="3199" w:hanging="450"/>
        <w:spacing w:after="0" w:line="243" w:lineRule="auto"/>
        <w:rPr>
          <w:sz w:val="20"/>
          <w:szCs w:val="20"/>
          <w:color w:val="auto"/>
        </w:rPr>
      </w:pPr>
      <w:r>
        <w:rPr>
          <w:rFonts w:ascii="Courier New" w:cs="Courier New" w:eastAsia="Courier New" w:hAnsi="Courier New"/>
          <w:sz w:val="15"/>
          <w:szCs w:val="15"/>
          <w:color w:val="auto"/>
        </w:rPr>
        <w:t>(iii)The third paragraph, relating to Partnership Agreements, is designated as Part C.</w:t>
      </w:r>
    </w:p>
    <w:p>
      <w:pPr>
        <w:spacing w:after="0" w:line="176" w:lineRule="exact"/>
        <w:rPr>
          <w:sz w:val="20"/>
          <w:szCs w:val="20"/>
          <w:color w:val="auto"/>
        </w:rPr>
      </w:pPr>
    </w:p>
    <w:p>
      <w:pPr>
        <w:ind w:left="448" w:right="3099" w:hanging="448"/>
        <w:spacing w:after="0" w:line="243" w:lineRule="auto"/>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paragraph, relating to liability of Directors, is designated as Part D.</w:t>
      </w:r>
    </w:p>
    <w:p>
      <w:pPr>
        <w:spacing w:after="0" w:line="176"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added as a new Part E provisions relating to (a) the election of a classified Board of Directors, (b) nomination of directors, (c) filling of newly created directorships and vacancies, (d) removal of directors, (e) election of directors by holders of Preferred Stock, and (f) amendment or repeal of the provisions set forth in Part E.</w:t>
      </w:r>
    </w:p>
    <w:p>
      <w:pPr>
        <w:spacing w:after="0" w:line="176"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8" w:right="1440" w:bottom="1440" w:gutter="0" w:footer="0" w:header="0"/>
        </w:sectPr>
      </w:pPr>
    </w:p>
    <w:bookmarkStart w:id="65" w:name="page66"/>
    <w:bookmarkEnd w:id="65"/>
    <w:p>
      <w:pPr>
        <w:ind w:left="3328"/>
        <w:spacing w:after="0"/>
        <w:rPr>
          <w:sz w:val="20"/>
          <w:szCs w:val="20"/>
          <w:color w:val="auto"/>
        </w:rPr>
      </w:pPr>
      <w:r>
        <w:rPr>
          <w:rFonts w:ascii="Courier New" w:cs="Courier New" w:eastAsia="Courier New" w:hAnsi="Courier New"/>
          <w:sz w:val="15"/>
          <w:szCs w:val="15"/>
          <w:color w:val="auto"/>
        </w:rPr>
        <w:t>ARTICLE 4</w:t>
      </w:r>
    </w:p>
    <w:p>
      <w:pPr>
        <w:spacing w:after="0" w:line="3" w:lineRule="exact"/>
        <w:rPr>
          <w:sz w:val="20"/>
          <w:szCs w:val="20"/>
          <w:color w:val="auto"/>
        </w:rPr>
      </w:pPr>
    </w:p>
    <w:p>
      <w:pPr>
        <w:ind w:left="448" w:hanging="448"/>
        <w:spacing w:after="0"/>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holders of shares of Common Stock of the Corporation shall be entitled to one vote for each share of such stock held by them, respectively, upon all matters presented to the stockholders. The Common Stock shall be subject to the special provisions applicable to any series of Preferred Stock issued by the Board of Directors, as hereinafter provided.</w:t>
      </w:r>
    </w:p>
    <w:p>
      <w:pPr>
        <w:spacing w:after="0" w:line="176" w:lineRule="exact"/>
        <w:rPr>
          <w:sz w:val="20"/>
          <w:szCs w:val="20"/>
          <w:color w:val="auto"/>
        </w:rPr>
      </w:pPr>
    </w:p>
    <w:p>
      <w:pPr>
        <w:ind w:left="448" w:hanging="448"/>
        <w:spacing w:after="0"/>
        <w:tabs>
          <w:tab w:leader="none" w:pos="4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Preferred Stock may be issued by the Board of Directors, in one or more series and with such rights, powers, preferences, and terms and at such times and for such consideration as the Board of Directors shall determine, without further stockholder action. With respect to any such series of Preferred Stock, prior to issuance, the Board of Directors by resolution shall designate that series to distinguish it from other series and classes of stock of the Corporation, shall specify that number of shares to be included in the series, and shall fix the rights, powers, preferences, and terms of the shares of the series, including but without limitation: (1) the dividend rate, its preference as to any other class or series of capital stock, and whether dividends will be cumulative or non cumulative; (ii) whether the shares are to be redeemable and, if so, at what times and prices and on what other terms and conditions; (iii) the terms and amount of any sinking fund provided for the purchase of redemption for the shares; (iv) whether the shares shall be convertible or exchangeable and, if so, the times, prices, rates, adjustments, and other terms of such conversion or exchange; (v) the voting rights, if any, applicable to the shares in addition to those prescribed by law; (vi) the restrictions and conditions, if any, on the issue or reissue of any additional shares of such series or of any other series of Preferred Stock ranking on a parity with or prior to the shares of such series; and (vii) the rights of the holders of such shares upon voluntary or involuntary liquidation, dissolution, or winding up of the Corporation.</w:t>
      </w:r>
    </w:p>
    <w:p>
      <w:pPr>
        <w:spacing w:after="0" w:line="187" w:lineRule="exact"/>
        <w:rPr>
          <w:sz w:val="20"/>
          <w:szCs w:val="20"/>
          <w:color w:val="auto"/>
        </w:rPr>
      </w:pPr>
    </w:p>
    <w:p>
      <w:pPr>
        <w:ind w:left="3688"/>
        <w:spacing w:after="0"/>
        <w:rPr>
          <w:sz w:val="20"/>
          <w:szCs w:val="20"/>
          <w:color w:val="auto"/>
        </w:rPr>
      </w:pPr>
      <w:r>
        <w:rPr>
          <w:rFonts w:ascii="Courier New" w:cs="Courier New" w:eastAsia="Courier New" w:hAnsi="Courier New"/>
          <w:sz w:val="15"/>
          <w:szCs w:val="15"/>
          <w:color w:val="auto"/>
        </w:rPr>
        <w:t>4A</w:t>
      </w:r>
    </w:p>
    <w:p>
      <w:pPr>
        <w:sectPr>
          <w:pgSz w:w="11900" w:h="16838" w:orient="portrait"/>
          <w:cols w:equalWidth="0" w:num="1">
            <w:col w:w="10227"/>
          </w:cols>
          <w:pgMar w:left="232" w:top="811" w:right="1440" w:bottom="1440" w:gutter="0" w:footer="0" w:header="0"/>
        </w:sectPr>
      </w:pPr>
    </w:p>
    <w:bookmarkStart w:id="66" w:name="page67"/>
    <w:bookmarkEnd w:id="66"/>
    <w:p>
      <w:pPr>
        <w:ind w:left="3328"/>
        <w:spacing w:after="0"/>
        <w:rPr>
          <w:sz w:val="20"/>
          <w:szCs w:val="20"/>
          <w:color w:val="auto"/>
        </w:rPr>
      </w:pPr>
      <w:r>
        <w:rPr>
          <w:rFonts w:ascii="Courier New" w:cs="Courier New" w:eastAsia="Courier New" w:hAnsi="Courier New"/>
          <w:sz w:val="15"/>
          <w:szCs w:val="15"/>
          <w:color w:val="auto"/>
        </w:rPr>
        <w:t>ARTICLE 6</w:t>
      </w:r>
    </w:p>
    <w:p>
      <w:pPr>
        <w:spacing w:after="0" w:line="3" w:lineRule="exact"/>
        <w:rPr>
          <w:sz w:val="20"/>
          <w:szCs w:val="20"/>
          <w:color w:val="auto"/>
        </w:rPr>
      </w:pPr>
    </w:p>
    <w:p>
      <w:pPr>
        <w:ind w:left="448" w:hanging="448"/>
        <w:spacing w:after="0"/>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By-Laws</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To the extent and the manner provided in the By-Laws, the Board of Directors may make, amend, or repeal the By-Laws in whole or in part, except with respect to any provision thereof which by law or by the By-Laws requires action by the stockholders.</w:t>
      </w:r>
    </w:p>
    <w:p>
      <w:pPr>
        <w:spacing w:after="0" w:line="175" w:lineRule="exact"/>
        <w:rPr>
          <w:sz w:val="20"/>
          <w:szCs w:val="20"/>
          <w:color w:val="auto"/>
        </w:rPr>
      </w:pPr>
    </w:p>
    <w:p>
      <w:pPr>
        <w:ind w:left="448" w:hanging="448"/>
        <w:spacing w:after="0"/>
        <w:tabs>
          <w:tab w:leader="none" w:pos="4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of Stockholders</w:t>
      </w:r>
    </w:p>
    <w:p>
      <w:pPr>
        <w:spacing w:after="0" w:line="178" w:lineRule="exact"/>
        <w:rPr>
          <w:sz w:val="20"/>
          <w:szCs w:val="20"/>
          <w:color w:val="auto"/>
        </w:rPr>
      </w:pPr>
    </w:p>
    <w:p>
      <w:pPr>
        <w:jc w:val="both"/>
        <w:ind w:left="8" w:right="3279" w:firstLine="451"/>
        <w:spacing w:after="0" w:line="244" w:lineRule="auto"/>
        <w:rPr>
          <w:sz w:val="20"/>
          <w:szCs w:val="20"/>
          <w:color w:val="auto"/>
        </w:rPr>
      </w:pPr>
      <w:r>
        <w:rPr>
          <w:rFonts w:ascii="Courier New" w:cs="Courier New" w:eastAsia="Courier New" w:hAnsi="Courier New"/>
          <w:sz w:val="15"/>
          <w:szCs w:val="15"/>
          <w:color w:val="auto"/>
        </w:rPr>
        <w:t>To the extent and in the manner provided in the By-Laws, meetings of the stockholders may be held anywhere within the Commonwealth of Massachusetts or elsewhere in the United States.</w:t>
      </w:r>
    </w:p>
    <w:p>
      <w:pPr>
        <w:spacing w:after="0" w:line="175" w:lineRule="exact"/>
        <w:rPr>
          <w:sz w:val="20"/>
          <w:szCs w:val="20"/>
          <w:color w:val="auto"/>
        </w:rPr>
      </w:pPr>
    </w:p>
    <w:p>
      <w:pPr>
        <w:ind w:left="448" w:hanging="448"/>
        <w:spacing w:after="0"/>
        <w:tabs>
          <w:tab w:leader="none" w:pos="4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Agreements</w:t>
      </w:r>
    </w:p>
    <w:p>
      <w:pPr>
        <w:spacing w:after="0" w:line="178" w:lineRule="exact"/>
        <w:rPr>
          <w:sz w:val="20"/>
          <w:szCs w:val="20"/>
          <w:color w:val="auto"/>
        </w:rPr>
      </w:pPr>
    </w:p>
    <w:p>
      <w:pPr>
        <w:jc w:val="both"/>
        <w:ind w:left="8" w:right="3019" w:firstLine="451"/>
        <w:spacing w:after="0" w:line="267" w:lineRule="auto"/>
        <w:rPr>
          <w:sz w:val="20"/>
          <w:szCs w:val="20"/>
          <w:color w:val="auto"/>
        </w:rPr>
      </w:pPr>
      <w:r>
        <w:rPr>
          <w:rFonts w:ascii="Courier New" w:cs="Courier New" w:eastAsia="Courier New" w:hAnsi="Courier New"/>
          <w:sz w:val="14"/>
          <w:szCs w:val="14"/>
          <w:color w:val="auto"/>
        </w:rPr>
        <w:t>The Corporation may enter into partnership agreements (general or limited) and joint ventures with any person, firm, association, or corporation engaged in carrying on any business in which the Corporation is authorized to engage, or in connection with carrying out all or any of the purposes of the Corporation.</w:t>
      </w:r>
    </w:p>
    <w:p>
      <w:pPr>
        <w:spacing w:after="0" w:line="160" w:lineRule="exact"/>
        <w:rPr>
          <w:sz w:val="20"/>
          <w:szCs w:val="20"/>
          <w:color w:val="auto"/>
        </w:rPr>
      </w:pPr>
    </w:p>
    <w:p>
      <w:pPr>
        <w:ind w:left="448" w:hanging="448"/>
        <w:spacing w:after="0"/>
        <w:tabs>
          <w:tab w:leader="none" w:pos="4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Directors</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No director of the Corporation shall be personally liable to the Corporation or its stockholders for monetary damages for breach of fiduciary duty as a director; provided, however, that this provision shall not eliminate or limit the liability of a director to the extent provided by applicable law (i) for any breach of the director's duty of loyalty to the Corporation or its stockholders, (ii) for acts or omissions not in good faith or which involve intentional misconduct or a knowing violation of laws, (iii) under Section 61 or 62 of the Business Corporation Law, Chapter 156B, of the Commonwealth of Massachusetts, or (iv) for any transactions from which the director derived an improper personal benefit. No amendment to or repeal of this provision shall apply to or have any effect on the liability or alleged liability of any director of the Corporation for or with respect to any acts or omissions of such director occurring prior to such amendment or repeal.</w:t>
      </w:r>
    </w:p>
    <w:p>
      <w:pPr>
        <w:spacing w:after="0" w:line="181" w:lineRule="exact"/>
        <w:rPr>
          <w:sz w:val="20"/>
          <w:szCs w:val="20"/>
          <w:color w:val="auto"/>
        </w:rPr>
      </w:pPr>
    </w:p>
    <w:p>
      <w:pPr>
        <w:ind w:left="448" w:hanging="448"/>
        <w:spacing w:after="0"/>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Directors</w:t>
      </w:r>
    </w:p>
    <w:p>
      <w:pPr>
        <w:spacing w:after="0" w:line="177" w:lineRule="exact"/>
        <w:rPr>
          <w:rFonts w:ascii="Courier New" w:cs="Courier New" w:eastAsia="Courier New" w:hAnsi="Courier New"/>
          <w:sz w:val="15"/>
          <w:szCs w:val="15"/>
          <w:color w:val="auto"/>
        </w:rPr>
      </w:pPr>
    </w:p>
    <w:p>
      <w:pPr>
        <w:ind w:left="8" w:right="3019" w:firstLine="443"/>
        <w:spacing w:after="0" w:line="244" w:lineRule="auto"/>
        <w:tabs>
          <w:tab w:leader="none" w:pos="90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Election and Terms. Subject to the rights of the holders of any series of Preferred Stock to elect directors who shall serve for such term and have such voting powers as shall be provided in Article 4 of these Articles, the Board of Directors shall consist of such number of persons as shall be provided in the Corporation's By-Laws. The Board of Directors shall be classified with respect to the time for which its members shall severally hold office by dividing them into three classes, as nearly equal in number as possible, with the term of office of one class expiring at the annual meeting of stockholders each year. At each annual meeting of the stockholders of the Corporation, the successors to the class of directors whose term expires at that meeting shall be elected to hold office for a term expiring at the annual meeting of stockholders held in the third year following the year of their election. If the number of directors</w:t>
      </w:r>
    </w:p>
    <w:p>
      <w:pPr>
        <w:spacing w:after="0" w:line="354"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6A</w:t>
      </w:r>
    </w:p>
    <w:p>
      <w:pPr>
        <w:sectPr>
          <w:pgSz w:w="11900" w:h="16838" w:orient="portrait"/>
          <w:cols w:equalWidth="0" w:num="1">
            <w:col w:w="10227"/>
          </w:cols>
          <w:pgMar w:left="232" w:top="638" w:right="1440" w:bottom="1440" w:gutter="0" w:footer="0" w:header="0"/>
        </w:sectPr>
      </w:pPr>
    </w:p>
    <w:bookmarkStart w:id="67" w:name="page68"/>
    <w:bookmarkEnd w:id="67"/>
    <w:p>
      <w:pPr>
        <w:ind w:right="3019"/>
        <w:spacing w:after="0" w:line="244" w:lineRule="auto"/>
        <w:rPr>
          <w:sz w:val="20"/>
          <w:szCs w:val="20"/>
          <w:color w:val="auto"/>
        </w:rPr>
      </w:pPr>
      <w:r>
        <w:rPr>
          <w:rFonts w:ascii="Courier New" w:cs="Courier New" w:eastAsia="Courier New" w:hAnsi="Courier New"/>
          <w:sz w:val="15"/>
          <w:szCs w:val="15"/>
          <w:color w:val="auto"/>
        </w:rPr>
        <w:t>is changed, any increase or decrease shall be apportioned by the Board of Directors among the classes so as maintain the number of directors in each class as nearly equal as possible. Each director shall hold office until the annual meeting for the year in which such director's term expires and until such director's successor shall be elected and shall qualify. No director need be a stockholder.</w:t>
      </w:r>
    </w:p>
    <w:p>
      <w:pPr>
        <w:spacing w:after="0" w:line="177" w:lineRule="exact"/>
        <w:rPr>
          <w:sz w:val="20"/>
          <w:szCs w:val="20"/>
          <w:color w:val="auto"/>
        </w:rPr>
      </w:pPr>
    </w:p>
    <w:p>
      <w:pPr>
        <w:ind w:right="3019" w:firstLine="443"/>
        <w:spacing w:after="0" w:line="244" w:lineRule="auto"/>
        <w:tabs>
          <w:tab w:leader="none" w:pos="90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Nomination. Advance notice of nominations for the election of directors, other than by the Board of Directors or a committee thereof, shall be given within the time and in the manner provided in the By-Laws.</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Newly Created Directorships and Vacancies. Newly created directorships resulting from any increase in the number of directors and any vacancies on the Board of Directors resulting from death, resignation, disqualification, removal, or other cause shall be filled only by the affirmative vote of a majority of the remaining directors then in office, even though less than a quorum of the board of Director.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shorten the term of any incumbent director.</w:t>
      </w:r>
    </w:p>
    <w:p>
      <w:pPr>
        <w:spacing w:after="0" w:line="180"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Directors. Any director may be removed from office by stockholder vote at any time, but only for cause, by the affirmative vote of the holders of a majority of the voting power of the then outstanding shares of capital stock of the Corporation entitled to vote generally in the election of directors, voting together as a single class. Any director may also be removed from office for cause by vote of a majority of the directors then in office.</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Elected by Holders of Preferred Stock. Whenever the holders of any class or series of Preferred Stock or of any other class or series of shares issued by the Corporation shall have the right, voting separately as a class or series, to elect one or more directors under specified circumstances, the election, term of office, filling of vacancies, and other features of such directorships shall be governed by the terms of these Articles applicable to such class or series, and none of the provisions of this Part E shall apply with respect to directors so elected.</w:t>
      </w:r>
    </w:p>
    <w:p>
      <w:pPr>
        <w:spacing w:after="0" w:line="178"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Repeal, etc. Notwithstanding any other provision of these Articles to the contrary, the affirmative vote of the holders of at least 80% of the voting power of the then outstanding shares of capital stock of the Corporation entitled to vote generally in the election of directors, voting together as a single class, shall be required to alter, amend, adopt any provision inconsistent with, or repeal this Part E or any provision thereof.</w:t>
      </w: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6B</w:t>
      </w:r>
    </w:p>
    <w:p>
      <w:pPr>
        <w:sectPr>
          <w:pgSz w:w="11900" w:h="16838" w:orient="portrait"/>
          <w:cols w:equalWidth="0" w:num="1">
            <w:col w:w="10219"/>
          </w:cols>
          <w:pgMar w:left="240" w:top="638" w:right="1440" w:bottom="1440" w:gutter="0" w:footer="0" w:header="0"/>
        </w:sectPr>
      </w:pPr>
    </w:p>
    <w:bookmarkStart w:id="68" w:name="page69"/>
    <w:bookmarkEnd w:id="68"/>
    <w:p>
      <w:pPr>
        <w:jc w:val="center"/>
        <w:ind w:left="320"/>
        <w:spacing w:after="0" w:line="244" w:lineRule="auto"/>
        <w:rPr>
          <w:sz w:val="20"/>
          <w:szCs w:val="20"/>
          <w:color w:val="auto"/>
        </w:rPr>
      </w:pPr>
      <w:r>
        <w:rPr>
          <w:rFonts w:ascii="Courier New" w:cs="Courier New" w:eastAsia="Courier New" w:hAnsi="Courier New"/>
          <w:sz w:val="15"/>
          <w:szCs w:val="15"/>
          <w:color w:val="auto"/>
        </w:rPr>
        <w:t>*We further certify that the foregoing restated articles of organization effect no amendments to the articles of organization of the corporation as heretofore amended, except amendments to the following articles 3, 4 and 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there are no such amendments, state "None".)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Briefly describe amendments in space below: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IN WITNESS WHEREOF AND UNDER THE PENALTIES OF PERJURY, we have hereto signed our names this 30th day of July in the year 1991</w:t>
      </w:r>
    </w:p>
    <w:p>
      <w:pPr>
        <w:sectPr>
          <w:pgSz w:w="11900" w:h="16838" w:orient="portrait"/>
          <w:cols w:equalWidth="0" w:num="1">
            <w:col w:w="10219"/>
          </w:cols>
          <w:pgMar w:left="240" w:top="639" w:right="1440" w:bottom="1440" w:gutter="0" w:footer="0" w:header="0"/>
        </w:sectPr>
      </w:pP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Joshua Boger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177" w:lineRule="exact"/>
        <w:rPr>
          <w:sz w:val="20"/>
          <w:szCs w:val="20"/>
          <w:color w:val="auto"/>
        </w:rPr>
      </w:pPr>
    </w:p>
    <w:p>
      <w:pPr>
        <w:sectPr>
          <w:pgSz w:w="11900" w:h="16838" w:orient="portrait"/>
          <w:cols w:equalWidth="0" w:num="2">
            <w:col w:w="3500" w:space="100"/>
            <w:col w:w="6619"/>
          </w:cols>
          <w:pgMar w:left="240" w:top="639" w:right="1440" w:bottom="1440" w:gutter="0" w:footer="0" w:header="0"/>
          <w:type w:val="continuous"/>
        </w:sectPr>
      </w:pPr>
    </w:p>
    <w:p>
      <w:pPr>
        <w:ind w:left="900"/>
        <w:spacing w:after="0"/>
        <w:rPr>
          <w:sz w:val="20"/>
          <w:szCs w:val="20"/>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Richard H. Aldrich</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Clerk</w:t>
      </w:r>
    </w:p>
    <w:p>
      <w:pPr>
        <w:sectPr>
          <w:pgSz w:w="11900" w:h="16838" w:orient="portrait"/>
          <w:cols w:equalWidth="0" w:num="2">
            <w:col w:w="3500" w:space="100"/>
            <w:col w:w="6619"/>
          </w:cols>
          <w:pgMar w:left="240" w:top="639" w:right="1440" w:bottom="1440" w:gutter="0" w:footer="0" w:header="0"/>
          <w:type w:val="continuous"/>
        </w:sectPr>
      </w:pPr>
    </w:p>
    <w:bookmarkStart w:id="69" w:name="page70"/>
    <w:bookmarkEnd w:id="69"/>
    <w:p>
      <w:pPr>
        <w:ind w:left="2240"/>
        <w:spacing w:after="0"/>
        <w:rPr>
          <w:sz w:val="20"/>
          <w:szCs w:val="20"/>
          <w:color w:val="auto"/>
        </w:rPr>
      </w:pPr>
      <w:r>
        <w:rPr>
          <w:rFonts w:ascii="Courier New" w:cs="Courier New" w:eastAsia="Courier New" w:hAnsi="Courier New"/>
          <w:sz w:val="15"/>
          <w:szCs w:val="15"/>
          <w:color w:val="auto"/>
        </w:rPr>
        <w:t>THE COMMONWEALTH OF MASSACHUSETTS</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RESTATED ARTICLES OF ORGANIZATION</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(General Laws, Chapter 156B, Section 74)</w:t>
      </w:r>
    </w:p>
    <w:p>
      <w:pPr>
        <w:spacing w:after="0" w:line="200" w:lineRule="exact"/>
        <w:rPr>
          <w:sz w:val="20"/>
          <w:szCs w:val="20"/>
          <w:color w:val="auto"/>
        </w:rPr>
      </w:pPr>
    </w:p>
    <w:p>
      <w:pPr>
        <w:spacing w:after="0" w:line="324" w:lineRule="exact"/>
        <w:rPr>
          <w:sz w:val="20"/>
          <w:szCs w:val="20"/>
          <w:color w:val="auto"/>
        </w:rPr>
      </w:pPr>
    </w:p>
    <w:p>
      <w:pPr>
        <w:jc w:val="both"/>
        <w:ind w:right="3459" w:firstLine="451"/>
        <w:spacing w:after="0" w:line="244" w:lineRule="auto"/>
        <w:rPr>
          <w:sz w:val="20"/>
          <w:szCs w:val="20"/>
          <w:color w:val="auto"/>
        </w:rPr>
      </w:pPr>
      <w:r>
        <w:rPr>
          <w:rFonts w:ascii="Courier New" w:cs="Courier New" w:eastAsia="Courier New" w:hAnsi="Courier New"/>
          <w:sz w:val="15"/>
          <w:szCs w:val="15"/>
          <w:color w:val="auto"/>
        </w:rPr>
        <w:t>I hereby approve the within restated articles of organization and, the filing fee in the amount of $19,150.67 having been paid, said articles are deemed to have been filed with me this 31st day of July, 1991</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MICHAEL JOSEPH CONNOLLY</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Secretary of State</w:t>
      </w:r>
    </w:p>
    <w:p>
      <w:pPr>
        <w:spacing w:after="0" w:line="200" w:lineRule="exact"/>
        <w:rPr>
          <w:sz w:val="20"/>
          <w:szCs w:val="20"/>
          <w:color w:val="auto"/>
        </w:rPr>
      </w:pPr>
    </w:p>
    <w:p>
      <w:pPr>
        <w:spacing w:after="0" w:line="32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TO BE FILLED IN BY CORPORATION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PHOTOCOPY OF RESTATED ARTICLES OF ORGANIZATION TO BE SENT TO:</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Timothy B. Bancroft, Esq.</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Warner &amp; Stackpole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75 State Street, Boston, MA 02109</w:t>
      </w:r>
    </w:p>
    <w:p>
      <w:pPr>
        <w:spacing w:after="0" w:line="3"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5"/>
          <w:szCs w:val="15"/>
          <w:color w:val="auto"/>
        </w:rPr>
        <w:t>Telephone</w:t>
        <w:tab/>
        <w:t>(617) 951-9000</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Copy Mailed</w:t>
      </w:r>
    </w:p>
    <w:p>
      <w:pPr>
        <w:sectPr>
          <w:pgSz w:w="11900" w:h="16838" w:orient="portrait"/>
          <w:cols w:equalWidth="0" w:num="1">
            <w:col w:w="10219"/>
          </w:cols>
          <w:pgMar w:left="240" w:top="984" w:right="1440" w:bottom="1440" w:gutter="0" w:footer="0" w:header="0"/>
        </w:sectPr>
      </w:pPr>
    </w:p>
    <w:bookmarkStart w:id="70" w:name="page71"/>
    <w:bookmarkEnd w:id="70"/>
    <w:p>
      <w:pPr>
        <w:jc w:val="right"/>
        <w:ind w:right="3099"/>
        <w:spacing w:after="0"/>
        <w:rPr>
          <w:sz w:val="20"/>
          <w:szCs w:val="20"/>
          <w:color w:val="auto"/>
        </w:rPr>
      </w:pPr>
      <w:r>
        <w:rPr>
          <w:rFonts w:ascii="Courier New" w:cs="Courier New" w:eastAsia="Courier New" w:hAnsi="Courier New"/>
          <w:sz w:val="15"/>
          <w:szCs w:val="15"/>
          <w:color w:val="auto"/>
        </w:rPr>
        <w:t>FEDERAL IDENTIFICATION</w:t>
      </w:r>
    </w:p>
    <w:p>
      <w:pPr>
        <w:spacing w:after="0" w:line="3" w:lineRule="exact"/>
        <w:rPr>
          <w:sz w:val="20"/>
          <w:szCs w:val="20"/>
          <w:color w:val="auto"/>
        </w:rPr>
      </w:pPr>
    </w:p>
    <w:p>
      <w:pPr>
        <w:jc w:val="both"/>
        <w:ind w:left="5768"/>
        <w:spacing w:after="0"/>
        <w:tabs>
          <w:tab w:leader="none" w:pos="6207" w:val="left"/>
        </w:tabs>
        <w:rPr>
          <w:sz w:val="20"/>
          <w:szCs w:val="20"/>
          <w:color w:val="auto"/>
        </w:rPr>
      </w:pPr>
      <w:r>
        <w:rPr>
          <w:rFonts w:ascii="Courier New" w:cs="Courier New" w:eastAsia="Courier New" w:hAnsi="Courier New"/>
          <w:sz w:val="15"/>
          <w:szCs w:val="15"/>
          <w:color w:val="auto"/>
        </w:rPr>
        <w:t>NO.</w:t>
        <w:tab/>
        <w:t>04-3039129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The Commonwealth of Massachusetts</w:t>
      </w:r>
    </w:p>
    <w:p>
      <w:pPr>
        <w:spacing w:after="0" w:line="3"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William Francis Galvin</w:t>
      </w:r>
    </w:p>
    <w:p>
      <w:pPr>
        <w:spacing w:after="0" w:line="3" w:lineRule="exact"/>
        <w:rPr>
          <w:sz w:val="20"/>
          <w:szCs w:val="20"/>
          <w:color w:val="auto"/>
        </w:rPr>
      </w:pPr>
    </w:p>
    <w:p>
      <w:pPr>
        <w:jc w:val="center"/>
        <w:ind w:right="2752"/>
        <w:spacing w:after="0"/>
        <w:rPr>
          <w:sz w:val="20"/>
          <w:szCs w:val="20"/>
          <w:color w:val="auto"/>
        </w:rPr>
      </w:pPr>
      <w:r>
        <w:rPr>
          <w:rFonts w:ascii="Courier New" w:cs="Courier New" w:eastAsia="Courier New" w:hAnsi="Courier New"/>
          <w:sz w:val="15"/>
          <w:szCs w:val="15"/>
          <w:color w:val="auto"/>
        </w:rPr>
        <w:t>Secretary of the Commonwealth</w:t>
      </w:r>
    </w:p>
    <w:p>
      <w:pPr>
        <w:spacing w:after="0" w:line="3" w:lineRule="exact"/>
        <w:rPr>
          <w:sz w:val="20"/>
          <w:szCs w:val="20"/>
          <w:color w:val="auto"/>
        </w:rPr>
      </w:pPr>
    </w:p>
    <w:p>
      <w:pPr>
        <w:jc w:val="center"/>
        <w:ind w:right="2752"/>
        <w:spacing w:after="0"/>
        <w:rPr>
          <w:sz w:val="20"/>
          <w:szCs w:val="20"/>
          <w:color w:val="auto"/>
        </w:rPr>
      </w:pPr>
      <w:r>
        <w:rPr>
          <w:rFonts w:ascii="Courier New" w:cs="Courier New" w:eastAsia="Courier New" w:hAnsi="Courier New"/>
          <w:sz w:val="15"/>
          <w:szCs w:val="15"/>
          <w:color w:val="auto"/>
        </w:rPr>
        <w:t>One Ashburton Place, Boston, Massachusetts 02108-1512</w:t>
      </w:r>
    </w:p>
    <w:p>
      <w:pPr>
        <w:spacing w:after="0" w:line="177"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ARTICLES OF AMENDMENT</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(General laws, Chapter 156B, Section 72)</w:t>
      </w:r>
    </w:p>
    <w:p>
      <w:pPr>
        <w:sectPr>
          <w:pgSz w:w="11900" w:h="16838" w:orient="portrait"/>
          <w:cols w:equalWidth="0" w:num="1">
            <w:col w:w="10227"/>
          </w:cols>
          <w:pgMar w:left="232" w:top="488"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8"/>
        <w:spacing w:after="0" w:line="532" w:lineRule="auto"/>
        <w:rPr>
          <w:sz w:val="20"/>
          <w:szCs w:val="20"/>
          <w:color w:val="auto"/>
        </w:rPr>
      </w:pPr>
      <w:r>
        <w:rPr>
          <w:rFonts w:ascii="Courier New" w:cs="Courier New" w:eastAsia="Courier New" w:hAnsi="Courier New"/>
          <w:sz w:val="14"/>
          <w:szCs w:val="14"/>
          <w:color w:val="auto"/>
        </w:rPr>
        <w:t>We, and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80"/>
        <w:spacing w:after="0"/>
        <w:tabs>
          <w:tab w:leader="none" w:pos="3840" w:val="left"/>
        </w:tabs>
        <w:rPr>
          <w:sz w:val="20"/>
          <w:szCs w:val="20"/>
          <w:color w:val="auto"/>
        </w:rPr>
      </w:pPr>
      <w:r>
        <w:rPr>
          <w:rFonts w:ascii="Courier New" w:cs="Courier New" w:eastAsia="Courier New" w:hAnsi="Courier New"/>
          <w:sz w:val="15"/>
          <w:szCs w:val="15"/>
          <w:color w:val="auto"/>
        </w:rPr>
        <w:t>Thomas G. Auchincloss, Jr.</w:t>
      </w:r>
      <w:r>
        <w:rPr>
          <w:sz w:val="20"/>
          <w:szCs w:val="20"/>
          <w:color w:val="auto"/>
        </w:rPr>
        <w:tab/>
      </w:r>
      <w:r>
        <w:rPr>
          <w:rFonts w:ascii="Courier New" w:cs="Courier New" w:eastAsia="Courier New" w:hAnsi="Courier New"/>
          <w:sz w:val="15"/>
          <w:szCs w:val="15"/>
          <w:color w:val="auto"/>
        </w:rPr>
        <w:t>*&lt;#&gt;President/Vice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tabs>
          <w:tab w:leader="none" w:pos="3840" w:val="left"/>
        </w:tabs>
        <w:rPr>
          <w:sz w:val="20"/>
          <w:szCs w:val="20"/>
          <w:color w:val="auto"/>
        </w:rPr>
      </w:pPr>
      <w:r>
        <w:rPr>
          <w:rFonts w:ascii="Courier New" w:cs="Courier New" w:eastAsia="Courier New" w:hAnsi="Courier New"/>
          <w:sz w:val="15"/>
          <w:szCs w:val="15"/>
          <w:color w:val="auto"/>
        </w:rPr>
        <w:t>Richard H. Aldrich ,</w:t>
      </w:r>
      <w:r>
        <w:rPr>
          <w:sz w:val="20"/>
          <w:szCs w:val="20"/>
          <w:color w:val="auto"/>
        </w:rPr>
        <w:tab/>
      </w:r>
      <w:r>
        <w:rPr>
          <w:rFonts w:ascii="Courier New" w:cs="Courier New" w:eastAsia="Courier New" w:hAnsi="Courier New"/>
          <w:sz w:val="15"/>
          <w:szCs w:val="15"/>
          <w:color w:val="auto"/>
        </w:rPr>
        <w:t>*Clerk/&lt;#&gt;Assistant Clerk,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(Exact name of corporation)</w:t>
      </w:r>
    </w:p>
    <w:p>
      <w:pPr>
        <w:spacing w:after="0" w:line="177" w:lineRule="exact"/>
        <w:rPr>
          <w:sz w:val="20"/>
          <w:szCs w:val="20"/>
          <w:color w:val="auto"/>
        </w:rPr>
      </w:pPr>
    </w:p>
    <w:p>
      <w:pPr>
        <w:sectPr>
          <w:pgSz w:w="11900" w:h="16838" w:orient="portrait"/>
          <w:cols w:equalWidth="0" w:num="2">
            <w:col w:w="268" w:space="100"/>
            <w:col w:w="9859"/>
          </w:cols>
          <w:pgMar w:left="232" w:top="488" w:right="1440"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located at: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130 Waverly Street, Cambridge, Massachusetts 02139-4242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(Street address of corporation in Massachusetts)</w:t>
      </w:r>
    </w:p>
    <w:p>
      <w:pPr>
        <w:spacing w:after="0" w:line="177" w:lineRule="exact"/>
        <w:rPr>
          <w:sz w:val="20"/>
          <w:szCs w:val="20"/>
          <w:color w:val="auto"/>
        </w:rPr>
      </w:pPr>
    </w:p>
    <w:p>
      <w:pPr>
        <w:sectPr>
          <w:pgSz w:w="11900" w:h="16838" w:orient="portrait"/>
          <w:cols w:equalWidth="0" w:num="2">
            <w:col w:w="988" w:space="100"/>
            <w:col w:w="9139"/>
          </w:cols>
          <w:pgMar w:left="232" w:top="488"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certify that these Articles of Amendments affecting articles numbered:</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(number those articles 1, 2, 3, 4, 5, and/or 6 being amended)</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the Articles of Organization were duly adopted at a meeting held on May 8,</w:t>
      </w:r>
    </w:p>
    <w:p>
      <w:pPr>
        <w:spacing w:after="0" w:line="4" w:lineRule="exact"/>
        <w:rPr>
          <w:sz w:val="20"/>
          <w:szCs w:val="20"/>
          <w:color w:val="auto"/>
        </w:rPr>
      </w:pPr>
    </w:p>
    <w:p>
      <w:pPr>
        <w:ind w:left="8" w:right="3019"/>
        <w:spacing w:after="0" w:line="243" w:lineRule="auto"/>
        <w:rPr>
          <w:sz w:val="20"/>
          <w:szCs w:val="20"/>
          <w:color w:val="auto"/>
        </w:rPr>
      </w:pPr>
      <w:r>
        <w:rPr>
          <w:rFonts w:ascii="Courier New" w:cs="Courier New" w:eastAsia="Courier New" w:hAnsi="Courier New"/>
          <w:sz w:val="15"/>
          <w:szCs w:val="15"/>
          <w:color w:val="auto"/>
        </w:rPr>
        <w:t>1997, by vote of: 18,591,245 shares of Common Stock of 24,680,649 shares outstanding.</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(type, class &amp; series if any)</w:t>
      </w:r>
    </w:p>
    <w:p>
      <w:pPr>
        <w:spacing w:after="0" w:line="177" w:lineRule="exact"/>
        <w:rPr>
          <w:sz w:val="20"/>
          <w:szCs w:val="20"/>
          <w:color w:val="auto"/>
        </w:rPr>
      </w:pPr>
    </w:p>
    <w:p>
      <w:pPr>
        <w:ind w:left="988"/>
        <w:spacing w:after="0"/>
        <w:tabs>
          <w:tab w:leader="none" w:pos="3127" w:val="left"/>
          <w:tab w:leader="none" w:pos="4487" w:val="left"/>
        </w:tabs>
        <w:rPr>
          <w:sz w:val="20"/>
          <w:szCs w:val="20"/>
          <w:color w:val="auto"/>
        </w:rPr>
      </w:pPr>
      <w:r>
        <w:rPr>
          <w:rFonts w:ascii="Courier New" w:cs="Courier New" w:eastAsia="Courier New" w:hAnsi="Courier New"/>
          <w:sz w:val="15"/>
          <w:szCs w:val="15"/>
          <w:color w:val="auto"/>
        </w:rPr>
        <w:t>shares of</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4"/>
          <w:szCs w:val="14"/>
          <w:color w:val="auto"/>
        </w:rPr>
        <w:t>shares outstanding and</w:t>
      </w:r>
    </w:p>
    <w:p>
      <w:pPr>
        <w:spacing w:after="0" w:line="3" w:lineRule="exact"/>
        <w:rPr>
          <w:sz w:val="20"/>
          <w:szCs w:val="20"/>
          <w:color w:val="auto"/>
        </w:rPr>
      </w:pPr>
    </w:p>
    <w:p>
      <w:pPr>
        <w:ind w:left="8"/>
        <w:spacing w:after="0"/>
        <w:tabs>
          <w:tab w:leader="none" w:pos="2047" w:val="left"/>
          <w:tab w:leader="none" w:pos="358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(type, class &amp; series if any)</w:t>
      </w:r>
    </w:p>
    <w:p>
      <w:pPr>
        <w:sectPr>
          <w:pgSz w:w="11900" w:h="16838" w:orient="portrait"/>
          <w:cols w:equalWidth="0" w:num="1">
            <w:col w:w="10227"/>
          </w:cols>
          <w:pgMar w:left="232" w:top="488" w:right="1440" w:bottom="1440" w:gutter="0" w:footer="0" w:header="0"/>
          <w:type w:val="continuous"/>
        </w:sectPr>
      </w:pP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shares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080"/>
        <w:spacing w:after="0"/>
        <w:tabs>
          <w:tab w:leader="none" w:pos="2420" w:val="left"/>
        </w:tabs>
        <w:rPr>
          <w:sz w:val="20"/>
          <w:szCs w:val="20"/>
          <w:color w:val="auto"/>
        </w:rPr>
      </w:pP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shares outstanding.</w:t>
      </w:r>
    </w:p>
    <w:p>
      <w:pPr>
        <w:spacing w:after="0" w:line="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2">
            <w:col w:w="1808" w:space="260"/>
            <w:col w:w="8159"/>
          </w:cols>
          <w:pgMar w:left="232" w:top="488" w:right="1440" w:bottom="1440" w:gutter="0" w:footer="0" w:header="0"/>
          <w:type w:val="continuous"/>
        </w:sectPr>
      </w:pPr>
    </w:p>
    <w:p>
      <w:pPr>
        <w:ind w:left="1708"/>
        <w:spacing w:after="0"/>
        <w:rPr>
          <w:sz w:val="20"/>
          <w:szCs w:val="20"/>
          <w:color w:val="auto"/>
        </w:rPr>
      </w:pPr>
      <w:r>
        <w:rPr>
          <w:rFonts w:ascii="Courier New" w:cs="Courier New" w:eastAsia="Courier New" w:hAnsi="Courier New"/>
          <w:sz w:val="15"/>
          <w:szCs w:val="15"/>
          <w:color w:val="auto"/>
        </w:rPr>
        <w:t>(type, class &amp; series if any)</w:t>
      </w:r>
    </w:p>
    <w:p>
      <w:pPr>
        <w:spacing w:after="0" w:line="200" w:lineRule="exact"/>
        <w:rPr>
          <w:sz w:val="20"/>
          <w:szCs w:val="20"/>
          <w:color w:val="auto"/>
        </w:rPr>
      </w:pPr>
    </w:p>
    <w:p>
      <w:pPr>
        <w:spacing w:after="0" w:line="324" w:lineRule="exact"/>
        <w:rPr>
          <w:sz w:val="20"/>
          <w:szCs w:val="20"/>
          <w:color w:val="auto"/>
        </w:rPr>
      </w:pPr>
    </w:p>
    <w:p>
      <w:pPr>
        <w:ind w:left="8" w:right="3559" w:hanging="8"/>
        <w:spacing w:after="0" w:line="244" w:lineRule="auto"/>
        <w:tabs>
          <w:tab w:leader="none" w:pos="27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being at least a majority of each type, class or series outstanding and entitled to vote thereon:/ or 2** &lt;#&gt;being at least two thirds of each &lt;#&gt;type, class or series outstanding and entitled to vote thereon and of &lt;#&gt;each type, class or series of stock whose rights are adversely affected &lt;#&gt;thereby:</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5"/>
                <w:szCs w:val="15"/>
                <w:color w:val="auto"/>
              </w:rPr>
              <w:t>(see</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page 2)</w:t>
            </w:r>
          </w:p>
        </w:tc>
      </w:tr>
      <w:tr>
        <w:trPr>
          <w:trHeight w:val="347"/>
        </w:trPr>
        <w:tc>
          <w:tcPr>
            <w:tcW w:w="2740" w:type="dxa"/>
            <w:vAlign w:val="bottom"/>
          </w:tcPr>
          <w:p>
            <w:pPr>
              <w:spacing w:after="0"/>
              <w:rPr>
                <w:sz w:val="20"/>
                <w:szCs w:val="20"/>
                <w:color w:val="auto"/>
              </w:rPr>
            </w:pPr>
            <w:r>
              <w:rPr>
                <w:rFonts w:ascii="Courier New" w:cs="Courier New" w:eastAsia="Courier New" w:hAnsi="Courier New"/>
                <w:sz w:val="15"/>
                <w:szCs w:val="15"/>
                <w:color w:val="auto"/>
              </w:rPr>
              <w:t>*Delete the inapplicable words</w:t>
            </w:r>
          </w:p>
        </w:tc>
        <w:tc>
          <w:tcPr>
            <w:tcW w:w="640" w:type="dxa"/>
            <w:vAlign w:val="bottom"/>
          </w:tcPr>
          <w:p>
            <w:pPr>
              <w:spacing w:after="0"/>
              <w:rPr>
                <w:sz w:val="24"/>
                <w:szCs w:val="24"/>
                <w:color w:val="auto"/>
              </w:rPr>
            </w:pPr>
          </w:p>
        </w:tc>
        <w:tc>
          <w:tcPr>
            <w:tcW w:w="3560" w:type="dxa"/>
            <w:vAlign w:val="bottom"/>
          </w:tcPr>
          <w:p>
            <w:pPr>
              <w:ind w:left="220"/>
              <w:spacing w:after="0"/>
              <w:rPr>
                <w:sz w:val="20"/>
                <w:szCs w:val="20"/>
                <w:color w:val="auto"/>
              </w:rPr>
            </w:pPr>
            <w:r>
              <w:rPr>
                <w:rFonts w:ascii="Courier New" w:cs="Courier New" w:eastAsia="Courier New" w:hAnsi="Courier New"/>
                <w:sz w:val="15"/>
                <w:szCs w:val="15"/>
                <w:color w:val="auto"/>
              </w:rPr>
              <w:t>**Delete the inapplicable clause.</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(1)For amendments adopted pursuant to</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Chapter 156B, Section 70. (2)For</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amendments adopted pursuant to</w:t>
            </w:r>
          </w:p>
        </w:tc>
        <w:tc>
          <w:tcPr>
            <w:tcW w:w="4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Chapter 156B, Section 71. Note: if the space</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provided under any article or item on</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this form is insufficient, additions</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shall be set forth on one side</w:t>
            </w:r>
          </w:p>
        </w:tc>
        <w:tc>
          <w:tcPr>
            <w:tcW w:w="4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only of separate 8-1/2 x 11 sheets of paper</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with a left margin of at least</w:t>
            </w:r>
          </w:p>
        </w:tc>
        <w:tc>
          <w:tcPr>
            <w:tcW w:w="4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 inch.  Additions to more than one article</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may be made on a single sheet so long</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w w:val="99"/>
              </w:rPr>
              <w:t>as each article requiring each addition</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is clearly indicated.</w:t>
            </w:r>
          </w:p>
        </w:tc>
        <w:tc>
          <w:tcPr>
            <w:tcW w:w="640" w:type="dxa"/>
            <w:vAlign w:val="bottom"/>
          </w:tcPr>
          <w:p>
            <w:pPr>
              <w:spacing w:after="0"/>
              <w:rPr>
                <w:sz w:val="15"/>
                <w:szCs w:val="15"/>
                <w:color w:val="auto"/>
              </w:rPr>
            </w:pPr>
          </w:p>
        </w:tc>
        <w:tc>
          <w:tcPr>
            <w:tcW w:w="3560" w:type="dxa"/>
            <w:vAlign w:val="bottom"/>
          </w:tcPr>
          <w:p>
            <w:pPr>
              <w:spacing w:after="0"/>
              <w:rPr>
                <w:sz w:val="15"/>
                <w:szCs w:val="15"/>
                <w:color w:val="auto"/>
              </w:rPr>
            </w:pPr>
          </w:p>
        </w:tc>
      </w:tr>
    </w:tbl>
    <w:p>
      <w:pPr>
        <w:sectPr>
          <w:pgSz w:w="11900" w:h="16838" w:orient="portrait"/>
          <w:cols w:equalWidth="0" w:num="1">
            <w:col w:w="10227"/>
          </w:cols>
          <w:pgMar w:left="232" w:top="488" w:right="1440" w:bottom="1440" w:gutter="0" w:footer="0" w:header="0"/>
          <w:type w:val="continuous"/>
        </w:sectPr>
      </w:pPr>
    </w:p>
    <w:bookmarkStart w:id="71" w:name="page72"/>
    <w:bookmarkEnd w:id="71"/>
    <w:p>
      <w:pPr>
        <w:ind w:right="3099"/>
        <w:spacing w:after="0" w:line="244" w:lineRule="auto"/>
        <w:rPr>
          <w:sz w:val="20"/>
          <w:szCs w:val="20"/>
          <w:color w:val="auto"/>
        </w:rPr>
      </w:pPr>
      <w:r>
        <w:rPr>
          <w:rFonts w:ascii="Courier New" w:cs="Courier New" w:eastAsia="Courier New" w:hAnsi="Courier New"/>
          <w:sz w:val="15"/>
          <w:szCs w:val="15"/>
          <w:color w:val="auto"/>
        </w:rPr>
        <w:t>To change the number of shares and the par value (if any) of any type, class or series of stock which the corporation is authorized to issue, fill in the following: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WITHOUT PAR VALUE</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STOCKS</w:t>
            </w:r>
          </w:p>
        </w:tc>
        <w:tc>
          <w:tcPr>
            <w:tcW w:w="1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WITH</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w w:val="98"/>
              </w:rPr>
              <w:t>PAR VALUE STOCKS</w:t>
            </w:r>
          </w:p>
        </w:tc>
        <w:tc>
          <w:tcPr>
            <w:tcW w:w="900" w:type="dxa"/>
            <w:vAlign w:val="bottom"/>
          </w:tcPr>
          <w:p>
            <w:pPr>
              <w:spacing w:after="0"/>
              <w:rPr>
                <w:sz w:val="14"/>
                <w:szCs w:val="14"/>
                <w:color w:val="auto"/>
              </w:rPr>
            </w:pPr>
          </w:p>
        </w:tc>
      </w:tr>
      <w:tr>
        <w:trPr>
          <w:trHeight w:val="520"/>
        </w:trPr>
        <w:tc>
          <w:tcPr>
            <w:tcW w:w="1020" w:type="dxa"/>
            <w:vAlign w:val="bottom"/>
          </w:tcPr>
          <w:p>
            <w:pPr>
              <w:spacing w:after="0"/>
              <w:rPr>
                <w:sz w:val="20"/>
                <w:szCs w:val="20"/>
                <w:color w:val="auto"/>
              </w:rPr>
            </w:pPr>
            <w:r>
              <w:rPr>
                <w:rFonts w:ascii="Courier New" w:cs="Courier New" w:eastAsia="Courier New" w:hAnsi="Courier New"/>
                <w:sz w:val="15"/>
                <w:szCs w:val="15"/>
                <w:color w:val="auto"/>
              </w:rPr>
              <w:t>TYPE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OF SHARES</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TYPE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OF SHARES</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PAR VALUE</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220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50,000,000</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$.01______</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Preferred:</w:t>
            </w:r>
          </w:p>
        </w:tc>
        <w:tc>
          <w:tcPr>
            <w:tcW w:w="220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1,000,000</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$.01______</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the total authorized to: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WITHOUT PAR VALUE</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STOCKS</w:t>
            </w:r>
          </w:p>
        </w:tc>
        <w:tc>
          <w:tcPr>
            <w:tcW w:w="1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WITH</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w w:val="98"/>
              </w:rPr>
              <w:t>PAR VALUE STOCKS</w:t>
            </w:r>
          </w:p>
        </w:tc>
        <w:tc>
          <w:tcPr>
            <w:tcW w:w="900" w:type="dxa"/>
            <w:vAlign w:val="bottom"/>
          </w:tcPr>
          <w:p>
            <w:pPr>
              <w:spacing w:after="0"/>
              <w:rPr>
                <w:sz w:val="14"/>
                <w:szCs w:val="14"/>
                <w:color w:val="auto"/>
              </w:rPr>
            </w:pPr>
          </w:p>
        </w:tc>
      </w:tr>
      <w:tr>
        <w:trPr>
          <w:trHeight w:val="520"/>
        </w:trPr>
        <w:tc>
          <w:tcPr>
            <w:tcW w:w="1020" w:type="dxa"/>
            <w:vAlign w:val="bottom"/>
          </w:tcPr>
          <w:p>
            <w:pPr>
              <w:spacing w:after="0"/>
              <w:rPr>
                <w:sz w:val="20"/>
                <w:szCs w:val="20"/>
                <w:color w:val="auto"/>
              </w:rPr>
            </w:pPr>
            <w:r>
              <w:rPr>
                <w:rFonts w:ascii="Courier New" w:cs="Courier New" w:eastAsia="Courier New" w:hAnsi="Courier New"/>
                <w:sz w:val="15"/>
                <w:szCs w:val="15"/>
                <w:color w:val="auto"/>
              </w:rPr>
              <w:t>TYPE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OF SHARES</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TYPE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OF SHARES</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PAR VALUE</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22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100,000,000</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$.01______</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Preferred:</w:t>
            </w:r>
          </w:p>
        </w:tc>
        <w:tc>
          <w:tcPr>
            <w:tcW w:w="22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1,000,000</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$.01______</w:t>
            </w:r>
          </w:p>
        </w:tc>
      </w:tr>
    </w:tbl>
    <w:p>
      <w:pPr>
        <w:spacing w:after="0" w:line="200" w:lineRule="exact"/>
        <w:rPr>
          <w:sz w:val="20"/>
          <w:szCs w:val="20"/>
          <w:color w:val="auto"/>
        </w:rPr>
      </w:pPr>
    </w:p>
    <w:p>
      <w:pPr>
        <w:spacing w:after="0" w:line="324" w:lineRule="exact"/>
        <w:rPr>
          <w:sz w:val="20"/>
          <w:szCs w:val="20"/>
          <w:color w:val="auto"/>
        </w:rPr>
      </w:pPr>
    </w:p>
    <w:p>
      <w:pPr>
        <w:ind w:left="900" w:right="3199" w:hanging="899"/>
        <w:spacing w:after="0" w:line="244" w:lineRule="auto"/>
        <w:tabs>
          <w:tab w:leader="none" w:pos="880" w:val="left"/>
        </w:tabs>
        <w:rPr>
          <w:sz w:val="20"/>
          <w:szCs w:val="20"/>
          <w:color w:val="auto"/>
        </w:rPr>
      </w:pPr>
      <w:r>
        <w:rPr>
          <w:rFonts w:ascii="Courier New" w:cs="Courier New" w:eastAsia="Courier New" w:hAnsi="Courier New"/>
          <w:sz w:val="15"/>
          <w:szCs w:val="15"/>
          <w:color w:val="auto"/>
        </w:rPr>
        <w:t>VOTED:</w:t>
      </w:r>
      <w:r>
        <w:rPr>
          <w:sz w:val="20"/>
          <w:szCs w:val="20"/>
          <w:color w:val="auto"/>
        </w:rPr>
        <w:tab/>
      </w:r>
      <w:r>
        <w:rPr>
          <w:rFonts w:ascii="Courier New" w:cs="Courier New" w:eastAsia="Courier New" w:hAnsi="Courier New"/>
          <w:sz w:val="15"/>
          <w:szCs w:val="15"/>
          <w:color w:val="auto"/>
        </w:rPr>
        <w:t>To increase the number of shares of Common Stock, $.01 par value per share that the Corporation shall have authority to issue from 50,000,000 shares to 100,000,000 shares; and that Article 3 of the Corporation's Restated Articles of Organization be, and hereby is, amended to read as follows:</w:t>
      </w:r>
    </w:p>
    <w:p>
      <w:pPr>
        <w:spacing w:after="0" w:line="177" w:lineRule="exact"/>
        <w:rPr>
          <w:sz w:val="20"/>
          <w:szCs w:val="20"/>
          <w:color w:val="auto"/>
        </w:rPr>
      </w:pPr>
    </w:p>
    <w:p>
      <w:pPr>
        <w:ind w:left="900" w:right="3019" w:hanging="637"/>
        <w:spacing w:after="0" w:line="267" w:lineRule="auto"/>
        <w:tabs>
          <w:tab w:leader="none" w:pos="9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and the par value, if any, of each class of stock which the Corporation shall be authorized to issue is as follows: 1,000,000 shares of Preferred Stock, $.01 par value per share and 100,000,000 shares of Common Stock, $.01 par value per share.</w:t>
      </w:r>
    </w:p>
    <w:p>
      <w:pPr>
        <w:sectPr>
          <w:pgSz w:w="11900" w:h="16838" w:orient="portrait"/>
          <w:cols w:equalWidth="0" w:num="1">
            <w:col w:w="10219"/>
          </w:cols>
          <w:pgMar w:left="240" w:top="638" w:right="1440"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 w:right="3199"/>
        <w:spacing w:after="0" w:line="266" w:lineRule="auto"/>
        <w:rPr>
          <w:sz w:val="20"/>
          <w:szCs w:val="20"/>
          <w:color w:val="auto"/>
        </w:rPr>
      </w:pPr>
      <w:r>
        <w:rPr>
          <w:rFonts w:ascii="Courier New" w:cs="Courier New" w:eastAsia="Courier New" w:hAnsi="Courier New"/>
          <w:sz w:val="14"/>
          <w:szCs w:val="14"/>
          <w:color w:val="auto"/>
        </w:rPr>
        <w:t>The foregoing amendment(s) will become effective when these Articles of Amendment are filed in accordance with General Laws, Chapter 156B, Section 6 unless these articles specify, in accordance with the vote adopting the amendment, a later effective date not more than thirty days after such filing, in which event the amendment will become effective on such later date.</w:t>
      </w:r>
    </w:p>
    <w:p>
      <w:pPr>
        <w:spacing w:after="0" w:line="1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Later effective date: _______________________</w:t>
      </w:r>
    </w:p>
    <w:p>
      <w:pPr>
        <w:spacing w:after="0" w:line="177" w:lineRule="exact"/>
        <w:rPr>
          <w:sz w:val="20"/>
          <w:szCs w:val="20"/>
          <w:color w:val="auto"/>
        </w:rPr>
      </w:pPr>
    </w:p>
    <w:p>
      <w:pPr>
        <w:ind w:left="8"/>
        <w:spacing w:after="0"/>
        <w:tabs>
          <w:tab w:leader="none" w:pos="4487" w:val="left"/>
          <w:tab w:leader="none" w:pos="5667" w:val="left"/>
        </w:tabs>
        <w:rPr>
          <w:sz w:val="20"/>
          <w:szCs w:val="20"/>
          <w:color w:val="auto"/>
        </w:rPr>
      </w:pPr>
      <w:r>
        <w:rPr>
          <w:rFonts w:ascii="Courier New" w:cs="Courier New" w:eastAsia="Courier New" w:hAnsi="Courier New"/>
          <w:sz w:val="15"/>
          <w:szCs w:val="15"/>
          <w:color w:val="auto"/>
        </w:rPr>
        <w:t>SIGNED UNDER THE PENALTIES OF PERJURY, this 30th</w:t>
        <w:tab/>
        <w:t>day of May</w:t>
      </w:r>
      <w:r>
        <w:rPr>
          <w:sz w:val="20"/>
          <w:szCs w:val="20"/>
          <w:color w:val="auto"/>
        </w:rPr>
        <w:tab/>
      </w:r>
      <w:r>
        <w:rPr>
          <w:rFonts w:ascii="Courier New" w:cs="Courier New" w:eastAsia="Courier New" w:hAnsi="Courier New"/>
          <w:sz w:val="14"/>
          <w:szCs w:val="14"/>
          <w:color w:val="auto"/>
        </w:rPr>
        <w:t>, 1997.</w:t>
      </w:r>
    </w:p>
    <w:p>
      <w:pPr>
        <w:spacing w:after="0" w:line="177" w:lineRule="exact"/>
        <w:rPr>
          <w:sz w:val="20"/>
          <w:szCs w:val="20"/>
          <w:color w:val="auto"/>
        </w:rPr>
      </w:pPr>
    </w:p>
    <w:p>
      <w:pPr>
        <w:ind w:left="88"/>
        <w:spacing w:after="0"/>
        <w:tabs>
          <w:tab w:leader="none" w:pos="3127"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 *&lt;#&gt;President/ *Vice President,</w:t>
      </w:r>
    </w:p>
    <w:p>
      <w:pPr>
        <w:spacing w:after="0" w:line="3" w:lineRule="exact"/>
        <w:rPr>
          <w:sz w:val="20"/>
          <w:szCs w:val="20"/>
          <w:color w:val="auto"/>
        </w:rPr>
      </w:pPr>
    </w:p>
    <w:p>
      <w:pPr>
        <w:ind w:left="188" w:hanging="188"/>
        <w:spacing w:after="0"/>
        <w:tabs>
          <w:tab w:leader="none" w:pos="18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G. Auchincloss, Jr.</w:t>
      </w:r>
    </w:p>
    <w:p>
      <w:pPr>
        <w:spacing w:after="0" w:line="177"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*Clerk/ *&lt;#&gt;Assistant Clerk</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Richard H. Aldrich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*Delete the inapplicable words.</w:t>
      </w:r>
    </w:p>
    <w:p>
      <w:pPr>
        <w:sectPr>
          <w:pgSz w:w="11900" w:h="16838" w:orient="portrait"/>
          <w:cols w:equalWidth="0" w:num="1">
            <w:col w:w="10227"/>
          </w:cols>
          <w:pgMar w:left="232" w:top="1440" w:right="1440" w:bottom="1440" w:gutter="0" w:footer="0" w:header="0"/>
        </w:sectPr>
      </w:pPr>
    </w:p>
    <w:bookmarkStart w:id="73" w:name="page74"/>
    <w:bookmarkEnd w:id="73"/>
    <w:p>
      <w:pPr>
        <w:jc w:val="center"/>
        <w:ind w:right="2732"/>
        <w:spacing w:after="0"/>
        <w:rPr>
          <w:sz w:val="20"/>
          <w:szCs w:val="20"/>
          <w:color w:val="auto"/>
        </w:rPr>
      </w:pPr>
      <w:r>
        <w:rPr>
          <w:rFonts w:ascii="Courier New" w:cs="Courier New" w:eastAsia="Courier New" w:hAnsi="Courier New"/>
          <w:sz w:val="15"/>
          <w:szCs w:val="15"/>
          <w:color w:val="auto"/>
        </w:rPr>
        <w:t>THE COMMONWEALTH OF MASSACHUSETTS</w:t>
      </w:r>
    </w:p>
    <w:p>
      <w:pPr>
        <w:spacing w:after="0" w:line="177"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ARTICLES OF AMENDMENT</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(General Laws, Chapter 156B, Section 72)</w:t>
      </w:r>
    </w:p>
    <w:p>
      <w:pPr>
        <w:spacing w:after="0" w:line="177" w:lineRule="exact"/>
        <w:rPr>
          <w:sz w:val="20"/>
          <w:szCs w:val="20"/>
          <w:color w:val="auto"/>
        </w:rPr>
      </w:pPr>
    </w:p>
    <w:p>
      <w:pPr>
        <w:ind w:left="188" w:hanging="188"/>
        <w:spacing w:after="0"/>
        <w:tabs>
          <w:tab w:leader="none" w:pos="18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I hereby approve the within Articles of Amendment, and the filing fee in the amount of $50,000 having been paid, said article is deemed to have been filed with me this 4th day of June, 1997.</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Effective date: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88"/>
        <w:spacing w:after="0"/>
        <w:rPr>
          <w:sz w:val="20"/>
          <w:szCs w:val="20"/>
          <w:color w:val="auto"/>
        </w:rPr>
      </w:pPr>
      <w:r>
        <w:rPr>
          <w:rFonts w:ascii="Courier New" w:cs="Courier New" w:eastAsia="Courier New" w:hAnsi="Courier New"/>
          <w:sz w:val="15"/>
          <w:szCs w:val="15"/>
          <w:color w:val="auto"/>
        </w:rPr>
        <w:t>/S</w:t>
      </w:r>
    </w:p>
    <w:p>
      <w:pPr>
        <w:spacing w:after="0" w:line="350"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WILLIAM FRANCIS GALVIN</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Secretary of the Commonwealth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652"/>
        <w:spacing w:after="0"/>
        <w:rPr>
          <w:sz w:val="20"/>
          <w:szCs w:val="20"/>
          <w:color w:val="auto"/>
        </w:rPr>
      </w:pPr>
      <w:r>
        <w:rPr>
          <w:rFonts w:ascii="Courier New" w:cs="Courier New" w:eastAsia="Courier New" w:hAnsi="Courier New"/>
          <w:sz w:val="15"/>
          <w:szCs w:val="15"/>
          <w:color w:val="auto"/>
        </w:rPr>
        <w:t>TO BE FILLED IN BY CORPORATION</w:t>
      </w:r>
    </w:p>
    <w:p>
      <w:pPr>
        <w:spacing w:after="0" w:line="3" w:lineRule="exact"/>
        <w:rPr>
          <w:sz w:val="20"/>
          <w:szCs w:val="20"/>
          <w:color w:val="auto"/>
        </w:rPr>
      </w:pPr>
    </w:p>
    <w:p>
      <w:pPr>
        <w:jc w:val="center"/>
        <w:ind w:right="2652"/>
        <w:spacing w:after="0"/>
        <w:rPr>
          <w:sz w:val="20"/>
          <w:szCs w:val="20"/>
          <w:color w:val="auto"/>
        </w:rPr>
      </w:pPr>
      <w:r>
        <w:rPr>
          <w:rFonts w:ascii="Courier New" w:cs="Courier New" w:eastAsia="Courier New" w:hAnsi="Courier New"/>
          <w:sz w:val="15"/>
          <w:szCs w:val="15"/>
          <w:color w:val="auto"/>
        </w:rPr>
        <w:t>Photocopy of document to be sent to:</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Sarah P. Cecil</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130 Waverly Street</w:t>
      </w:r>
    </w:p>
    <w:p>
      <w:pPr>
        <w:spacing w:after="0" w:line="3" w:lineRule="exact"/>
        <w:rPr>
          <w:sz w:val="20"/>
          <w:szCs w:val="20"/>
          <w:color w:val="auto"/>
        </w:rPr>
      </w:pPr>
    </w:p>
    <w:p>
      <w:pPr>
        <w:ind w:left="2428"/>
        <w:spacing w:after="0"/>
        <w:tabs>
          <w:tab w:leader="none" w:pos="3767" w:val="left"/>
        </w:tabs>
        <w:rPr>
          <w:sz w:val="20"/>
          <w:szCs w:val="20"/>
          <w:color w:val="auto"/>
        </w:rPr>
      </w:pPr>
      <w:r>
        <w:rPr>
          <w:rFonts w:ascii="Courier New" w:cs="Courier New" w:eastAsia="Courier New" w:hAnsi="Courier New"/>
          <w:sz w:val="15"/>
          <w:szCs w:val="15"/>
          <w:color w:val="auto"/>
        </w:rPr>
        <w:t>Cambridge, MA</w:t>
      </w:r>
      <w:r>
        <w:rPr>
          <w:sz w:val="20"/>
          <w:szCs w:val="20"/>
          <w:color w:val="auto"/>
        </w:rPr>
        <w:tab/>
      </w:r>
      <w:r>
        <w:rPr>
          <w:rFonts w:ascii="Courier New" w:cs="Courier New" w:eastAsia="Courier New" w:hAnsi="Courier New"/>
          <w:sz w:val="14"/>
          <w:szCs w:val="14"/>
          <w:color w:val="auto"/>
        </w:rPr>
        <w:t>02139-4242</w:t>
      </w:r>
    </w:p>
    <w:p>
      <w:pPr>
        <w:sectPr>
          <w:pgSz w:w="11900" w:h="16838" w:orient="portrait"/>
          <w:cols w:equalWidth="0" w:num="1">
            <w:col w:w="10227"/>
          </w:cols>
          <w:pgMar w:left="232" w:top="638" w:right="1440" w:bottom="1440" w:gutter="0" w:footer="0" w:header="0"/>
        </w:sectPr>
      </w:pPr>
    </w:p>
    <w:bookmarkStart w:id="74" w:name="page75"/>
    <w:bookmarkEnd w:id="74"/>
    <w:p>
      <w:pPr>
        <w:jc w:val="right"/>
        <w:ind w:right="3019"/>
        <w:spacing w:after="0"/>
        <w:rPr>
          <w:sz w:val="20"/>
          <w:szCs w:val="20"/>
          <w:color w:val="auto"/>
        </w:rPr>
      </w:pPr>
      <w:r>
        <w:rPr>
          <w:rFonts w:ascii="Courier New" w:cs="Courier New" w:eastAsia="Courier New" w:hAnsi="Courier New"/>
          <w:sz w:val="15"/>
          <w:szCs w:val="15"/>
          <w:color w:val="auto"/>
        </w:rPr>
        <w:t>EXHIBIT 3.3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CD-26-5M-8-83</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Federal Identification</w:t>
      </w:r>
    </w:p>
    <w:p>
      <w:pPr>
        <w:spacing w:after="0" w:line="3" w:lineRule="exact"/>
        <w:rPr>
          <w:sz w:val="20"/>
          <w:szCs w:val="20"/>
          <w:color w:val="auto"/>
        </w:rPr>
      </w:pPr>
    </w:p>
    <w:p>
      <w:pPr>
        <w:jc w:val="right"/>
        <w:ind w:right="3019"/>
        <w:spacing w:after="0"/>
        <w:tabs>
          <w:tab w:leader="none" w:pos="88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4"/>
          <w:szCs w:val="14"/>
          <w:color w:val="auto"/>
        </w:rPr>
        <w:t>04-3039129</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The Commonwealth of Massachusetts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OFFICE OF THE MASSACHUSETTS SECRETARY OF STATE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MICHAEL JOSEPH CONNOLLY, SECRETARY</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ONE ASHBURTON PLACE, BOSTON, MASS. 02108</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CERTIFICATE OF VOTE OF DIRECTORS ESTABLISHING</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 SERIES OF A CLASS OF STOCK</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General Laws, Chapter 156B, Section 26</w:t>
      </w:r>
    </w:p>
    <w:p>
      <w:pPr>
        <w:sectPr>
          <w:pgSz w:w="11900" w:h="16838" w:orient="portrait"/>
          <w:cols w:equalWidth="0" w:num="1">
            <w:col w:w="10219"/>
          </w:cols>
          <w:pgMar w:left="240" w:top="314"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280"/>
        <w:spacing w:after="0" w:line="278" w:lineRule="auto"/>
        <w:rPr>
          <w:sz w:val="20"/>
          <w:szCs w:val="20"/>
          <w:color w:val="auto"/>
        </w:rPr>
      </w:pPr>
      <w:r>
        <w:rPr>
          <w:rFonts w:ascii="Courier New" w:cs="Courier New" w:eastAsia="Courier New" w:hAnsi="Courier New"/>
          <w:sz w:val="14"/>
          <w:szCs w:val="14"/>
          <w:color w:val="auto"/>
        </w:rPr>
        <w:t>Joshua Boger, Richard H. Aldrich,</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Clerk</w:t>
        <w:tab/>
        <w:t>of</w:t>
      </w:r>
    </w:p>
    <w:p>
      <w:pPr>
        <w:spacing w:after="0" w:line="176" w:lineRule="exact"/>
        <w:rPr>
          <w:sz w:val="20"/>
          <w:szCs w:val="20"/>
          <w:color w:val="auto"/>
        </w:rPr>
      </w:pPr>
    </w:p>
    <w:p>
      <w:pPr>
        <w:sectPr>
          <w:pgSz w:w="11900" w:h="16838" w:orient="portrait"/>
          <w:cols w:equalWidth="0" w:num="3">
            <w:col w:w="260" w:space="280"/>
            <w:col w:w="1980" w:space="720"/>
            <w:col w:w="6979"/>
          </w:cols>
          <w:pgMar w:left="240" w:top="314"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(Name of Corporation)</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located at 40 Allston Street, Cambridge, Massachusetts 02139 do hereby certify that by unanimous written consent of the Board of Directors as of July 1, 1991, the following vote establishing and designating a series of class of stock and determining the relative rights and preferences thereof was duly adopted.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attached.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Note: Votes for which the space provided above is not sufficient should be set out on continuation sheets to be numbered 2A, 2B etc. Continuation sheets must have a left-hand margin 1 inch wide for binding and shall be 8 1/2" x 11". Only one side should be used.</w:t>
      </w:r>
    </w:p>
    <w:p>
      <w:pPr>
        <w:sectPr>
          <w:pgSz w:w="11900" w:h="16838" w:orient="portrait"/>
          <w:cols w:equalWidth="0" w:num="1">
            <w:col w:w="10219"/>
          </w:cols>
          <w:pgMar w:left="240" w:top="314" w:right="1440" w:bottom="1440" w:gutter="0" w:footer="0" w:header="0"/>
          <w:type w:val="continuous"/>
        </w:sectPr>
      </w:pPr>
    </w:p>
    <w:bookmarkStart w:id="75" w:name="page76"/>
    <w:bookmarkEnd w:id="75"/>
    <w:p>
      <w:pPr>
        <w:ind w:right="3279" w:firstLine="271"/>
        <w:spacing w:after="0" w:line="244" w:lineRule="auto"/>
        <w:rPr>
          <w:sz w:val="20"/>
          <w:szCs w:val="20"/>
          <w:color w:val="auto"/>
        </w:rPr>
      </w:pPr>
      <w:r>
        <w:rPr>
          <w:rFonts w:ascii="Courier New" w:cs="Courier New" w:eastAsia="Courier New" w:hAnsi="Courier New"/>
          <w:sz w:val="15"/>
          <w:szCs w:val="15"/>
          <w:color w:val="auto"/>
        </w:rPr>
        <w:t>VOTED, that pursuant to the authority granted to and vested in the Board of Directors of this Corporation (hereinafter called the "Board of Directors" or the "Board") by the provisions of the Restated Articles of Organization of the Corporation approved by the Board on May 23, 1991 and approved by the stockholders of the Corporation on May 24, 1991, the Board of Directors hereby establishes a series of Preferred Stock (the "Preferred Stock") of Restated Articles of Organization with the Secretary of the Commonwealth of Massachusetts, and hereby states the designation and number of shares, and prescribes the relative rights and preferences thereof as follows:</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Series A Junior Participating Preferred Stock:</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Section 1. Designation and Amount. The shares of such series shall be designated as "Series A Junior Participating Preferred Stock" (the "Series A Preferred Stock") and the number of shares constituting the Series A Preferred Stock shall be 250,000. Such number of shares may be increased or decreased by resolution of the Board of Directors; provided, that no decrease shall reduce the number of shares of Series A Preferred Stock to a number less than the number of shares then outstanding plus the number of shares reserved for issuance upon the exercise of outstanding options, rights or warrants, or the conversion of any outstanding securities, issued by the Corporation exercisable for or convertible into Series A Preferred Stock.</w:t>
      </w:r>
    </w:p>
    <w:p>
      <w:pPr>
        <w:spacing w:after="0" w:line="179" w:lineRule="exact"/>
        <w:rPr>
          <w:sz w:val="20"/>
          <w:szCs w:val="20"/>
          <w:color w:val="auto"/>
        </w:rPr>
      </w:pPr>
    </w:p>
    <w:p>
      <w:pPr>
        <w:ind w:left="260"/>
        <w:spacing w:after="0"/>
        <w:tabs>
          <w:tab w:leader="none" w:pos="132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Dividends and Distributions.</w:t>
      </w:r>
    </w:p>
    <w:p>
      <w:pPr>
        <w:spacing w:after="0" w:line="178" w:lineRule="exact"/>
        <w:rPr>
          <w:sz w:val="20"/>
          <w:szCs w:val="20"/>
          <w:color w:val="auto"/>
        </w:rPr>
      </w:pPr>
    </w:p>
    <w:p>
      <w:pPr>
        <w:ind w:right="3279" w:firstLine="894"/>
        <w:spacing w:after="0" w:line="244" w:lineRule="auto"/>
        <w:tabs>
          <w:tab w:leader="none" w:pos="135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$.01 per share (the "Common Stock"), of the Corporation,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 or (b) subject to the provisions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w:t>
      </w:r>
    </w:p>
    <w:p>
      <w:pPr>
        <w:spacing w:after="0" w:line="35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Continuation Sheet 2A</w:t>
      </w:r>
    </w:p>
    <w:p>
      <w:pPr>
        <w:sectPr>
          <w:pgSz w:w="11900" w:h="16838" w:orient="portrait"/>
          <w:cols w:equalWidth="0" w:num="1">
            <w:col w:w="10219"/>
          </w:cols>
          <w:pgMar w:left="240" w:top="812" w:right="1440" w:bottom="1440" w:gutter="0" w:footer="0" w:header="0"/>
        </w:sectPr>
      </w:pPr>
    </w:p>
    <w:bookmarkStart w:id="76" w:name="page77"/>
    <w:bookmarkEnd w:id="76"/>
    <w:p>
      <w:pPr>
        <w:ind w:right="3019"/>
        <w:spacing w:after="0" w:line="263" w:lineRule="auto"/>
        <w:rPr>
          <w:sz w:val="20"/>
          <w:szCs w:val="20"/>
          <w:color w:val="auto"/>
        </w:rPr>
      </w:pPr>
      <w:r>
        <w:rPr>
          <w:rFonts w:ascii="Courier New" w:cs="Courier New" w:eastAsia="Courier New" w:hAnsi="Courier New"/>
          <w:sz w:val="14"/>
          <w:szCs w:val="14"/>
          <w:color w:val="auto"/>
        </w:rPr>
        <w:t>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8" w:lineRule="exact"/>
        <w:rPr>
          <w:sz w:val="20"/>
          <w:szCs w:val="20"/>
          <w:color w:val="auto"/>
        </w:rPr>
      </w:pPr>
    </w:p>
    <w:p>
      <w:pPr>
        <w:ind w:right="3279" w:firstLine="894"/>
        <w:spacing w:after="0" w:line="244" w:lineRule="auto"/>
        <w:tabs>
          <w:tab w:leader="none" w:pos="126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 per share on the Series A Preferred Stock shall nevertheless be payable on such subsequent Quarterly Dividend Payment Date.</w:t>
      </w:r>
    </w:p>
    <w:p>
      <w:pPr>
        <w:spacing w:after="0" w:line="179" w:lineRule="exact"/>
        <w:rPr>
          <w:rFonts w:ascii="Courier New" w:cs="Courier New" w:eastAsia="Courier New" w:hAnsi="Courier New"/>
          <w:sz w:val="15"/>
          <w:szCs w:val="15"/>
          <w:color w:val="auto"/>
        </w:rPr>
      </w:pPr>
    </w:p>
    <w:p>
      <w:pPr>
        <w:ind w:right="3279" w:firstLine="894"/>
        <w:spacing w:after="0" w:line="244" w:lineRule="auto"/>
        <w:tabs>
          <w:tab w:leader="none" w:pos="126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w:t>
      </w:r>
    </w:p>
    <w:p>
      <w:pPr>
        <w:spacing w:after="0" w:line="35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Continuation Sheet 2B</w:t>
      </w:r>
    </w:p>
    <w:p>
      <w:pPr>
        <w:sectPr>
          <w:pgSz w:w="11900" w:h="16838" w:orient="portrait"/>
          <w:cols w:equalWidth="0" w:num="1">
            <w:col w:w="10219"/>
          </w:cols>
          <w:pgMar w:left="240" w:top="812"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not more than 60 days prior to the date fixed for the payment thereof.</w:t>
      </w:r>
    </w:p>
    <w:p>
      <w:pPr>
        <w:spacing w:after="0" w:line="178" w:lineRule="exact"/>
        <w:rPr>
          <w:sz w:val="20"/>
          <w:szCs w:val="20"/>
          <w:color w:val="auto"/>
        </w:rPr>
      </w:pPr>
    </w:p>
    <w:p>
      <w:pPr>
        <w:ind w:right="3199" w:firstLine="271"/>
        <w:spacing w:after="0" w:line="243" w:lineRule="auto"/>
        <w:rPr>
          <w:sz w:val="20"/>
          <w:szCs w:val="20"/>
          <w:color w:val="auto"/>
        </w:rPr>
      </w:pPr>
      <w:r>
        <w:rPr>
          <w:rFonts w:ascii="Courier New" w:cs="Courier New" w:eastAsia="Courier New" w:hAnsi="Courier New"/>
          <w:sz w:val="15"/>
          <w:szCs w:val="15"/>
          <w:color w:val="auto"/>
        </w:rPr>
        <w:t>Section 3. Voting Rights. The holders of shares of Series A Preferred Stock shall have the following voting rights:</w:t>
      </w:r>
    </w:p>
    <w:p>
      <w:pPr>
        <w:spacing w:after="0" w:line="176" w:lineRule="exact"/>
        <w:rPr>
          <w:sz w:val="20"/>
          <w:szCs w:val="20"/>
          <w:color w:val="auto"/>
        </w:rPr>
      </w:pPr>
    </w:p>
    <w:p>
      <w:pPr>
        <w:ind w:right="3279" w:firstLine="894"/>
        <w:spacing w:after="0" w:line="244" w:lineRule="auto"/>
        <w:tabs>
          <w:tab w:leader="none" w:pos="126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Series A Preferred Stock shall entitle the holder thereof to 100 votes on all matters submitted to a vote of the stockholders of the Corporation.</w:t>
      </w:r>
    </w:p>
    <w:p>
      <w:pPr>
        <w:spacing w:after="0" w:line="175" w:lineRule="exact"/>
        <w:rPr>
          <w:rFonts w:ascii="Courier New" w:cs="Courier New" w:eastAsia="Courier New" w:hAnsi="Courier New"/>
          <w:sz w:val="15"/>
          <w:szCs w:val="15"/>
          <w:color w:val="auto"/>
        </w:rPr>
      </w:pPr>
    </w:p>
    <w:p>
      <w:pPr>
        <w:ind w:right="3379" w:firstLine="894"/>
        <w:spacing w:after="0" w:line="265" w:lineRule="auto"/>
        <w:tabs>
          <w:tab w:leader="none" w:pos="126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in any other Certificate of Vote of Directors establishing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the stockholders of the Corporation.</w:t>
      </w:r>
    </w:p>
    <w:p>
      <w:pPr>
        <w:spacing w:after="0" w:line="162" w:lineRule="exact"/>
        <w:rPr>
          <w:rFonts w:ascii="Courier New" w:cs="Courier New" w:eastAsia="Courier New" w:hAnsi="Courier New"/>
          <w:sz w:val="14"/>
          <w:szCs w:val="14"/>
          <w:color w:val="auto"/>
        </w:rPr>
      </w:pPr>
    </w:p>
    <w:p>
      <w:pPr>
        <w:ind w:right="3379" w:firstLine="894"/>
        <w:spacing w:after="0" w:line="244" w:lineRule="auto"/>
        <w:tabs>
          <w:tab w:leader="none" w:pos="126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or by law, holders of shares of Series A Preferred Stock shall have no special voting rights and - their consent shall not be required (except to the extent they are entitled to vote with holders of shares of Common Stock as set forth herein) for taking any corporate action.</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Section 4. Certain Restrictions.</w:t>
      </w:r>
    </w:p>
    <w:p>
      <w:pPr>
        <w:spacing w:after="0" w:line="178" w:lineRule="exact"/>
        <w:rPr>
          <w:sz w:val="20"/>
          <w:szCs w:val="20"/>
          <w:color w:val="auto"/>
        </w:rPr>
      </w:pPr>
    </w:p>
    <w:p>
      <w:pPr>
        <w:ind w:right="3279" w:firstLine="894"/>
        <w:spacing w:after="0" w:line="244" w:lineRule="auto"/>
        <w:tabs>
          <w:tab w:leader="none" w:pos="126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176" w:lineRule="exact"/>
        <w:rPr>
          <w:rFonts w:ascii="Courier New" w:cs="Courier New" w:eastAsia="Courier New" w:hAnsi="Courier New"/>
          <w:sz w:val="15"/>
          <w:szCs w:val="15"/>
          <w:color w:val="auto"/>
        </w:rPr>
      </w:pPr>
    </w:p>
    <w:p>
      <w:pPr>
        <w:ind w:right="3379" w:firstLine="1525"/>
        <w:spacing w:after="0" w:line="244" w:lineRule="auto"/>
        <w:tabs>
          <w:tab w:leader="none" w:pos="1893"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or make any other distributions, on any shares of stock ranking junior (either as to dividends or upon liquidation, dissolution or winding up) to the Series A Preferred Stock;</w:t>
      </w:r>
    </w:p>
    <w:p>
      <w:pPr>
        <w:spacing w:after="0" w:line="175" w:lineRule="exact"/>
        <w:rPr>
          <w:rFonts w:ascii="Courier New" w:cs="Courier New" w:eastAsia="Courier New" w:hAnsi="Courier New"/>
          <w:sz w:val="15"/>
          <w:szCs w:val="15"/>
          <w:color w:val="auto"/>
        </w:rPr>
      </w:pPr>
    </w:p>
    <w:p>
      <w:pPr>
        <w:ind w:right="3379" w:firstLine="1435"/>
        <w:spacing w:after="0" w:line="244" w:lineRule="auto"/>
        <w:tabs>
          <w:tab w:leader="none" w:pos="1893"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77" w:lineRule="exact"/>
        <w:rPr>
          <w:rFonts w:ascii="Courier New" w:cs="Courier New" w:eastAsia="Courier New" w:hAnsi="Courier New"/>
          <w:sz w:val="15"/>
          <w:szCs w:val="15"/>
          <w:color w:val="auto"/>
        </w:rPr>
      </w:pPr>
    </w:p>
    <w:p>
      <w:pPr>
        <w:ind w:right="3279" w:firstLine="1345"/>
        <w:spacing w:after="0" w:line="244" w:lineRule="auto"/>
        <w:tabs>
          <w:tab w:leader="none" w:pos="1893"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or purchase or otherwise acquire for consideration any shares of stock ranking junior (either as to dividends or upon liquidation, dissolution or winding up) to the Series A Preferred Stock; provided,</w:t>
      </w:r>
    </w:p>
    <w:p>
      <w:pPr>
        <w:spacing w:after="0" w:line="349"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Continuation Sheet 2C</w:t>
      </w:r>
    </w:p>
    <w:p>
      <w:pPr>
        <w:sectPr>
          <w:pgSz w:w="11900" w:h="16838" w:orient="portrait"/>
          <w:cols w:equalWidth="0" w:num="1">
            <w:col w:w="10219"/>
          </w:cols>
          <w:pgMar w:left="240" w:top="638" w:right="1440" w:bottom="1440" w:gutter="0" w:footer="0" w:header="0"/>
        </w:sectPr>
      </w:pPr>
    </w:p>
    <w:bookmarkStart w:id="78" w:name="page79"/>
    <w:bookmarkEnd w:id="78"/>
    <w:p>
      <w:pPr>
        <w:ind w:left="8" w:right="3199"/>
        <w:spacing w:after="0" w:line="244" w:lineRule="auto"/>
        <w:rPr>
          <w:sz w:val="20"/>
          <w:szCs w:val="20"/>
          <w:color w:val="auto"/>
        </w:rPr>
      </w:pPr>
      <w:r>
        <w:rPr>
          <w:rFonts w:ascii="Courier New" w:cs="Courier New" w:eastAsia="Courier New" w:hAnsi="Courier New"/>
          <w:sz w:val="15"/>
          <w:szCs w:val="15"/>
          <w:color w:val="auto"/>
        </w:rPr>
        <w:t>that the Corporation may at any time redeem, purchase or otherwise acquire shares of such junior stock in exchange for shares of stock of the Corporation ranking junior (either as to dividends or upon liquidation, dissolution or winding up) to the Series A-Preferred Stock; or</w:t>
      </w:r>
    </w:p>
    <w:p>
      <w:pPr>
        <w:spacing w:after="0" w:line="176" w:lineRule="exact"/>
        <w:rPr>
          <w:sz w:val="20"/>
          <w:szCs w:val="20"/>
          <w:color w:val="auto"/>
        </w:rPr>
      </w:pPr>
    </w:p>
    <w:p>
      <w:pPr>
        <w:ind w:left="8" w:right="3279" w:firstLine="1435"/>
        <w:spacing w:after="0" w:line="244" w:lineRule="auto"/>
        <w:tabs>
          <w:tab w:leader="none" w:pos="190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or purchase or otherwise acquire for consideration any shares of Series A Preferred Stock, or any shares of stock ranking on a parity (either as to dividends or upon liquidation, dissolution or winding up) with the Series A Preferred Stock, except-in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79" w:lineRule="exact"/>
        <w:rPr>
          <w:rFonts w:ascii="Courier New" w:cs="Courier New" w:eastAsia="Courier New" w:hAnsi="Courier New"/>
          <w:sz w:val="15"/>
          <w:szCs w:val="15"/>
          <w:color w:val="auto"/>
        </w:rPr>
      </w:pPr>
    </w:p>
    <w:p>
      <w:pPr>
        <w:ind w:left="8" w:right="3279" w:firstLine="894"/>
        <w:spacing w:after="0" w:line="244" w:lineRule="auto"/>
        <w:tabs>
          <w:tab w:leader="none" w:pos="1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not permit any subsidiary of the Corporation to purchase or otherwise acquire for consideration any shares of stock of the Corporation unless the Corporation could, under paragraph (A) of this Section, purchase or otherwise acquire such shares at such time and in such manner.</w:t>
      </w:r>
    </w:p>
    <w:p>
      <w:pPr>
        <w:spacing w:after="0" w:line="177" w:lineRule="exact"/>
        <w:rPr>
          <w:sz w:val="20"/>
          <w:szCs w:val="20"/>
          <w:color w:val="auto"/>
        </w:rPr>
      </w:pPr>
    </w:p>
    <w:p>
      <w:pPr>
        <w:ind w:left="8" w:right="3379" w:firstLine="271"/>
        <w:spacing w:after="0" w:line="244" w:lineRule="auto"/>
        <w:rPr>
          <w:sz w:val="20"/>
          <w:szCs w:val="20"/>
          <w:color w:val="auto"/>
        </w:rPr>
      </w:pPr>
      <w:r>
        <w:rPr>
          <w:rFonts w:ascii="Courier New" w:cs="Courier New" w:eastAsia="Courier New" w:hAnsi="Courier New"/>
          <w:sz w:val="15"/>
          <w:szCs w:val="15"/>
          <w:color w:val="auto"/>
        </w:rPr>
        <w:t>Section 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Restated Articles of Organization, or in any other Certificate of Vote of Directors establishing a series of Preferred Stock or any similar stock or as otherwise required by law.</w:t>
      </w:r>
    </w:p>
    <w:p>
      <w:pPr>
        <w:spacing w:after="0" w:line="179" w:lineRule="exact"/>
        <w:rPr>
          <w:sz w:val="20"/>
          <w:szCs w:val="20"/>
          <w:color w:val="auto"/>
        </w:rPr>
      </w:pPr>
    </w:p>
    <w:p>
      <w:pPr>
        <w:ind w:left="8" w:right="3279" w:firstLine="271"/>
        <w:spacing w:after="0" w:line="243" w:lineRule="auto"/>
        <w:rPr>
          <w:sz w:val="20"/>
          <w:szCs w:val="20"/>
          <w:color w:val="auto"/>
        </w:rPr>
      </w:pPr>
      <w:r>
        <w:rPr>
          <w:rFonts w:ascii="Courier New" w:cs="Courier New" w:eastAsia="Courier New" w:hAnsi="Courier New"/>
          <w:sz w:val="15"/>
          <w:szCs w:val="15"/>
          <w:color w:val="auto"/>
        </w:rPr>
        <w:t>Section 6. Liquidation, Dissolution or Winding Up. Upon any liquidation, dissolution or winding up of the Corporation, no distribution shall be made</w:t>
      </w:r>
    </w:p>
    <w:p>
      <w:pPr>
        <w:spacing w:after="0" w:line="3" w:lineRule="exact"/>
        <w:rPr>
          <w:sz w:val="20"/>
          <w:szCs w:val="20"/>
          <w:color w:val="auto"/>
        </w:rPr>
      </w:pPr>
    </w:p>
    <w:p>
      <w:pPr>
        <w:ind w:left="8" w:right="3279" w:hanging="8"/>
        <w:spacing w:after="0" w:line="244" w:lineRule="auto"/>
        <w:tabs>
          <w:tab w:leader="none" w:pos="36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holders of shares of stock ranking junior (either as to dividends or upon liquidation, dissolution or winding up) to the Series A Preferred Stock unless, prior thereto, the holders of shares of Series A Preferred Stock shall have received $100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 times the aggregate amount to be distributed per share to holders of shares</w:t>
      </w:r>
    </w:p>
    <w:p>
      <w:pPr>
        <w:spacing w:after="0" w:line="352"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Continuation Sheet 2D</w:t>
      </w:r>
    </w:p>
    <w:p>
      <w:pPr>
        <w:sectPr>
          <w:pgSz w:w="11900" w:h="16838" w:orient="portrait"/>
          <w:cols w:equalWidth="0" w:num="1">
            <w:col w:w="10227"/>
          </w:cols>
          <w:pgMar w:left="232" w:top="638" w:right="1440" w:bottom="1440" w:gutter="0" w:footer="0" w:header="0"/>
        </w:sectPr>
      </w:pPr>
    </w:p>
    <w:bookmarkStart w:id="79" w:name="page80"/>
    <w:bookmarkEnd w:id="79"/>
    <w:p>
      <w:pPr>
        <w:ind w:right="3279"/>
        <w:spacing w:after="0" w:line="244" w:lineRule="auto"/>
        <w:rPr>
          <w:sz w:val="20"/>
          <w:szCs w:val="20"/>
          <w:color w:val="auto"/>
        </w:rPr>
      </w:pPr>
      <w:r>
        <w:rPr>
          <w:rFonts w:ascii="Courier New" w:cs="Courier New" w:eastAsia="Courier New" w:hAnsi="Courier New"/>
          <w:sz w:val="15"/>
          <w:szCs w:val="15"/>
          <w:color w:val="auto"/>
        </w:rPr>
        <w:t>of Common Stock, or (2) to the holders of shares of stock ranking on a parity (either as to dividends or upon liquidation, dissolution or winding up) with the Series A Preferred Stock, except distributions made ratably on the Series A Preferred Stock and all such parity stock-in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or shares of Series A Preferred Stock were entitled immediately prior to such event under the proviso to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4"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for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6"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Section 8. No Redemption. The shares of Series A Preferred Stock shall not be redeemable.</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Section 9. Rank. The Series A Preferred Stock shall rank, with respect to the payment of dividends and the distribution of assets, junior to all series of any other class of the Corporation's Preferred Stock.</w:t>
      </w:r>
    </w:p>
    <w:p>
      <w:pPr>
        <w:spacing w:after="0" w:line="348"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Continuation Sheet 2E</w:t>
      </w:r>
    </w:p>
    <w:p>
      <w:pPr>
        <w:sectPr>
          <w:pgSz w:w="11900" w:h="16838" w:orient="portrait"/>
          <w:cols w:equalWidth="0" w:num="1">
            <w:col w:w="10219"/>
          </w:cols>
          <w:pgMar w:left="240" w:top="638" w:right="1440" w:bottom="1440" w:gutter="0" w:footer="0" w:header="0"/>
        </w:sectPr>
      </w:pPr>
    </w:p>
    <w:bookmarkStart w:id="80" w:name="page81"/>
    <w:bookmarkEnd w:id="80"/>
    <w:p>
      <w:pPr>
        <w:ind w:right="3279" w:firstLine="271"/>
        <w:spacing w:after="0" w:line="244" w:lineRule="auto"/>
        <w:rPr>
          <w:sz w:val="20"/>
          <w:szCs w:val="20"/>
          <w:color w:val="auto"/>
        </w:rPr>
      </w:pPr>
      <w:r>
        <w:rPr>
          <w:rFonts w:ascii="Courier New" w:cs="Courier New" w:eastAsia="Courier New" w:hAnsi="Courier New"/>
          <w:sz w:val="15"/>
          <w:szCs w:val="15"/>
          <w:color w:val="auto"/>
        </w:rPr>
        <w:t>Section 10. Amendment. The Restated Articles of Organization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17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Continuation Sheet 2F</w:t>
      </w:r>
    </w:p>
    <w:p>
      <w:pPr>
        <w:sectPr>
          <w:pgSz w:w="11900" w:h="16838" w:orient="portrait"/>
          <w:cols w:equalWidth="0" w:num="1">
            <w:col w:w="10219"/>
          </w:cols>
          <w:pgMar w:left="240" w:top="638" w:right="1440" w:bottom="1440" w:gutter="0" w:footer="0" w:header="0"/>
        </w:sectPr>
      </w:pPr>
    </w:p>
    <w:bookmarkStart w:id="81" w:name="page82"/>
    <w:bookmarkEnd w:id="81"/>
    <w:p>
      <w:pPr>
        <w:ind w:left="8" w:right="3019"/>
        <w:spacing w:after="0" w:line="243" w:lineRule="auto"/>
        <w:rPr>
          <w:sz w:val="20"/>
          <w:szCs w:val="20"/>
          <w:color w:val="auto"/>
        </w:rPr>
      </w:pPr>
      <w:r>
        <w:rPr>
          <w:rFonts w:ascii="Courier New" w:cs="Courier New" w:eastAsia="Courier New" w:hAnsi="Courier New"/>
          <w:sz w:val="15"/>
          <w:szCs w:val="15"/>
          <w:color w:val="auto"/>
        </w:rPr>
        <w:t>IN WITNESS WHEREOF AND UNDER THE PENALTIES OF PERJURY, we have hereto signed our names this 30th day of July in the year 1991.</w:t>
      </w:r>
    </w:p>
    <w:p>
      <w:pPr>
        <w:spacing w:after="0" w:line="200" w:lineRule="exact"/>
        <w:rPr>
          <w:sz w:val="20"/>
          <w:szCs w:val="20"/>
          <w:color w:val="auto"/>
        </w:rPr>
      </w:pPr>
    </w:p>
    <w:p>
      <w:pPr>
        <w:spacing w:after="0" w:line="32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ind w:left="188" w:hanging="188"/>
        <w:spacing w:after="0"/>
        <w:tabs>
          <w:tab w:leader="none" w:pos="18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Joshua Boger, President</w:t>
      </w:r>
    </w:p>
    <w:p>
      <w:pPr>
        <w:spacing w:after="0" w:line="177"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ind w:left="188" w:hanging="188"/>
        <w:spacing w:after="0"/>
        <w:tabs>
          <w:tab w:leader="none" w:pos="18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H. Aldrich, Clerk</w:t>
      </w:r>
    </w:p>
    <w:p>
      <w:pPr>
        <w:sectPr>
          <w:pgSz w:w="11900" w:h="16838" w:orient="portrait"/>
          <w:cols w:equalWidth="0" w:num="1">
            <w:col w:w="10227"/>
          </w:cols>
          <w:pgMar w:left="232" w:top="638" w:right="1440" w:bottom="1440" w:gutter="0" w:footer="0" w:header="0"/>
        </w:sectPr>
      </w:pPr>
    </w:p>
    <w:bookmarkStart w:id="82" w:name="page83"/>
    <w:bookmarkEnd w:id="82"/>
    <w:p>
      <w:pPr>
        <w:jc w:val="center"/>
        <w:ind w:right="2739"/>
        <w:spacing w:after="0"/>
        <w:rPr>
          <w:sz w:val="20"/>
          <w:szCs w:val="20"/>
          <w:color w:val="auto"/>
        </w:rPr>
      </w:pPr>
      <w:r>
        <w:rPr>
          <w:rFonts w:ascii="Courier New" w:cs="Courier New" w:eastAsia="Courier New" w:hAnsi="Courier New"/>
          <w:sz w:val="15"/>
          <w:szCs w:val="15"/>
          <w:color w:val="auto"/>
        </w:rPr>
        <w:t>THE COMMONWEALTH OF MASSACHUSETTS</w:t>
      </w:r>
    </w:p>
    <w:p>
      <w:pPr>
        <w:spacing w:after="0" w:line="177"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Certificate of Vote of Directors Establishing</w:t>
      </w:r>
    </w:p>
    <w:p>
      <w:pPr>
        <w:spacing w:after="0" w:line="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A Series of a Class of Stock</w:t>
      </w:r>
    </w:p>
    <w:p>
      <w:pPr>
        <w:spacing w:after="0" w:line="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(General Laws, Chapter 156B, Section 26)</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I hereby approve the within certificate and, the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filing fee in the amount of $100.00</w:t>
      </w:r>
    </w:p>
    <w:p>
      <w:pPr>
        <w:spacing w:after="0" w:line="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having been paid, said certificate is hereby filed this</w:t>
      </w:r>
    </w:p>
    <w:p>
      <w:pPr>
        <w:spacing w:after="0" w:line="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31st day of July, 1991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/S/</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MICHAEL JOSEPH CONNOLLY</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Secretary of State</w:t>
      </w:r>
    </w:p>
    <w:p>
      <w:pPr>
        <w:spacing w:after="0" w:line="35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TO BE FILLED IN BY CORPORATION</w:t>
      </w:r>
    </w:p>
    <w:p>
      <w:pPr>
        <w:spacing w:after="0" w:line="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Photo copy of certificate to be sent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Timothy B. Bancroft, Esq.</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Warner &amp; Stackpole</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75 State Street, Boston, MA 02109</w:t>
      </w:r>
    </w:p>
    <w:p>
      <w:pPr>
        <w:spacing w:after="0" w:line="17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Telephone:</w:t>
        <w:tab/>
        <w:t>(617) 951-9000</w:t>
      </w:r>
    </w:p>
    <w:p>
      <w:pPr>
        <w:sectPr>
          <w:pgSz w:w="11900" w:h="16838" w:orient="portrait"/>
          <w:cols w:equalWidth="0" w:num="1">
            <w:col w:w="10219"/>
          </w:cols>
          <w:pgMar w:left="240" w:top="811" w:right="1440" w:bottom="1440" w:gutter="0" w:footer="0" w:header="0"/>
        </w:sectPr>
      </w:pPr>
    </w:p>
    <w:bookmarkStart w:id="83" w:name="page84"/>
    <w:bookmarkEnd w:id="83"/>
    <w:p>
      <w:pPr>
        <w:ind w:left="2700"/>
        <w:spacing w:after="0"/>
        <w:rPr>
          <w:sz w:val="20"/>
          <w:szCs w:val="20"/>
          <w:color w:val="auto"/>
        </w:rPr>
      </w:pPr>
      <w:r>
        <w:rPr>
          <w:rFonts w:ascii="Courier New" w:cs="Courier New" w:eastAsia="Courier New" w:hAnsi="Courier New"/>
          <w:sz w:val="15"/>
          <w:szCs w:val="15"/>
          <w:color w:val="auto"/>
        </w:rPr>
        <w:t>Exhibit 10.4</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FIRST AMENDMENT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1996 STOCK AND OPTION PLAN</w:t>
      </w:r>
    </w:p>
    <w:p>
      <w:pPr>
        <w:spacing w:after="0" w:line="351" w:lineRule="exact"/>
        <w:rPr>
          <w:sz w:val="20"/>
          <w:szCs w:val="20"/>
          <w:color w:val="auto"/>
        </w:rPr>
      </w:pPr>
    </w:p>
    <w:p>
      <w:pPr>
        <w:ind w:right="3559" w:firstLine="271"/>
        <w:spacing w:after="0" w:line="278" w:lineRule="auto"/>
        <w:rPr>
          <w:sz w:val="20"/>
          <w:szCs w:val="20"/>
          <w:color w:val="auto"/>
        </w:rPr>
      </w:pPr>
      <w:r>
        <w:rPr>
          <w:rFonts w:ascii="Courier New" w:cs="Courier New" w:eastAsia="Courier New" w:hAnsi="Courier New"/>
          <w:sz w:val="14"/>
          <w:szCs w:val="14"/>
          <w:color w:val="auto"/>
        </w:rPr>
        <w:t>The Vertex Pharmaceuticals Incorporated 1996 Stock and Option Plan (the "Plan") is hereby amended, effective as of December 12, 1997, as follows:</w:t>
      </w:r>
    </w:p>
    <w:p>
      <w:pPr>
        <w:spacing w:after="0" w:line="153" w:lineRule="exact"/>
        <w:rPr>
          <w:sz w:val="20"/>
          <w:szCs w:val="20"/>
          <w:color w:val="auto"/>
        </w:rPr>
      </w:pPr>
    </w:p>
    <w:p>
      <w:pPr>
        <w:ind w:right="3919"/>
        <w:spacing w:after="0" w:line="243" w:lineRule="auto"/>
        <w:rPr>
          <w:sz w:val="20"/>
          <w:szCs w:val="20"/>
          <w:color w:val="auto"/>
        </w:rPr>
      </w:pPr>
      <w:r>
        <w:rPr>
          <w:rFonts w:ascii="Courier New" w:cs="Courier New" w:eastAsia="Courier New" w:hAnsi="Courier New"/>
          <w:sz w:val="15"/>
          <w:szCs w:val="15"/>
          <w:color w:val="auto"/>
        </w:rPr>
        <w:t>Section 3 of the Plan is hereby amended by deleting the first sentence thereof and substituting therefor the following: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number of Shares subject to this Plan as to which Stock Rights may</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be granted from time to time shall be 3,250,000 plus the number of shares of Common Stock previously reserved for the granting of options under the Vertex Pharmaceuticals Incorporated 1991 Stock Option Plan and 1994 Stock and Option Plan but not granted thereunder, or the equivalent of such number of Shares after the Committee, in its sole discretion, has interpreted the effect of any stock split, stock dividend, combination, recapitalization or similar transaction in accordance with Section 17 of this Plan."</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As so amended, the Plan shall continue in full force and effect.</w:t>
      </w:r>
    </w:p>
    <w:p>
      <w:pPr>
        <w:sectPr>
          <w:pgSz w:w="11900" w:h="16838" w:orient="portrait"/>
          <w:cols w:equalWidth="0" w:num="1">
            <w:col w:w="10219"/>
          </w:cols>
          <w:pgMar w:left="240" w:top="487" w:right="1440" w:bottom="1440" w:gutter="0" w:footer="0" w:header="0"/>
        </w:sectPr>
      </w:pPr>
    </w:p>
    <w:bookmarkStart w:id="84" w:name="page85"/>
    <w:bookmarkEnd w:id="84"/>
    <w:p>
      <w:pPr>
        <w:ind w:left="5760"/>
        <w:spacing w:after="0"/>
        <w:rPr>
          <w:sz w:val="20"/>
          <w:szCs w:val="20"/>
          <w:color w:val="auto"/>
        </w:rPr>
      </w:pPr>
      <w:r>
        <w:rPr>
          <w:rFonts w:ascii="Courier New" w:cs="Courier New" w:eastAsia="Courier New" w:hAnsi="Courier New"/>
          <w:sz w:val="15"/>
          <w:szCs w:val="15"/>
          <w:color w:val="auto"/>
        </w:rPr>
        <w:t>EXHIBIT 10.17</w:t>
      </w:r>
    </w:p>
    <w:p>
      <w:pPr>
        <w:spacing w:after="0" w:line="351" w:lineRule="exact"/>
        <w:rPr>
          <w:sz w:val="20"/>
          <w:szCs w:val="20"/>
          <w:color w:val="auto"/>
        </w:rPr>
      </w:pPr>
    </w:p>
    <w:p>
      <w:pPr>
        <w:ind w:left="80" w:right="3279" w:firstLine="902"/>
        <w:spacing w:after="0" w:line="243" w:lineRule="auto"/>
        <w:rPr>
          <w:sz w:val="20"/>
          <w:szCs w:val="20"/>
          <w:color w:val="auto"/>
        </w:rPr>
      </w:pPr>
      <w:r>
        <w:rPr>
          <w:rFonts w:ascii="Courier New" w:cs="Courier New" w:eastAsia="Courier New" w:hAnsi="Courier New"/>
          <w:sz w:val="15"/>
          <w:szCs w:val="15"/>
          <w:color w:val="auto"/>
        </w:rPr>
        <w:t>Second Amendment, dated 1 February 1998, to Lease Agreement between Fort Washington Realty Trust and Vertex Pharmaceuticals Incorporated</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Dated 1 March 1993</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Fort Washington Realty Trust and Vertex Pharmaceuticals Incorporated, hereby agree to amend the First Amendment to and the current lease on 625 Putnam Avenue, Cambridge, dated 1 March 1993, as follows:</w:t>
      </w:r>
    </w:p>
    <w:p>
      <w:pPr>
        <w:spacing w:after="0" w:line="175" w:lineRule="exact"/>
        <w:rPr>
          <w:sz w:val="20"/>
          <w:szCs w:val="20"/>
          <w:color w:val="auto"/>
        </w:rPr>
      </w:pPr>
    </w:p>
    <w:p>
      <w:pPr>
        <w:ind w:left="180" w:right="4899" w:hanging="179"/>
        <w:spacing w:after="0" w:line="243" w:lineRule="auto"/>
        <w:rPr>
          <w:sz w:val="20"/>
          <w:szCs w:val="20"/>
          <w:color w:val="auto"/>
        </w:rPr>
      </w:pPr>
      <w:r>
        <w:rPr>
          <w:rFonts w:ascii="Courier New" w:cs="Courier New" w:eastAsia="Courier New" w:hAnsi="Courier New"/>
          <w:sz w:val="15"/>
          <w:szCs w:val="15"/>
          <w:color w:val="auto"/>
        </w:rPr>
        <w:t>page 2, Section 2 &amp; 3 of original lease and line 3 of First Amendment: Extension of term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1 February 1997 through 31 December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 15,750 sq It at $15.24/sq ft/yr= $240,000/yr = $20,000/month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Term: 1 January 1999 through 31 December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 15,750 sq ft at $18.00/sq ft/yr= $283,500/yr = $23,625/month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36, Section 11.10: Option to extend beyond first extension: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Tenant's option to Extend: 1 January 2001 through 31 December 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 for Option Period: 15,750 sq ft at $21.33/sq ft/yr</w:t>
      </w:r>
    </w:p>
    <w:p>
      <w:pPr>
        <w:spacing w:after="0" w:line="3" w:lineRule="exact"/>
        <w:rPr>
          <w:sz w:val="20"/>
          <w:szCs w:val="20"/>
          <w:color w:val="auto"/>
        </w:rPr>
      </w:pPr>
    </w:p>
    <w:p>
      <w:pPr>
        <w:ind w:left="360" w:hanging="187"/>
        <w:spacing w:after="0"/>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$336,000/yr = $28,000/month</w:t>
      </w:r>
    </w:p>
    <w:p>
      <w:pPr>
        <w:spacing w:after="0" w:line="17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Triple-net of all taxes, insurance, utilities, and operating expenses.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Second Amendment replaces the First Amendment in its entirety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other provisions of said lease shall remain unchanged.</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Signatories certify that they are empowered to commit their respective organizations in matters pertaining to this agreement, executed in February 1998.</w:t>
      </w:r>
    </w:p>
    <w:p>
      <w:pPr>
        <w:sectPr>
          <w:pgSz w:w="11900" w:h="16838" w:orient="portrait"/>
          <w:cols w:equalWidth="0" w:num="1">
            <w:col w:w="10219"/>
          </w:cols>
          <w:pgMar w:left="240" w:top="4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LESSEE:</w:t>
      </w:r>
    </w:p>
    <w:p>
      <w:pPr>
        <w:spacing w:after="0" w:line="177" w:lineRule="exact"/>
        <w:rPr>
          <w:sz w:val="20"/>
          <w:szCs w:val="20"/>
          <w:color w:val="auto"/>
        </w:rPr>
      </w:pPr>
    </w:p>
    <w:p>
      <w:pPr>
        <w:sectPr>
          <w:pgSz w:w="11900" w:h="16838" w:orient="portrait"/>
          <w:cols w:equalWidth="0" w:num="2">
            <w:col w:w="3140" w:space="720"/>
            <w:col w:w="6359"/>
          </w:cols>
          <w:pgMar w:left="240" w:top="487" w:right="1440" w:bottom="1440" w:gutter="0" w:footer="0" w:header="0"/>
          <w:type w:val="continuous"/>
        </w:sectPr>
      </w:pPr>
    </w:p>
    <w:p>
      <w:pPr>
        <w:ind w:left="1620"/>
        <w:spacing w:after="0"/>
        <w:rPr>
          <w:sz w:val="20"/>
          <w:szCs w:val="20"/>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 Washington Realty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Henry H. Kolm, Trustee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Elizabeth C. Kolm, Trustee</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30 January, 1998</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Richard H. Aldrich,</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Senior VP, Chief Business Officer</w:t>
      </w:r>
    </w:p>
    <w:p>
      <w:pPr>
        <w:spacing w:after="0" w:line="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2 February 1998</w:t>
      </w:r>
    </w:p>
    <w:p>
      <w:pPr>
        <w:sectPr>
          <w:pgSz w:w="11900" w:h="16838" w:orient="portrait"/>
          <w:cols w:equalWidth="0" w:num="2">
            <w:col w:w="3140" w:space="720"/>
            <w:col w:w="6359"/>
          </w:cols>
          <w:pgMar w:left="240" w:top="487" w:right="1440" w:bottom="1440" w:gutter="0" w:footer="0" w:header="0"/>
          <w:type w:val="continuous"/>
        </w:sectPr>
      </w:pPr>
    </w:p>
    <w:bookmarkStart w:id="85" w:name="page86"/>
    <w:bookmarkEnd w:id="85"/>
    <w:p>
      <w:pPr>
        <w:ind w:left="1980"/>
        <w:spacing w:after="0"/>
        <w:rPr>
          <w:sz w:val="20"/>
          <w:szCs w:val="20"/>
          <w:color w:val="auto"/>
        </w:rPr>
      </w:pPr>
      <w:r>
        <w:rPr>
          <w:rFonts w:ascii="Courier New" w:cs="Courier New" w:eastAsia="Courier New" w:hAnsi="Courier New"/>
          <w:sz w:val="15"/>
          <w:szCs w:val="15"/>
          <w:color w:val="auto"/>
        </w:rPr>
        <w:t>SECOND AMENDMENT TO LEASE</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This SECOND AMENDMENT TO LEASE is made by and between David E. Clem and David M. Roby, Trustees of Fort Washington Realty Trust under Declaration of Trust dated June 19, 1995 and recorded with the Middlesex County (South District) Registry of Deeds in Book 25422, Page 360 (the "Landlord") and Vertex Pharmaceuticals Incorporated (the "Tenant").</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Reference is hereby made to that certain lease (the "Lease") dated March 3, 1995, by and between Landlord's predecessor, Fort Washington Limited Partnership and Tenant with respect to a portion of the property (the "Premises") located at 40 Erie Street, Cambridge, Massachusetts, (the "Building") as more particularly described in the Lease as amended by a First Amendment to Lease (the "First Amendment").</w:t>
      </w:r>
    </w:p>
    <w:p>
      <w:pPr>
        <w:spacing w:after="0" w:line="177" w:lineRule="exact"/>
        <w:rPr>
          <w:sz w:val="20"/>
          <w:szCs w:val="20"/>
          <w:color w:val="auto"/>
        </w:rPr>
      </w:pPr>
    </w:p>
    <w:p>
      <w:pPr>
        <w:ind w:right="3739" w:firstLine="451"/>
        <w:spacing w:after="0" w:line="244" w:lineRule="auto"/>
        <w:rPr>
          <w:sz w:val="20"/>
          <w:szCs w:val="20"/>
          <w:color w:val="auto"/>
        </w:rPr>
      </w:pPr>
      <w:r>
        <w:rPr>
          <w:rFonts w:ascii="Courier New" w:cs="Courier New" w:eastAsia="Courier New" w:hAnsi="Courier New"/>
          <w:sz w:val="15"/>
          <w:szCs w:val="15"/>
          <w:color w:val="auto"/>
        </w:rPr>
        <w:t>WHEREAS, the Tenant has requested, and the Landlord has agreed, to further amend the Lease to add additional space to the Premises upon the terms and conditions set forth in this Second Amendment to Lease.</w:t>
      </w:r>
    </w:p>
    <w:p>
      <w:pPr>
        <w:spacing w:after="0" w:line="175"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WHEREAS, Landlord and Tenant desire to amend and modify the terms of the Lease to incorporate the additional space and to ratify and confirm the terms of the Lease as amended by the First Amendment as more particularly set forth below.</w:t>
      </w:r>
    </w:p>
    <w:p>
      <w:pPr>
        <w:spacing w:after="0" w:line="176"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NOW, THEREFORE, in consideration of the mutual promises herein contained, and other good and valuable consideration, the receipt and sufficiency of which are hereby acknowledged, Landlord and Tenant agree as follows:</w:t>
      </w:r>
    </w:p>
    <w:p>
      <w:pPr>
        <w:spacing w:after="0" w:line="176" w:lineRule="exact"/>
        <w:rPr>
          <w:sz w:val="20"/>
          <w:szCs w:val="20"/>
          <w:color w:val="auto"/>
        </w:rPr>
      </w:pPr>
    </w:p>
    <w:p>
      <w:pPr>
        <w:ind w:left="900" w:right="3379" w:hanging="457"/>
        <w:spacing w:after="0" w:line="266" w:lineRule="auto"/>
        <w:tabs>
          <w:tab w:leader="none" w:pos="9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occupancy by Tenant, the definition of the Premises set forth in the Lease shall be amended to include the addition of 41,132, r.s.f. of space (the "Additional Space") in the Building currently leased to Millennium Pharmaceuticals, Inc. ("Millennium"). See Exhibit A annexed hereto for the layout of the Additional Space.</w:t>
      </w:r>
    </w:p>
    <w:p>
      <w:pPr>
        <w:spacing w:after="0" w:line="161" w:lineRule="exact"/>
        <w:rPr>
          <w:rFonts w:ascii="Courier New" w:cs="Courier New" w:eastAsia="Courier New" w:hAnsi="Courier New"/>
          <w:sz w:val="14"/>
          <w:szCs w:val="14"/>
          <w:color w:val="auto"/>
        </w:rPr>
      </w:pPr>
    </w:p>
    <w:p>
      <w:pPr>
        <w:ind w:left="900" w:right="3199" w:hanging="457"/>
        <w:spacing w:after="0" w:line="262" w:lineRule="auto"/>
        <w:tabs>
          <w:tab w:leader="none" w:pos="9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take occupancy of the Additional Space beginning on the later of (I) the date upon which Millennium vacates the Additional Space, or (ii) March 19, 1999, and continuing for a period of ten</w:t>
      </w:r>
    </w:p>
    <w:p>
      <w:pPr>
        <w:ind w:left="900" w:right="3279" w:hanging="6"/>
        <w:spacing w:after="0" w:line="244" w:lineRule="auto"/>
        <w:tabs>
          <w:tab w:leader="none" w:pos="1351"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date upon which Tenant occupies the Additional Space (the "Additional Space Term"). On or after March 19, 1999, if necessary, Landlord shall use best efforts to expedite Millennium's departure from the Additional Space, including filing an eviction proceeding. Landlord warrants and represents that according to the terms of its lease with Millennium that the lease expires on March 18, 1999 as to the Premises and the associated parking spaces. As to the Premises and the associated parking spaces, Landlord hereby agrees that Landlord will not extend or renew the term of Millennium's lease or waive any failure by Millennium to vacate. Landlord shall not be held liable for any loss or damage incurred by Tenant as a result of hold-over by Millennium. Landlord represents that in addition to other sums for holding over, Millennium must pay a holdover premium equal to the greater of (a) twice the then fair market rent as reasonably determined by Landlord, or (b) the total of the Fixed Rent, Additional</w:t>
      </w:r>
    </w:p>
    <w:p>
      <w:pPr>
        <w:sectPr>
          <w:pgSz w:w="11900" w:h="16838" w:orient="portrait"/>
          <w:cols w:equalWidth="0" w:num="1">
            <w:col w:w="10219"/>
          </w:cols>
          <w:pgMar w:left="240" w:top="661" w:right="1440" w:bottom="1440" w:gutter="0" w:footer="0" w:header="0"/>
        </w:sectPr>
      </w:pPr>
    </w:p>
    <w:bookmarkStart w:id="86" w:name="page87"/>
    <w:bookmarkEnd w:id="86"/>
    <w:p>
      <w:pPr>
        <w:ind w:left="8" w:right="3639"/>
        <w:spacing w:after="0" w:line="244" w:lineRule="auto"/>
        <w:rPr>
          <w:sz w:val="20"/>
          <w:szCs w:val="20"/>
          <w:color w:val="auto"/>
        </w:rPr>
      </w:pPr>
      <w:r>
        <w:rPr>
          <w:rFonts w:ascii="Courier New" w:cs="Courier New" w:eastAsia="Courier New" w:hAnsi="Courier New"/>
          <w:sz w:val="15"/>
          <w:szCs w:val="15"/>
          <w:color w:val="auto"/>
        </w:rPr>
        <w:t>Rent (as those terms are defined in the Millennium lease) and all other payments then payable under the Millennium lease. Landlord agrees that it shall not waive the payment to Landlord of any such holdover premium by Millennium.</w:t>
      </w:r>
    </w:p>
    <w:p>
      <w:pPr>
        <w:spacing w:after="0" w:line="176" w:lineRule="exact"/>
        <w:rPr>
          <w:sz w:val="20"/>
          <w:szCs w:val="20"/>
          <w:color w:val="auto"/>
        </w:rPr>
      </w:pPr>
    </w:p>
    <w:p>
      <w:pPr>
        <w:ind w:left="8" w:right="3559" w:firstLine="451"/>
        <w:spacing w:after="0" w:line="262" w:lineRule="auto"/>
        <w:rPr>
          <w:sz w:val="20"/>
          <w:szCs w:val="20"/>
          <w:color w:val="auto"/>
        </w:rPr>
      </w:pPr>
      <w:r>
        <w:rPr>
          <w:rFonts w:ascii="Courier New" w:cs="Courier New" w:eastAsia="Courier New" w:hAnsi="Courier New"/>
          <w:sz w:val="14"/>
          <w:szCs w:val="14"/>
          <w:color w:val="auto"/>
        </w:rPr>
        <w:t>Provided that Tenant has exercised in each instance its options to extend the Lease Term for the original Premises: (a) Tenant shall have two</w:t>
      </w:r>
    </w:p>
    <w:p>
      <w:pPr>
        <w:ind w:left="8" w:right="3379" w:hanging="8"/>
        <w:spacing w:after="0" w:line="244" w:lineRule="auto"/>
        <w:tabs>
          <w:tab w:leader="none" w:pos="36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to extend the Additional Space Term (the "Additional Space Options") for successive periods of five (5) years each (the "Additional Space Extension Periods"), subject to and on the terms set forth herein. Tenant may only exercise the Additional Space Options with respect to the entire Additional Space. If Tenant shall desire to exercise any Additional Space Option, it shall give Landlord a notice (the "Additional Space Inquiry Notice") of such desire not later than fifteen (15) months prior to the expiration of the Additional Space Term of this Lease or the preceding Additional Space Extension Period, as the case may be. Thereafter, the Fair Market Rent (as defined in Subsection (c) below) for the applicable Additional Space Extension Period shall be determined in accordance with Subsection (d) below. After the applicable Fair Market Rent has been so determined, Tenant shall exercise each Additional Space Option by giving Landlord notice (the "Additional Space Exercise Notice") of its election to do so not later than twelve (12) months prior to the expiration of the Additional Space Term of this Lease, or the preceding Additional Space Extension Period, as the case may be. If Tenant fails to timely give either the Additional Space Inquiry Notice or the Additional Space Exercise Notice to Landlord with respect to any Additional Space Option, Tenant shall be conclusively deemed to have waived such Additional Space Option hereunder.</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60" w:type="dxa"/>
            <w:vAlign w:val="bottom"/>
          </w:tcPr>
          <w:p>
            <w:pPr>
              <w:ind w:left="440"/>
              <w:spacing w:after="0"/>
              <w:rPr>
                <w:sz w:val="20"/>
                <w:szCs w:val="20"/>
                <w:color w:val="auto"/>
              </w:rPr>
            </w:pPr>
            <w:r>
              <w:rPr>
                <w:rFonts w:ascii="Courier New" w:cs="Courier New" w:eastAsia="Courier New" w:hAnsi="Courier New"/>
                <w:sz w:val="15"/>
                <w:szCs w:val="15"/>
                <w:color w:val="auto"/>
                <w:w w:val="99"/>
              </w:rPr>
              <w:t>(b) Notwithstanding</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any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contrary provision of</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this Lease, each</w:t>
            </w:r>
          </w:p>
        </w:tc>
        <w:tc>
          <w:tcPr>
            <w:tcW w:w="1120" w:type="dxa"/>
            <w:vAlign w:val="bottom"/>
          </w:tcPr>
          <w:p>
            <w:pPr>
              <w:spacing w:after="0"/>
              <w:rPr>
                <w:sz w:val="14"/>
                <w:szCs w:val="14"/>
                <w:color w:val="auto"/>
              </w:rPr>
            </w:pP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Additional Space Option</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and any exercise by Tenant</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thereof shall be</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void and of</w:t>
            </w:r>
          </w:p>
        </w:tc>
      </w:tr>
      <w:tr>
        <w:trPr>
          <w:trHeight w:val="173"/>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rPr>
              <w:t>no force or effect unless on</w:t>
            </w:r>
          </w:p>
        </w:tc>
        <w:tc>
          <w:tcPr>
            <w:tcW w:w="4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dates Tenant gives Landlord its Additional</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Space Inquiry Notice and</w:t>
            </w:r>
          </w:p>
        </w:tc>
        <w:tc>
          <w:tcPr>
            <w:tcW w:w="50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Additional Space Exercise Notice for each Additional</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Space Option and on the</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4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commencement of each Additional Space Extension</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Period (i) this Lease is</w:t>
            </w:r>
          </w:p>
        </w:tc>
        <w:tc>
          <w:tcPr>
            <w:tcW w:w="3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in full force and effect, (ii) there is no</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Event of</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Default of Tenant under</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this</w:t>
            </w:r>
          </w:p>
        </w:tc>
        <w:tc>
          <w:tcPr>
            <w:tcW w:w="4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Lease, and (iii) Tenant has not assigned or</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subleased (or agreed to</w:t>
            </w:r>
          </w:p>
        </w:tc>
        <w:tc>
          <w:tcPr>
            <w:tcW w:w="3920" w:type="dxa"/>
            <w:vAlign w:val="bottom"/>
            <w:gridSpan w:val="3"/>
          </w:tcPr>
          <w:p>
            <w:pPr>
              <w:spacing w:after="0"/>
              <w:rPr>
                <w:sz w:val="20"/>
                <w:szCs w:val="20"/>
                <w:color w:val="auto"/>
              </w:rPr>
            </w:pPr>
            <w:r>
              <w:rPr>
                <w:rFonts w:ascii="Courier New" w:cs="Courier New" w:eastAsia="Courier New" w:hAnsi="Courier New"/>
                <w:sz w:val="15"/>
                <w:szCs w:val="15"/>
                <w:color w:val="auto"/>
              </w:rPr>
              <w:t>assign or sublease) more than fifty percent</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w w:val="98"/>
              </w:rPr>
              <w:t>(50%) of the</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rentable floor area then</w:t>
            </w:r>
          </w:p>
        </w:tc>
        <w:tc>
          <w:tcPr>
            <w:tcW w:w="3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comprising the Additional Space.</w:t>
            </w:r>
          </w:p>
        </w:tc>
        <w:tc>
          <w:tcPr>
            <w:tcW w:w="1120" w:type="dxa"/>
            <w:vAlign w:val="bottom"/>
          </w:tcPr>
          <w:p>
            <w:pPr>
              <w:spacing w:after="0"/>
              <w:rPr>
                <w:sz w:val="15"/>
                <w:szCs w:val="15"/>
                <w:color w:val="auto"/>
              </w:rPr>
            </w:pPr>
          </w:p>
        </w:tc>
      </w:tr>
    </w:tbl>
    <w:p>
      <w:pPr>
        <w:spacing w:after="0" w:line="178" w:lineRule="exact"/>
        <w:rPr>
          <w:sz w:val="20"/>
          <w:szCs w:val="20"/>
          <w:color w:val="auto"/>
        </w:rPr>
      </w:pPr>
    </w:p>
    <w:p>
      <w:pPr>
        <w:ind w:left="8" w:right="3019" w:firstLine="443"/>
        <w:spacing w:after="0" w:line="244" w:lineRule="auto"/>
        <w:tabs>
          <w:tab w:leader="none" w:pos="81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terms, provisions, covenants, and conditions of this Lease shall continue to apply during each Additional Space Extension Period, except that the Additional Space Annual Fixed Rent Rate during each Additional Space Extension Period (the "Extension Rent") shall be equal to the fair market rent for the Additional Space determined as of the date twelve (12) months prior to expiration of the Additional Space Term or the preceding Additional Space Extension Period, as the case may be, in accordance with the procedure set forth in Subsection (d) below (the "Fair Market Rent").</w:t>
      </w:r>
    </w:p>
    <w:p>
      <w:pPr>
        <w:spacing w:after="0" w:line="178"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8" w:right="1440" w:bottom="1440" w:gutter="0" w:footer="0" w:header="0"/>
        </w:sectPr>
      </w:pPr>
    </w:p>
    <w:bookmarkStart w:id="87" w:name="page88"/>
    <w:bookmarkEnd w:id="87"/>
    <w:p>
      <w:pPr>
        <w:ind w:left="440"/>
        <w:spacing w:after="0"/>
        <w:rPr>
          <w:sz w:val="20"/>
          <w:szCs w:val="20"/>
          <w:color w:val="auto"/>
        </w:rPr>
      </w:pPr>
      <w:r>
        <w:rPr>
          <w:rFonts w:ascii="Courier New" w:cs="Courier New" w:eastAsia="Courier New" w:hAnsi="Courier New"/>
          <w:sz w:val="15"/>
          <w:szCs w:val="15"/>
          <w:color w:val="auto"/>
        </w:rPr>
        <w:t>(d) The Fair Market Rent for each Additional Space Extension Period</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shall be determined as follows: Within five (5) days after Tenant gives Landlord its Additional Space Inquiry Notice with respect to any Additional Space Option, Landlord shall give Tenant notice of Landlord's determination of the Fair Market Rent for the applicable Additional Space Extension Period. Within ten (10) days after Tenant receives such notice, Tenant shall notify Landlord of its agreement with or objection to Landlord's determination of the Fair Market Rent, whereupon the Fair Market Rent shall be determined by arbitration conducted in the manner set forth below. If Tenant does not notify Landlord within such ten (10) day period of Tenant's agreement with or objection to Landlord's determination of the Fair Market Rent, then the Fair Market Rent for the applicable Additional Space Extension Period shall be deemed to be Landlord's determination of the Fair Market Rent as set forth in the notice from Landlord described in this subsection.</w:t>
      </w:r>
    </w:p>
    <w:p>
      <w:pPr>
        <w:spacing w:after="0" w:line="182" w:lineRule="exact"/>
        <w:rPr>
          <w:sz w:val="20"/>
          <w:szCs w:val="20"/>
          <w:color w:val="auto"/>
        </w:rPr>
      </w:pPr>
    </w:p>
    <w:p>
      <w:pPr>
        <w:ind w:right="3019" w:firstLine="443"/>
        <w:spacing w:after="0" w:line="244" w:lineRule="auto"/>
        <w:tabs>
          <w:tab w:leader="none" w:pos="81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Tenant notifies Landlord of Tenant's objection to Landlord's determination of Fair Market Rent under the preceding subsection, such notice shall also set forth a request for arbitration and Tenant's appointment of a commercial real estate broker having at least ten (10) years experience in the commercial leasing market in the City of Cambridge, Massachusetts (an "Arbitrator"). Within five (5) days thereafter, Landlord shall by notice to Tenant appoint a second Arbitrator. Each Arbitrator shall be advised to determine the Fair Market Rent for the applicable Additional Space Extension Period within thirty (30) days after Landlord's appointment of the second Arbitrator. On or before the expiration of such thirty (30) day period, the two Arbitrators shall confer to compare their respective determinations of the Fair Market Rent. If the difference between the amounts so determined by the two Arbitrators is less than or equal to ten percent (10%) of the lower of said amounts then the final determination of the Fair Market Rent shall be equal to the average of said amounts. If such difference between said amounts is greater than ten percent (10%), then the two arbitrators within ten (10) days thereafter shall appoint a third Arbitrator (the "Third Arbitrator"), who shall be instructed to determine the Fair Market Rent for the applicable Additional Space Extension Period within ten (10) days after his appointment by selecting one of the amounts determined by the other two Arbitrators. Each party shall bear the cost of the Arbitrator selected by such party. The cost for the Third Arbitrator, if any, shall be shared equally by Landlord and Tenant.</w:t>
      </w:r>
    </w:p>
    <w:p>
      <w:pPr>
        <w:spacing w:after="0" w:line="187" w:lineRule="exact"/>
        <w:rPr>
          <w:sz w:val="20"/>
          <w:szCs w:val="20"/>
          <w:color w:val="auto"/>
        </w:rPr>
      </w:pPr>
    </w:p>
    <w:p>
      <w:pPr>
        <w:ind w:left="900" w:right="3279" w:hanging="457"/>
        <w:spacing w:after="0" w:line="244" w:lineRule="auto"/>
        <w:tabs>
          <w:tab w:leader="none" w:pos="9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accept the Additional Space in "as is" condition. Tenant acknowledges that Landlord has made, in anticipation of Tenant's future occupancy, for the benefit of Tenant at Landlord's sole cost and expense, certain improvements to the Additional Space as outlined in Exhibit B. Landlord agrees to consult with Tenant prior to agreeing to any changes requested by Millennium to the Additional Space.</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88" w:name="page89"/>
    <w:bookmarkEnd w:id="88"/>
    <w:p>
      <w:pPr>
        <w:jc w:val="both"/>
        <w:ind w:left="457" w:right="3279" w:hanging="457"/>
        <w:spacing w:after="0" w:line="244" w:lineRule="auto"/>
        <w:tabs>
          <w:tab w:leader="none" w:pos="45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execution of this Second Amendment to Lease, section 4.1(d) of the Lease will be stricken in its entirety and be null and void and of no further force and effect.</w:t>
      </w:r>
    </w:p>
    <w:p>
      <w:pPr>
        <w:spacing w:after="0" w:line="175" w:lineRule="exact"/>
        <w:rPr>
          <w:rFonts w:ascii="Courier New" w:cs="Courier New" w:eastAsia="Courier New" w:hAnsi="Courier New"/>
          <w:sz w:val="15"/>
          <w:szCs w:val="15"/>
          <w:color w:val="auto"/>
        </w:rPr>
      </w:pPr>
    </w:p>
    <w:p>
      <w:pPr>
        <w:ind w:left="457" w:right="3279" w:hanging="457"/>
        <w:spacing w:after="0" w:line="244" w:lineRule="auto"/>
        <w:tabs>
          <w:tab w:leader="none" w:pos="45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occupancy by Tenant of the Additional Space, Tenant shall pay to Landlord Annual Fixed Rent for the Additional Space in the amount of $1,460,186.00 (the "Additional Space Annual Fixed Rent Rate"), payable in equal monthly installments of $121,682.17 in advance on the first day of each calendar month; and for any portion of a calendar month at the beginning or end of the Term, at that rate payable in advance for such portion.</w:t>
      </w:r>
    </w:p>
    <w:p>
      <w:pPr>
        <w:spacing w:after="0" w:line="177" w:lineRule="exact"/>
        <w:rPr>
          <w:rFonts w:ascii="Courier New" w:cs="Courier New" w:eastAsia="Courier New" w:hAnsi="Courier New"/>
          <w:sz w:val="15"/>
          <w:szCs w:val="15"/>
          <w:color w:val="auto"/>
        </w:rPr>
      </w:pPr>
    </w:p>
    <w:p>
      <w:pPr>
        <w:ind w:left="457" w:right="3459" w:hanging="457"/>
        <w:spacing w:after="0" w:line="243" w:lineRule="auto"/>
        <w:tabs>
          <w:tab w:leader="none" w:pos="45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4.1(b) shall be renumbered as 4.l(b)(l) and the following shall be added to the Lease as Article 4.1(b)(2):</w:t>
      </w:r>
    </w:p>
    <w:p>
      <w:pPr>
        <w:spacing w:after="0" w:line="176" w:lineRule="exact"/>
        <w:rPr>
          <w:rFonts w:ascii="Courier New" w:cs="Courier New" w:eastAsia="Courier New" w:hAnsi="Courier New"/>
          <w:sz w:val="15"/>
          <w:szCs w:val="15"/>
          <w:color w:val="auto"/>
        </w:rPr>
      </w:pPr>
    </w:p>
    <w:p>
      <w:pPr>
        <w:ind w:left="997" w:right="3199" w:hanging="546"/>
        <w:spacing w:after="0" w:line="244" w:lineRule="auto"/>
        <w:tabs>
          <w:tab w:leader="none" w:pos="99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Adjustment for CPI - Additional Space. (a) On December 31, 2000 (the "First Adjustment Date"), the Additional Space Annual Fixed Rent Rate shall be increased by multiplying said rate by the lesser of (i) a fraction, the numerator</w:t>
      </w:r>
    </w:p>
    <w:p>
      <w:pPr>
        <w:spacing w:after="0" w:line="2" w:lineRule="exact"/>
        <w:rPr>
          <w:rFonts w:ascii="Courier New" w:cs="Courier New" w:eastAsia="Courier New" w:hAnsi="Courier New"/>
          <w:sz w:val="15"/>
          <w:szCs w:val="15"/>
          <w:color w:val="auto"/>
        </w:rPr>
      </w:pPr>
    </w:p>
    <w:p>
      <w:pPr>
        <w:ind w:left="997" w:right="363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which shall be the Price Index (as hereinafter defined) most recently established prior to the First Adjustment Date, and the denominator of which shall be the Base Price Index (as hereinafter defined), or (ii) one hundred four percent (104%) per year, compounded annually over the period of time beginning April 1, 1997 through the First Adjustment Date. (b) On December 31, 2005 (the "Second Adjustment Date"), the Additional Space Annual Fixed Rent Rate (as adjusted) shall be increased by multiplying said rate by the lesser of (i) a fraction, the numerator of which shall be the Price Index (as hereinafter defined) most recently established prior to the Second Adjustment Date, and the denominator of which shall be the Base Price Index (as hereinafter defined), or (ii) one hundred four percent (104%) per year, compounded annually over the five (5) years of the Additional Space Term of this Lease. As used herein, the term "Price Index" shall mean and refer to the "Consumer Price Index for Urban Wage Earners and Clerical Workers, for the Boston, Massachusetts area, All Items (1982-84 = 100)" published by the Bureau of Labor Statistics of the United States Department of Labor or successor or substitute index appropriately adjusted, and the term "Base Price Index" shall mean and refer to the Price Index most recently established prior to the Commencement Date. In the event the Price Index (or a successor or substitute index) shall not be published for the City of Boston, Massachusetts area or for the months indicated above, the corresponding index for the United States City Average (and if this is not available, a reliable governmental or other nonpartisan publication evaluating similar or equivalent information as used in the Price Index) shall be used. In the event the Price Index ceases to use the 1982-84 average of</w:t>
      </w:r>
    </w:p>
    <w:p>
      <w:pPr>
        <w:spacing w:after="0" w:line="367" w:lineRule="exact"/>
        <w:rPr>
          <w:sz w:val="20"/>
          <w:szCs w:val="20"/>
          <w:color w:val="auto"/>
        </w:rPr>
      </w:pPr>
    </w:p>
    <w:p>
      <w:pPr>
        <w:ind w:left="333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76"/>
          </w:cols>
          <w:pgMar w:left="683" w:top="638" w:right="1440" w:bottom="1440" w:gutter="0" w:footer="0" w:header="0"/>
        </w:sectPr>
      </w:pPr>
    </w:p>
    <w:bookmarkStart w:id="89" w:name="page90"/>
    <w:bookmarkEnd w:id="89"/>
    <w:p>
      <w:pPr>
        <w:ind w:left="1440" w:right="3639"/>
        <w:spacing w:after="0" w:line="244" w:lineRule="auto"/>
        <w:rPr>
          <w:sz w:val="20"/>
          <w:szCs w:val="20"/>
          <w:color w:val="auto"/>
        </w:rPr>
      </w:pPr>
      <w:r>
        <w:rPr>
          <w:rFonts w:ascii="Courier New" w:cs="Courier New" w:eastAsia="Courier New" w:hAnsi="Courier New"/>
          <w:sz w:val="15"/>
          <w:szCs w:val="15"/>
          <w:color w:val="auto"/>
        </w:rPr>
        <w:t>100 as the basis of calculation, or if a substantial change is made in the terms or numbers of items contained in the Price Index, then the Price Index shall be adjusted to the figure that would have been arrived at had the manner of computing the Price Index in effect at the date of this Lease not been changed.</w:t>
      </w:r>
    </w:p>
    <w:p>
      <w:pPr>
        <w:spacing w:after="0" w:line="177" w:lineRule="exact"/>
        <w:rPr>
          <w:sz w:val="20"/>
          <w:szCs w:val="20"/>
          <w:color w:val="auto"/>
        </w:rPr>
      </w:pPr>
    </w:p>
    <w:p>
      <w:pPr>
        <w:ind w:left="1440" w:right="3379" w:hanging="546"/>
        <w:spacing w:after="0" w:line="244" w:lineRule="auto"/>
        <w:tabs>
          <w:tab w:leader="none" w:pos="1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commencement of the Additional Space Term, the Tenant's Proportionate Fraction as set forth in the Lease will be amended to 100%.</w:t>
      </w:r>
    </w:p>
    <w:p>
      <w:pPr>
        <w:spacing w:after="0" w:line="175" w:lineRule="exact"/>
        <w:rPr>
          <w:rFonts w:ascii="Courier New" w:cs="Courier New" w:eastAsia="Courier New" w:hAnsi="Courier New"/>
          <w:sz w:val="15"/>
          <w:szCs w:val="15"/>
          <w:color w:val="auto"/>
        </w:rPr>
      </w:pPr>
    </w:p>
    <w:p>
      <w:pPr>
        <w:ind w:left="1440" w:right="3379" w:hanging="546"/>
        <w:spacing w:after="0" w:line="262" w:lineRule="auto"/>
        <w:tabs>
          <w:tab w:leader="none" w:pos="144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Paragraph 10.11 of the Lease shall include reference to the Additional Space Annual Fixed Rent Rate</w:t>
      </w:r>
    </w:p>
    <w:p>
      <w:pPr>
        <w:ind w:left="1440" w:right="363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determining the "Security Deposit Amount" as the same may be adjusted. Upon commencement of the Additional Space Term, the Tenant shall increase the Security Deposit Amount by an amount equal to one (1) year Additional Space Annual Fixed Rent plus additional amounts, if any, as set forth in paragraph 10.11 as amended. The Security Deposit Amount shall be adjusted as provided in Section 10.11 by including the Additional Space Annual Fixed Rent Rate and other rental amounts due with respect to the Additional Space, as the same may be adjusted in accordance with Section 4.1(b), Section</w:t>
      </w:r>
    </w:p>
    <w:p>
      <w:pPr>
        <w:spacing w:after="0" w:line="6" w:lineRule="exact"/>
        <w:rPr>
          <w:rFonts w:ascii="Courier New" w:cs="Courier New" w:eastAsia="Courier New" w:hAnsi="Courier New"/>
          <w:sz w:val="14"/>
          <w:szCs w:val="14"/>
          <w:color w:val="auto"/>
        </w:rPr>
      </w:pPr>
    </w:p>
    <w:p>
      <w:pPr>
        <w:ind w:left="1440" w:right="363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4.1(c), Section 10.12, Section 10.13 and Section 10.14 of the Lease as amended. The additional Security Deposit Amount may be in the form of a Letter of Credit in the form of Exhibit L to the Lease and must be delivered on the commencement of the Additional Space Term.</w:t>
      </w:r>
    </w:p>
    <w:p>
      <w:pPr>
        <w:spacing w:after="0" w:line="176" w:lineRule="exact"/>
        <w:rPr>
          <w:rFonts w:ascii="Courier New" w:cs="Courier New" w:eastAsia="Courier New" w:hAnsi="Courier New"/>
          <w:sz w:val="14"/>
          <w:szCs w:val="14"/>
          <w:color w:val="auto"/>
        </w:rPr>
      </w:pPr>
    </w:p>
    <w:p>
      <w:pPr>
        <w:ind w:left="1440" w:right="3099" w:hanging="546"/>
        <w:spacing w:after="0" w:line="243" w:lineRule="auto"/>
        <w:tabs>
          <w:tab w:leader="none" w:pos="1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tenant's reasonable request and subject to availability on the lot upon which the Building is situated, Landlord</w:t>
      </w:r>
    </w:p>
    <w:p>
      <w:pPr>
        <w:spacing w:after="0" w:line="2" w:lineRule="exact"/>
        <w:rPr>
          <w:rFonts w:ascii="Courier New" w:cs="Courier New" w:eastAsia="Courier New" w:hAnsi="Courier New"/>
          <w:sz w:val="15"/>
          <w:szCs w:val="15"/>
          <w:color w:val="auto"/>
        </w:rPr>
      </w:pPr>
    </w:p>
    <w:p>
      <w:pPr>
        <w:ind w:left="1440" w:right="363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provide additional surface parking spaces to Tenant on a tenancy-at-will basis for an additional charge of $75.00 per space per month.</w:t>
      </w:r>
    </w:p>
    <w:p>
      <w:pPr>
        <w:spacing w:after="0" w:line="175" w:lineRule="exact"/>
        <w:rPr>
          <w:rFonts w:ascii="Courier New" w:cs="Courier New" w:eastAsia="Courier New" w:hAnsi="Courier New"/>
          <w:sz w:val="15"/>
          <w:szCs w:val="15"/>
          <w:color w:val="auto"/>
        </w:rPr>
      </w:pPr>
    </w:p>
    <w:p>
      <w:pPr>
        <w:ind w:left="1440" w:right="3819" w:hanging="636"/>
        <w:spacing w:after="0" w:line="243" w:lineRule="auto"/>
        <w:tabs>
          <w:tab w:leader="none" w:pos="1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acknowledges that Tenant presently intends to reconfigure the Additional Space upon taking occupancy.</w:t>
      </w:r>
    </w:p>
    <w:p>
      <w:pPr>
        <w:spacing w:after="0" w:line="2" w:lineRule="exact"/>
        <w:rPr>
          <w:rFonts w:ascii="Courier New" w:cs="Courier New" w:eastAsia="Courier New" w:hAnsi="Courier New"/>
          <w:sz w:val="15"/>
          <w:szCs w:val="15"/>
          <w:color w:val="auto"/>
        </w:rPr>
      </w:pPr>
    </w:p>
    <w:p>
      <w:pPr>
        <w:ind w:left="144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process for such reconfiguration of the Additional Space shall be in accordance with paragraph 3.3 of the Lease. However, Tenant shall be under no obligation to reconfigure the Additional Space.</w:t>
      </w:r>
    </w:p>
    <w:p>
      <w:pPr>
        <w:spacing w:after="0" w:line="175" w:lineRule="exact"/>
        <w:rPr>
          <w:rFonts w:ascii="Courier New" w:cs="Courier New" w:eastAsia="Courier New" w:hAnsi="Courier New"/>
          <w:sz w:val="15"/>
          <w:szCs w:val="15"/>
          <w:color w:val="auto"/>
        </w:rPr>
      </w:pPr>
    </w:p>
    <w:p>
      <w:pPr>
        <w:ind w:left="1440" w:right="3559" w:hanging="636"/>
        <w:spacing w:after="0" w:line="243" w:lineRule="auto"/>
        <w:tabs>
          <w:tab w:leader="none" w:pos="1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I of the Lease is hereby replaced with Exhibit "I" attached hereto.</w:t>
      </w:r>
    </w:p>
    <w:p>
      <w:pPr>
        <w:spacing w:after="0" w:line="176"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All capitalized terms used herein shall have the same meaning as set forth in the Lease.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Except as otherwise expressly set forth herein, all other terms of the Lease shall apply to the Additional Space, are hereby ratified and confirmed and shall remain unchanged and in full force and effect.</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Executed this 13th day of June, 1997.</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LANDLORD</w:t>
      </w:r>
    </w:p>
    <w:p>
      <w:pPr>
        <w:spacing w:after="0" w:line="177" w:lineRule="exact"/>
        <w:rPr>
          <w:sz w:val="20"/>
          <w:szCs w:val="20"/>
          <w:color w:val="auto"/>
        </w:rPr>
      </w:pPr>
    </w:p>
    <w:p>
      <w:pPr>
        <w:ind w:left="2060"/>
        <w:spacing w:after="0"/>
        <w:tabs>
          <w:tab w:leader="none" w:pos="3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David E. Clem, Trustee as aforesaid and not individually</w:t>
      </w:r>
    </w:p>
    <w:p>
      <w:pPr>
        <w:spacing w:after="0" w:line="200" w:lineRule="exact"/>
        <w:rPr>
          <w:sz w:val="20"/>
          <w:szCs w:val="20"/>
          <w:color w:val="auto"/>
        </w:rPr>
      </w:pPr>
    </w:p>
    <w:p>
      <w:pPr>
        <w:spacing w:after="0" w:line="324" w:lineRule="exact"/>
        <w:rPr>
          <w:sz w:val="20"/>
          <w:szCs w:val="20"/>
          <w:color w:val="auto"/>
        </w:rPr>
      </w:pPr>
    </w:p>
    <w:p>
      <w:pPr>
        <w:ind w:left="2060"/>
        <w:spacing w:after="0"/>
        <w:tabs>
          <w:tab w:leader="none" w:pos="3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David M. Roby, Trustee as aforesaid and not individually</w:t>
      </w: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TENANT:</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Executed this 13th day of June, 1997.</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LANDLORD</w:t>
      </w: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David E. Clem, Trustee as aforesaid and not individually</w:t>
      </w: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David M. Roby, Trustee as aforesaid and not individually</w:t>
      </w: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TENANT:</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200" w:lineRule="exact"/>
        <w:rPr>
          <w:sz w:val="20"/>
          <w:szCs w:val="20"/>
          <w:color w:val="auto"/>
        </w:rPr>
      </w:pPr>
    </w:p>
    <w:p>
      <w:pPr>
        <w:spacing w:after="0" w:line="324" w:lineRule="exact"/>
        <w:rPr>
          <w:sz w:val="20"/>
          <w:szCs w:val="20"/>
          <w:color w:val="auto"/>
        </w:rPr>
      </w:pPr>
    </w:p>
    <w:p>
      <w:pPr>
        <w:ind w:left="2060"/>
        <w:spacing w:after="0"/>
        <w:tabs>
          <w:tab w:leader="none" w:pos="3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Name: Richard H. Aldrich</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Title: Senior Vice President</w:t>
      </w: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92" w:name="page93"/>
    <w:bookmarkEnd w:id="92"/>
    <w:p>
      <w:pPr>
        <w:jc w:val="center"/>
        <w:ind w:right="4299"/>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TENANT AREA TWO EQUALS ADDITIONAL SPACE</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[Drawings Follow]</w:t>
      </w:r>
    </w:p>
    <w:p>
      <w:pPr>
        <w:sectPr>
          <w:pgSz w:w="11900" w:h="16838" w:orient="portrait"/>
          <w:cols w:equalWidth="0" w:num="1">
            <w:col w:w="9019"/>
          </w:cols>
          <w:pgMar w:left="1440" w:top="811" w:right="1440" w:bottom="1440" w:gutter="0" w:footer="0" w:header="0"/>
        </w:sectPr>
      </w:pPr>
    </w:p>
    <w:bookmarkStart w:id="93" w:name="page94"/>
    <w:bookmarkEnd w:id="93"/>
    <w:p>
      <w:pPr>
        <w:jc w:val="right"/>
        <w:ind w:right="3279"/>
        <w:spacing w:after="0"/>
        <w:rPr>
          <w:sz w:val="20"/>
          <w:szCs w:val="20"/>
          <w:color w:val="auto"/>
        </w:rPr>
      </w:pPr>
      <w:r>
        <w:rPr>
          <w:rFonts w:ascii="Courier New" w:cs="Courier New" w:eastAsia="Courier New" w:hAnsi="Courier New"/>
          <w:sz w:val="15"/>
          <w:szCs w:val="15"/>
          <w:color w:val="auto"/>
        </w:rPr>
        <w:t>EXHIBIT B</w:t>
      </w:r>
    </w:p>
    <w:p>
      <w:pPr>
        <w:spacing w:after="0" w:line="350"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PLAN ENTITLED MILLENNIUM PHARMACEUTICAL INC.</w:t>
      </w:r>
    </w:p>
    <w:p>
      <w:pPr>
        <w:spacing w:after="0" w:line="3"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FORT WASHINGTON RESEARCH CENTER</w:t>
      </w:r>
    </w:p>
    <w:p>
      <w:pPr>
        <w:spacing w:after="0" w:line="3"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40 ERIE STREET, CAMBRIDGE, MA 02139</w:t>
      </w:r>
    </w:p>
    <w:p>
      <w:pPr>
        <w:spacing w:after="0" w:line="3"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INCORPORATING BASE BUILDING RENOVATIONS</w:t>
      </w:r>
    </w:p>
    <w:p>
      <w:pPr>
        <w:spacing w:after="0" w:line="3"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STAGE II &amp; MILLENNIUM TENANT FIT-OUT</w:t>
      </w:r>
    </w:p>
    <w:p>
      <w:pPr>
        <w:spacing w:after="0" w:line="3"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FINAL GMP/CONSTRUCTION SET ISSUED 1/7/97</w:t>
      </w:r>
    </w:p>
    <w:p>
      <w:pPr>
        <w:sectPr>
          <w:pgSz w:w="11900" w:h="16838" w:orient="portrait"/>
          <w:cols w:equalWidth="0" w:num="1">
            <w:col w:w="9019"/>
          </w:cols>
          <w:pgMar w:left="1440" w:top="638" w:right="1440" w:bottom="1440" w:gutter="0" w:footer="0" w:header="0"/>
        </w:sectPr>
      </w:pPr>
    </w:p>
    <w:bookmarkStart w:id="94" w:name="page95"/>
    <w:bookmarkEnd w:id="94"/>
    <w:p>
      <w:pPr>
        <w:jc w:val="right"/>
        <w:ind w:right="3279"/>
        <w:spacing w:after="0"/>
        <w:rPr>
          <w:sz w:val="20"/>
          <w:szCs w:val="20"/>
          <w:color w:val="auto"/>
        </w:rPr>
      </w:pPr>
      <w:r>
        <w:rPr>
          <w:rFonts w:ascii="Courier New" w:cs="Courier New" w:eastAsia="Courier New" w:hAnsi="Courier New"/>
          <w:sz w:val="15"/>
          <w:szCs w:val="15"/>
          <w:color w:val="auto"/>
        </w:rPr>
        <w:t>EXHIBIT I</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SECOND FLOOR ADDITION PLAN</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[DRAWING FOLLOWS]</w:t>
      </w:r>
    </w:p>
    <w:p>
      <w:pPr>
        <w:sectPr>
          <w:pgSz w:w="11900" w:h="16838" w:orient="portrait"/>
          <w:cols w:equalWidth="0" w:num="1">
            <w:col w:w="9019"/>
          </w:cols>
          <w:pgMar w:left="1440" w:top="638" w:right="1440" w:bottom="1440" w:gutter="0" w:footer="0" w:header="0"/>
        </w:sectPr>
      </w:pPr>
    </w:p>
    <w:bookmarkStart w:id="95" w:name="page96"/>
    <w:bookmarkEnd w:id="95"/>
    <w:p>
      <w:pPr>
        <w:ind w:right="3019" w:firstLine="811"/>
        <w:spacing w:after="0" w:line="244" w:lineRule="auto"/>
        <w:rPr>
          <w:sz w:val="20"/>
          <w:szCs w:val="20"/>
          <w:color w:val="auto"/>
        </w:rPr>
      </w:pPr>
      <w:r>
        <w:rPr>
          <w:rFonts w:ascii="Courier New" w:cs="Courier New" w:eastAsia="Courier New" w:hAnsi="Courier New"/>
          <w:sz w:val="15"/>
          <w:szCs w:val="15"/>
          <w:color w:val="auto"/>
        </w:rPr>
        <w:t>This OPTION AGREEMENT is entered into this l2th day of June, 1997, by and between David E. Clem and David M. Roby, Trustees of Fort Washington Realty Trust under Declaration of Trust dated June 19, 1995, and recorded in the Middlesex South District Registry of Deeds in Book 25422, Page 360 (the "Owner") with an address c/o of Lyme Timber Company, On the Common, P.O. Box 266, Lyme, New Hampshire 03768, and Vertex Pharmaceuticals Incorporated ("Vertex") with an address of 40 Erie Street, Cambridge, Massachusetts 02139.</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WHEREAS, Owner intends to construct a parking garage (the "Garage")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its property located at 47 Erie Street, Cambridge, Massachusetts.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WHEREAS, Vertex is (i) currently a tenant in the building owned by Owner located at and known as 40 Erie Street, Cambridge, Massachusetts under a lease dated March 3, 1995, as amended (the "Lease") and (ii) the future Tenant at 40 Erie Street, Cambridge, Massachusetts, of Additional Space as that term is defined in a Second Amendment to Lease of even date herewith between Owner and Vertex.</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WHEREAS, Vertex has requested and Owner is willing to grant an option to Vertex to lease fifty (50) enclosed parking spaces (the "Spaces") in the Garage subject to the terms and conditions set forth herein.</w:t>
      </w:r>
    </w:p>
    <w:p>
      <w:pPr>
        <w:spacing w:after="0" w:line="175" w:lineRule="exact"/>
        <w:rPr>
          <w:sz w:val="20"/>
          <w:szCs w:val="20"/>
          <w:color w:val="auto"/>
        </w:rPr>
      </w:pPr>
    </w:p>
    <w:p>
      <w:pPr>
        <w:jc w:val="both"/>
        <w:ind w:right="3279" w:firstLine="811"/>
        <w:spacing w:after="0" w:line="243" w:lineRule="auto"/>
        <w:rPr>
          <w:sz w:val="20"/>
          <w:szCs w:val="20"/>
          <w:color w:val="auto"/>
        </w:rPr>
      </w:pPr>
      <w:r>
        <w:rPr>
          <w:rFonts w:ascii="Courier New" w:cs="Courier New" w:eastAsia="Courier New" w:hAnsi="Courier New"/>
          <w:sz w:val="15"/>
          <w:szCs w:val="15"/>
          <w:color w:val="auto"/>
        </w:rPr>
        <w:t>NOW, THEREFORE, for good and valuable consideration, the receipt and adequacy of which are hereby acknowledged, Owner and Vertex agree as follows:</w:t>
      </w:r>
    </w:p>
    <w:p>
      <w:pPr>
        <w:spacing w:after="0" w:line="176" w:lineRule="exact"/>
        <w:rPr>
          <w:sz w:val="20"/>
          <w:szCs w:val="20"/>
          <w:color w:val="auto"/>
        </w:rPr>
      </w:pPr>
    </w:p>
    <w:p>
      <w:pPr>
        <w:ind w:right="3099" w:firstLine="804"/>
        <w:spacing w:after="0" w:line="244" w:lineRule="auto"/>
        <w:tabs>
          <w:tab w:leader="none" w:pos="108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on the date of this Option Agreement and expiring on the commencement of the Additional Space Term (the "Option Period"), and provided Vertex is not in default under the Lease, Vertex shall have an option (the "Option") to lease the Spaces from Owner or its successor in interest.</w:t>
      </w:r>
    </w:p>
    <w:p>
      <w:pPr>
        <w:spacing w:after="0" w:line="175" w:lineRule="exact"/>
        <w:rPr>
          <w:rFonts w:ascii="Courier New" w:cs="Courier New" w:eastAsia="Courier New" w:hAnsi="Courier New"/>
          <w:sz w:val="15"/>
          <w:szCs w:val="15"/>
          <w:color w:val="auto"/>
        </w:rPr>
      </w:pPr>
    </w:p>
    <w:p>
      <w:pPr>
        <w:ind w:right="3099" w:firstLine="804"/>
        <w:spacing w:after="0" w:line="244" w:lineRule="auto"/>
        <w:tabs>
          <w:tab w:leader="none" w:pos="108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Vertex may exercise the Option at any time during the Option Period by giving written notice to Owner or its successor at the address set forth above.</w:t>
      </w:r>
    </w:p>
    <w:p>
      <w:pPr>
        <w:spacing w:after="0" w:line="175" w:lineRule="exact"/>
        <w:rPr>
          <w:rFonts w:ascii="Courier New" w:cs="Courier New" w:eastAsia="Courier New" w:hAnsi="Courier New"/>
          <w:sz w:val="15"/>
          <w:szCs w:val="15"/>
          <w:color w:val="auto"/>
        </w:rPr>
      </w:pPr>
    </w:p>
    <w:p>
      <w:pPr>
        <w:ind w:right="3099" w:firstLine="804"/>
        <w:spacing w:after="0" w:line="244" w:lineRule="auto"/>
        <w:tabs>
          <w:tab w:leader="none" w:pos="108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a reasonable period of time after Owner is in receipt of Vertex's notice of exercise of the Option, Owner shall notify Vertex of the monthly rental (the "Rent") to be charged for the Spaces, which monthly rental may include a schedule of incremental rental increases not to exceed one increase per year of the Parking Space Term as hereinafter defined, which shall be at Fair Market Rate as determined by Owner.</w:t>
      </w:r>
    </w:p>
    <w:p>
      <w:pPr>
        <w:spacing w:after="0" w:line="177" w:lineRule="exact"/>
        <w:rPr>
          <w:rFonts w:ascii="Courier New" w:cs="Courier New" w:eastAsia="Courier New" w:hAnsi="Courier New"/>
          <w:sz w:val="15"/>
          <w:szCs w:val="15"/>
          <w:color w:val="auto"/>
        </w:rPr>
      </w:pPr>
    </w:p>
    <w:p>
      <w:pPr>
        <w:ind w:right="3199" w:firstLine="1615"/>
        <w:spacing w:after="0" w:line="244" w:lineRule="auto"/>
        <w:tabs>
          <w:tab w:leader="none" w:pos="1984"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ten (10) days after Vertex receives notice of the Fair Market Rate to be charged for the Spaces from Owner, Vertex shall notify Owner of its agreement with or objection to Owner's determination of the Fair Market Rate, whereupon the Fair</w:t>
      </w:r>
    </w:p>
    <w:p>
      <w:pPr>
        <w:sectPr>
          <w:pgSz w:w="11900" w:h="16838" w:orient="portrait"/>
          <w:cols w:equalWidth="0" w:num="1">
            <w:col w:w="10219"/>
          </w:cols>
          <w:pgMar w:left="240" w:top="638" w:right="1440" w:bottom="1440" w:gutter="0" w:footer="0" w:header="0"/>
        </w:sectPr>
      </w:pPr>
    </w:p>
    <w:bookmarkStart w:id="96" w:name="page97"/>
    <w:bookmarkEnd w:id="96"/>
    <w:p>
      <w:pPr>
        <w:ind w:right="3019"/>
        <w:spacing w:after="0" w:line="244" w:lineRule="auto"/>
        <w:rPr>
          <w:sz w:val="20"/>
          <w:szCs w:val="20"/>
          <w:color w:val="auto"/>
        </w:rPr>
      </w:pPr>
      <w:r>
        <w:rPr>
          <w:rFonts w:ascii="Courier New" w:cs="Courier New" w:eastAsia="Courier New" w:hAnsi="Courier New"/>
          <w:sz w:val="15"/>
          <w:szCs w:val="15"/>
          <w:color w:val="auto"/>
        </w:rPr>
        <w:t>Market Rate shall be determined by arbitration conducted in the manner set forth below. If Vertex does not notify Owner within such ten (10) day period of Vertex's agreement with or objection to Owner's determination of the Fair Market Rate, then the Fair Market Rate for the Spaces shall be deemed to be Owner's determination of the Fair Market Rate as set forth in the notice from Owner described in this subsection.</w:t>
      </w:r>
    </w:p>
    <w:p>
      <w:pPr>
        <w:spacing w:after="0" w:line="177" w:lineRule="exact"/>
        <w:rPr>
          <w:sz w:val="20"/>
          <w:szCs w:val="20"/>
          <w:color w:val="auto"/>
        </w:rPr>
      </w:pPr>
    </w:p>
    <w:p>
      <w:pPr>
        <w:ind w:right="3019" w:firstLine="804"/>
        <w:spacing w:after="0" w:line="244" w:lineRule="auto"/>
        <w:tabs>
          <w:tab w:leader="none" w:pos="117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Vertex notifies Owner of Vertex's objection to Owner's determination of Fair Market Rate under the preceding subsection, such notice shall also set forth a request for arbitration and Vertex's appointment of a commercial real estate broker having at least ten (10) years' experience in the commercial leasing market in the City of Cambridge, Massachusetts (an "Arbitrator"). Within five (5) days thereafter, Owner shall by notice to Vertex appoint a second Arbitrator. Each Arbitrator shall be instructed to determine the Fair Market Rate for the applicable Additional Space Extension Period within thirty (30) days after Owner's appointment of the second Arbitrator. On or before the expiration of such thirty (30) day period, the two Arbitrators shall confer to compare their respective determinations of the Fair Market Rate. If the difference between the amounts so determined by the two Arbitrators is less than or equal to ten percent (10%) of the lower of said amounts then the final determination of the Fair Market Rate shall be equal to the average of said amounts. If such difference between said amounts is greater than ten percent (10%), then the two arbitrators within ten (10) days thereafter shall appoint a third Arbitrator (the "Third Arbitrator"), who shall be instructed to determine the Fair Market Rate for the applicable Additional Space Extension Period within ten (10) days after his appointment by selecting one of the amounts determined by the other two Arbitrators. Each party shall bear the cost of the Arbitrator selected by such party. The cost for the Third Arbitrator, if any, shall be shared equally by Owner and Vertex.</w:t>
      </w:r>
    </w:p>
    <w:p>
      <w:pPr>
        <w:spacing w:after="0" w:line="187" w:lineRule="exact"/>
        <w:rPr>
          <w:sz w:val="20"/>
          <w:szCs w:val="20"/>
          <w:color w:val="auto"/>
        </w:rPr>
      </w:pPr>
    </w:p>
    <w:p>
      <w:pPr>
        <w:ind w:right="3019" w:firstLine="804"/>
        <w:spacing w:after="0" w:line="244" w:lineRule="auto"/>
        <w:tabs>
          <w:tab w:leader="none" w:pos="108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Occupancy of the Spaces and the payment of the Rent shall commence no later than the commencement of the Additional Space Term and shall continue until the expiration of the term of the Lease (as may be extended in accordance with the terms of the Lease), for Vertex's Additional Space at 40 Erie Street as defined the Lease (the "Parking Space Term").</w:t>
      </w:r>
    </w:p>
    <w:p>
      <w:pPr>
        <w:spacing w:after="0" w:line="176" w:lineRule="exact"/>
        <w:rPr>
          <w:rFonts w:ascii="Courier New" w:cs="Courier New" w:eastAsia="Courier New" w:hAnsi="Courier New"/>
          <w:sz w:val="15"/>
          <w:szCs w:val="15"/>
          <w:color w:val="auto"/>
        </w:rPr>
      </w:pPr>
    </w:p>
    <w:p>
      <w:pPr>
        <w:ind w:right="3639" w:firstLine="804"/>
        <w:spacing w:after="0" w:line="243" w:lineRule="auto"/>
        <w:tabs>
          <w:tab w:leader="none" w:pos="108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to memorialize the Commencement Date of the Parking Space Term.</w:t>
      </w:r>
    </w:p>
    <w:p>
      <w:pPr>
        <w:spacing w:after="0" w:line="176" w:lineRule="exact"/>
        <w:rPr>
          <w:rFonts w:ascii="Courier New" w:cs="Courier New" w:eastAsia="Courier New" w:hAnsi="Courier New"/>
          <w:sz w:val="15"/>
          <w:szCs w:val="15"/>
          <w:color w:val="auto"/>
        </w:rPr>
      </w:pPr>
    </w:p>
    <w:p>
      <w:pPr>
        <w:jc w:val="both"/>
        <w:ind w:right="3019" w:firstLine="804"/>
        <w:spacing w:after="0" w:line="244" w:lineRule="auto"/>
        <w:tabs>
          <w:tab w:leader="none" w:pos="108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none of the terms set forth herein or the existence of this Option Agreement shall create an obligation on the part of Owner to construct the Garage.</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08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set forth herein, all capitalized terms used herein shall have the same meaning as set forth in the Lease and Second Amendment to Lease referred to herein.</w:t>
      </w:r>
    </w:p>
    <w:p>
      <w:pPr>
        <w:spacing w:after="0" w:line="34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Executed as of the date first above written.</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FORT WASHINGTON REALTY TRUST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By: David E. Clem, Trustee aforesaid and not individually</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By: David M. Roby, Trustee as aforesaid and not individually</w:t>
      </w:r>
    </w:p>
    <w:p>
      <w:pPr>
        <w:spacing w:after="0" w:line="18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Executed as of the date first above written.</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FORT WASHINGTON REALTY TRUST</w:t>
      </w:r>
    </w:p>
    <w:p>
      <w:pPr>
        <w:spacing w:after="0" w:line="200" w:lineRule="exact"/>
        <w:rPr>
          <w:sz w:val="20"/>
          <w:szCs w:val="20"/>
          <w:color w:val="auto"/>
        </w:rPr>
      </w:pPr>
    </w:p>
    <w:p>
      <w:pPr>
        <w:spacing w:after="0" w:line="32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David E. Clem, Trustee as aforesaid and not individually</w:t>
      </w:r>
    </w:p>
    <w:p>
      <w:pPr>
        <w:spacing w:after="0" w:line="200" w:lineRule="exact"/>
        <w:rPr>
          <w:sz w:val="20"/>
          <w:szCs w:val="20"/>
          <w:color w:val="auto"/>
        </w:rPr>
      </w:pPr>
    </w:p>
    <w:p>
      <w:pPr>
        <w:spacing w:after="0" w:line="32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David M. Roby, Trustee as aforesaid and not individually</w:t>
      </w:r>
    </w:p>
    <w:p>
      <w:pPr>
        <w:spacing w:after="0" w:line="200" w:lineRule="exact"/>
        <w:rPr>
          <w:sz w:val="20"/>
          <w:szCs w:val="20"/>
          <w:color w:val="auto"/>
        </w:rPr>
      </w:pPr>
    </w:p>
    <w:p>
      <w:pPr>
        <w:spacing w:after="0" w:line="32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VERTEX PHARMACEUTICALS INCORPORATED</w:t>
      </w:r>
    </w:p>
    <w:p>
      <w:pPr>
        <w:spacing w:after="0" w:line="177" w:lineRule="exact"/>
        <w:rPr>
          <w:sz w:val="20"/>
          <w:szCs w:val="20"/>
          <w:color w:val="auto"/>
        </w:rPr>
      </w:pPr>
    </w:p>
    <w:p>
      <w:pPr>
        <w:ind w:left="1800"/>
        <w:spacing w:after="0"/>
        <w:tabs>
          <w:tab w:leader="none" w:pos="37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800"/>
        <w:spacing w:after="0"/>
        <w:tabs>
          <w:tab w:leader="none" w:pos="2400" w:val="left"/>
        </w:tabs>
        <w:rPr>
          <w:sz w:val="20"/>
          <w:szCs w:val="20"/>
          <w:color w:val="auto"/>
        </w:rPr>
      </w:pPr>
      <w:r>
        <w:rPr>
          <w:rFonts w:ascii="Courier New" w:cs="Courier New" w:eastAsia="Courier New" w:hAnsi="Courier New"/>
          <w:sz w:val="15"/>
          <w:szCs w:val="15"/>
          <w:color w:val="auto"/>
        </w:rPr>
        <w:t>Name:</w:t>
        <w:tab/>
        <w:t>Richard H. Aldrich</w:t>
      </w:r>
    </w:p>
    <w:p>
      <w:pPr>
        <w:spacing w:after="0" w:line="3"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99" w:name="page100"/>
    <w:bookmarkEnd w:id="99"/>
    <w:p>
      <w:pPr>
        <w:jc w:val="right"/>
        <w:ind w:right="3459"/>
        <w:spacing w:after="0"/>
        <w:rPr>
          <w:sz w:val="20"/>
          <w:szCs w:val="20"/>
          <w:color w:val="auto"/>
        </w:rPr>
      </w:pPr>
      <w:r>
        <w:rPr>
          <w:rFonts w:ascii="Courier New" w:cs="Courier New" w:eastAsia="Courier New" w:hAnsi="Courier New"/>
          <w:sz w:val="15"/>
          <w:szCs w:val="15"/>
          <w:color w:val="auto"/>
        </w:rPr>
        <w:t>EXHIBIT 21</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EXHIBIT 21</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Altus Biologics Inc. (incorporated in Massachusetts)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Vertex Securities Corp. (incorporated in Massachusetts)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Vertex Pharmaceuticals (Europe) Limited (incorporated in England)</w:t>
      </w:r>
    </w:p>
    <w:p>
      <w:pPr>
        <w:sectPr>
          <w:pgSz w:w="11900" w:h="16838" w:orient="portrait"/>
          <w:cols w:equalWidth="0" w:num="1">
            <w:col w:w="10219"/>
          </w:cols>
          <w:pgMar w:left="240" w:top="487" w:right="1440" w:bottom="1440" w:gutter="0" w:footer="0" w:header="0"/>
        </w:sectPr>
      </w:pPr>
    </w:p>
    <w:bookmarkStart w:id="100" w:name="page101"/>
    <w:bookmarkEnd w:id="100"/>
    <w:p>
      <w:pPr>
        <w:ind w:left="5940"/>
        <w:spacing w:after="0"/>
        <w:rPr>
          <w:sz w:val="20"/>
          <w:szCs w:val="20"/>
          <w:color w:val="auto"/>
        </w:rPr>
      </w:pPr>
      <w:r>
        <w:rPr>
          <w:rFonts w:ascii="Courier New" w:cs="Courier New" w:eastAsia="Courier New" w:hAnsi="Courier New"/>
          <w:sz w:val="15"/>
          <w:szCs w:val="15"/>
          <w:color w:val="auto"/>
        </w:rPr>
        <w:t>Exhibit 23</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of Vertex Pharmaceuticals Incorporated on Form S-8 (File Nos. 33-48030,</w:t>
      </w:r>
    </w:p>
    <w:p>
      <w:pPr>
        <w:spacing w:after="0" w:line="3"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33-48348, 33-65742, 33-93224, 33-12325 and 333-27011) of our report dated February 23, 1998 on our audits of the consolidated financial statements of Vertex Pharmaceuticals Incorporated, as of December 31, 1997 and 1996, and for years ended December 31, 1997, 1996 and 1995, which report is included in this annual report on Form 10-K.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26, 1998</w:t>
      </w:r>
    </w:p>
    <w:p>
      <w:pPr>
        <w:sectPr>
          <w:pgSz w:w="11900" w:h="16838" w:orient="portrait"/>
          <w:cols w:equalWidth="0" w:num="1">
            <w:col w:w="10219"/>
          </w:cols>
          <w:pgMar w:left="240" w:top="487" w:right="1440" w:bottom="1440" w:gutter="0" w:footer="0" w:header="0"/>
        </w:sectPr>
      </w:pPr>
    </w:p>
    <w:bookmarkStart w:id="101" w:name="page102"/>
    <w:bookmarkEnd w:id="1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ind w:left="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2999"/>
        <w:spacing w:after="0" w:line="244" w:lineRule="auto"/>
        <w:rPr>
          <w:sz w:val="20"/>
          <w:szCs w:val="20"/>
          <w:color w:val="auto"/>
        </w:rPr>
      </w:pPr>
      <w:r>
        <w:rPr>
          <w:rFonts w:ascii="Courier New" w:cs="Courier New" w:eastAsia="Courier New" w:hAnsi="Courier New"/>
          <w:sz w:val="15"/>
          <w:szCs w:val="15"/>
          <w:color w:val="auto"/>
        </w:rPr>
        <w:t>THIS SCHEDULE CONTAINS SUMMARY FINANCIAL INFORMATION EXTRACTED FROM THE COMPANY'S ANNUAL REPORT ON FORM 10-K FOR FISCAL YEAR ENDED DECEMBER 31, 1997 AND IS QUALIFIED IN ITS ENTIRETY BY REFERENCE TO SUCH FINANCIAL STATEMENTS.</w:t>
      </w:r>
    </w:p>
    <w:p>
      <w:pPr>
        <w:spacing w:after="0" w:line="17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U.S. DOLLARS</w:t>
      </w:r>
    </w:p>
    <w:p>
      <w:pPr>
        <w:spacing w:after="0" w:line="35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YEAR</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DEC-31-1997</w:t>
      </w:r>
    </w:p>
    <w:p>
      <w:pPr>
        <w:spacing w:after="0" w:line="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JAN-01-1997</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DEC-31-1997</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71,454</w:t>
      </w:r>
    </w:p>
    <w:p>
      <w:pPr>
        <w:spacing w:after="0" w:line="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208,217</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281,623</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34,720</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23,625</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295,604</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13,698</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252</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275,749</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295,604</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43,799</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63,054</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576</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(19,831)</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(19,831)</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(0.82)</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(0.82)</w:t>
      </w:r>
    </w:p>
    <w:sectPr>
      <w:pgSz w:w="11900" w:h="16838" w:orient="portrait"/>
      <w:cols w:equalWidth="0" w:num="1">
        <w:col w:w="10199"/>
      </w:cols>
      <w:pgMar w:left="26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upperLetter"/>
      <w:start w:val="61"/>
    </w:lvl>
  </w:abstractNum>
  <w:abstractNum w:abstractNumId="2">
    <w:nsid w:val="4516DDE9"/>
    <w:multiLevelType w:val="hybridMultilevel"/>
    <w:lvl w:ilvl="0">
      <w:lvlJc w:val="left"/>
      <w:lvlText w:val="%1"/>
      <w:numFmt w:val="decimal"/>
      <w:start w:val="27"/>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lowerLetter"/>
      <w:start w:val="2"/>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1."/>
      <w:numFmt w:val="upperLetter"/>
      <w:start w:val="2"/>
    </w:lvl>
  </w:abstractNum>
  <w:abstractNum w:abstractNumId="13">
    <w:nsid w:val="2463B9EA"/>
    <w:multiLevelType w:val="hybridMultilevel"/>
    <w:lvl w:ilvl="0">
      <w:lvlJc w:val="left"/>
      <w:lvlText w:val="%1."/>
      <w:numFmt w:val="upperLetter"/>
      <w:start w:val="3"/>
    </w:lvl>
  </w:abstractNum>
  <w:abstractNum w:abstractNumId="14">
    <w:nsid w:val="5E884ADC"/>
    <w:multiLevelType w:val="hybridMultilevel"/>
    <w:lvl w:ilvl="0">
      <w:lvlJc w:val="left"/>
      <w:lvlText w:val="%1."/>
      <w:numFmt w:val="upperLetter"/>
      <w:start w:val="4"/>
    </w:lvl>
  </w:abstractNum>
  <w:abstractNum w:abstractNumId="15">
    <w:nsid w:val="51EAD36B"/>
    <w:multiLevelType w:val="hybridMultilevel"/>
    <w:lvl w:ilvl="0">
      <w:lvlJc w:val="left"/>
      <w:lvlText w:val="%1."/>
      <w:numFmt w:val="upperLetter"/>
      <w:start w:val="5"/>
    </w:lvl>
  </w:abstractNum>
  <w:abstractNum w:abstractNumId="16">
    <w:nsid w:val="2D517796"/>
    <w:multiLevelType w:val="hybridMultilevel"/>
    <w:lvl w:ilvl="0">
      <w:lvlJc w:val="left"/>
      <w:lvlText w:val="%1."/>
      <w:numFmt w:val="upperLetter"/>
      <w:start w:val="6"/>
    </w:lvl>
  </w:abstractNum>
  <w:abstractNum w:abstractNumId="17">
    <w:nsid w:val="580BD78F"/>
    <w:multiLevelType w:val="hybridMultilevel"/>
    <w:lvl w:ilvl="0">
      <w:lvlJc w:val="left"/>
      <w:lvlText w:val="%1."/>
      <w:numFmt w:val="upperLetter"/>
      <w:start w:val="7"/>
    </w:lvl>
  </w:abstractNum>
  <w:abstractNum w:abstractNumId="18">
    <w:nsid w:val="153EA438"/>
    <w:multiLevelType w:val="hybridMultilevel"/>
    <w:lvl w:ilvl="0">
      <w:lvlJc w:val="left"/>
      <w:lvlText w:val="%1."/>
      <w:numFmt w:val="upperLetter"/>
      <w:start w:val="8"/>
    </w:lvl>
  </w:abstractNum>
  <w:abstractNum w:abstractNumId="19">
    <w:nsid w:val="3855585C"/>
    <w:multiLevelType w:val="hybridMultilevel"/>
    <w:lvl w:ilvl="0">
      <w:lvlJc w:val="left"/>
      <w:lvlText w:val="%1."/>
      <w:numFmt w:val="upperLetter"/>
      <w:start w:val="9"/>
    </w:lvl>
  </w:abstractNum>
  <w:abstractNum w:abstractNumId="20">
    <w:nsid w:val="70A64E2A"/>
    <w:multiLevelType w:val="hybridMultilevel"/>
    <w:lvl w:ilvl="0">
      <w:lvlJc w:val="left"/>
      <w:lvlText w:val="%1."/>
      <w:numFmt w:val="upperLetter"/>
      <w:start w:val="10"/>
    </w:lvl>
  </w:abstractNum>
  <w:abstractNum w:abstractNumId="21">
    <w:nsid w:val="6A2342EC"/>
    <w:multiLevelType w:val="hybridMultilevel"/>
    <w:lvl w:ilvl="0">
      <w:lvlJc w:val="left"/>
      <w:lvlText w:val="%1."/>
      <w:numFmt w:val="upperLetter"/>
      <w:start w:val="11"/>
    </w:lvl>
  </w:abstractNum>
  <w:abstractNum w:abstractNumId="22">
    <w:nsid w:val="2A487CB0"/>
    <w:multiLevelType w:val="hybridMultilevel"/>
    <w:lvl w:ilvl="0">
      <w:lvlJc w:val="left"/>
      <w:lvlText w:val="-"/>
      <w:numFmt w:val="bullet"/>
      <w:start w:val="1"/>
    </w:lvl>
    <w:lvl w:ilvl="1">
      <w:lvlJc w:val="left"/>
      <w:lvlText w:val="%2"/>
      <w:numFmt w:val="decimal"/>
      <w:start w:val="27"/>
    </w:lvl>
  </w:abstractNum>
  <w:abstractNum w:abstractNumId="23">
    <w:nsid w:val="1D4ED43B"/>
    <w:multiLevelType w:val="hybridMultilevel"/>
    <w:lvl w:ilvl="0">
      <w:lvlJc w:val="left"/>
      <w:lvlText w:val="*"/>
      <w:numFmt w:val="bullet"/>
      <w:start w:val="1"/>
    </w:lvl>
    <w:lvl w:ilvl="1">
      <w:lvlJc w:val="left"/>
      <w:lvlText w:val="%2."/>
      <w:numFmt w:val="decimal"/>
      <w:start w:val="1"/>
    </w:lvl>
  </w:abstractNum>
  <w:abstractNum w:abstractNumId="24">
    <w:nsid w:val="725A06FB"/>
    <w:multiLevelType w:val="hybridMultilevel"/>
    <w:lvl w:ilvl="0">
      <w:lvlJc w:val="left"/>
      <w:lvlText w:val="%1."/>
      <w:numFmt w:val="decimal"/>
      <w:start w:val="3"/>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lowerRoman"/>
      <w:start w:val="1"/>
    </w:lvl>
  </w:abstractNum>
  <w:abstractNum w:abstractNumId="27">
    <w:nsid w:val="7A6D8D3C"/>
    <w:multiLevelType w:val="hybridMultilevel"/>
    <w:lvl w:ilvl="0">
      <w:lvlJc w:val="left"/>
      <w:lvlText w:val="%1."/>
      <w:numFmt w:val="decimal"/>
      <w:start w:val="2"/>
    </w:lvl>
  </w:abstractNum>
  <w:abstractNum w:abstractNumId="28">
    <w:nsid w:val="4B588F54"/>
    <w:multiLevelType w:val="hybridMultilevel"/>
    <w:lvl w:ilvl="0">
      <w:lvlJc w:val="left"/>
      <w:lvlText w:val="(%1)"/>
      <w:numFmt w:val="lowerRoman"/>
      <w:start w:val="1"/>
    </w:lvl>
  </w:abstractNum>
  <w:abstractNum w:abstractNumId="29">
    <w:nsid w:val="542289EC"/>
    <w:multiLevelType w:val="hybridMultilevel"/>
    <w:lvl w:ilvl="0">
      <w:lvlJc w:val="left"/>
      <w:lvlText w:val="(%1)"/>
      <w:numFmt w:val="lowerRoman"/>
      <w:start w:val="1"/>
    </w:lvl>
  </w:abstractNum>
  <w:abstractNum w:abstractNumId="30">
    <w:nsid w:val="6DE91B18"/>
    <w:multiLevelType w:val="hybridMultilevel"/>
    <w:lvl w:ilvl="0">
      <w:lvlJc w:val="left"/>
      <w:lvlText w:val="(%1)"/>
      <w:numFmt w:val="lowerRoman"/>
      <w:start w:val="4"/>
    </w:lvl>
  </w:abstractNum>
  <w:abstractNum w:abstractNumId="31">
    <w:nsid w:val="38437FDB"/>
    <w:multiLevelType w:val="hybridMultilevel"/>
    <w:lvl w:ilvl="0">
      <w:lvlJc w:val="left"/>
      <w:lvlText w:val="%1."/>
      <w:numFmt w:val="upperLetter"/>
      <w:start w:val="1"/>
    </w:lvl>
  </w:abstractNum>
  <w:abstractNum w:abstractNumId="32">
    <w:nsid w:val="7644A45C"/>
    <w:multiLevelType w:val="hybridMultilevel"/>
    <w:lvl w:ilvl="0">
      <w:lvlJc w:val="left"/>
      <w:lvlText w:val="%1."/>
      <w:numFmt w:val="upperLetter"/>
      <w:start w:val="2"/>
    </w:lvl>
  </w:abstractNum>
  <w:abstractNum w:abstractNumId="33">
    <w:nsid w:val="32FFF902"/>
    <w:multiLevelType w:val="hybridMultilevel"/>
    <w:lvl w:ilvl="0">
      <w:lvlJc w:val="left"/>
      <w:lvlText w:val="%1."/>
      <w:numFmt w:val="upperLetter"/>
      <w:start w:val="1"/>
    </w:lvl>
  </w:abstractNum>
  <w:abstractNum w:abstractNumId="34">
    <w:nsid w:val="684A481A"/>
    <w:multiLevelType w:val="hybridMultilevel"/>
    <w:lvl w:ilvl="0">
      <w:lvlJc w:val="left"/>
      <w:lvlText w:val="%1."/>
      <w:numFmt w:val="upperLetter"/>
      <w:start w:val="2"/>
    </w:lvl>
  </w:abstractNum>
  <w:abstractNum w:abstractNumId="35">
    <w:nsid w:val="579478FE"/>
    <w:multiLevelType w:val="hybridMultilevel"/>
    <w:lvl w:ilvl="0">
      <w:lvlJc w:val="left"/>
      <w:lvlText w:val="%1."/>
      <w:numFmt w:val="upperLetter"/>
      <w:start w:val="3"/>
    </w:lvl>
  </w:abstractNum>
  <w:abstractNum w:abstractNumId="36">
    <w:nsid w:val="749ABB43"/>
    <w:multiLevelType w:val="hybridMultilevel"/>
    <w:lvl w:ilvl="0">
      <w:lvlJc w:val="left"/>
      <w:lvlText w:val="%1."/>
      <w:numFmt w:val="upperLetter"/>
      <w:start w:val="4"/>
    </w:lvl>
  </w:abstractNum>
  <w:abstractNum w:abstractNumId="37">
    <w:nsid w:val="3DC240FB"/>
    <w:multiLevelType w:val="hybridMultilevel"/>
    <w:lvl w:ilvl="0">
      <w:lvlJc w:val="left"/>
      <w:lvlText w:val="%1."/>
      <w:numFmt w:val="upperLetter"/>
      <w:start w:val="5"/>
    </w:lvl>
    <w:lvl w:ilvl="1">
      <w:lvlJc w:val="left"/>
      <w:lvlText w:val="%2."/>
      <w:numFmt w:val="decimal"/>
      <w:start w:val="1"/>
    </w:lvl>
  </w:abstractNum>
  <w:abstractNum w:abstractNumId="38">
    <w:nsid w:val="1BA026FA"/>
    <w:multiLevelType w:val="hybridMultilevel"/>
    <w:lvl w:ilvl="0">
      <w:lvlJc w:val="left"/>
      <w:lvlText w:val="%1."/>
      <w:numFmt w:val="decimal"/>
      <w:start w:val="2"/>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decimal"/>
      <w:start w:val="3"/>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upperLetter"/>
      <w:start w:val="1"/>
    </w:lvl>
  </w:abstractNum>
  <w:abstractNum w:abstractNumId="44">
    <w:nsid w:val="374A3FE6"/>
    <w:multiLevelType w:val="hybridMultilevel"/>
    <w:lvl w:ilvl="0">
      <w:lvlJc w:val="left"/>
      <w:lvlText w:val="(%1)"/>
      <w:numFmt w:val="upperLetter"/>
      <w:start w:val="2"/>
    </w:lvl>
  </w:abstractNum>
  <w:abstractNum w:abstractNumId="45">
    <w:nsid w:val="4F4EF005"/>
    <w:multiLevelType w:val="hybridMultilevel"/>
    <w:lvl w:ilvl="0">
      <w:lvlJc w:val="left"/>
      <w:lvlText w:val="(%1)"/>
      <w:numFmt w:val="upperLetter"/>
      <w:start w:val="1"/>
    </w:lvl>
  </w:abstractNum>
  <w:abstractNum w:abstractNumId="46">
    <w:nsid w:val="23F9C13C"/>
    <w:multiLevelType w:val="hybridMultilevel"/>
    <w:lvl w:ilvl="0">
      <w:lvlJc w:val="left"/>
      <w:lvlText w:val="(%1)"/>
      <w:numFmt w:val="upperLetter"/>
      <w:start w:val="1"/>
    </w:lvl>
    <w:lvl w:ilvl="1">
      <w:lvlJc w:val="left"/>
      <w:lvlText w:val="(%2)"/>
      <w:numFmt w:val="lowerRoman"/>
      <w:start w:val="1"/>
    </w:lvl>
  </w:abstractNum>
  <w:abstractNum w:abstractNumId="47">
    <w:nsid w:val="649BB77C"/>
    <w:multiLevelType w:val="hybridMultilevel"/>
    <w:lvl w:ilvl="0">
      <w:lvlJc w:val="left"/>
      <w:lvlText w:val="%1"/>
      <w:numFmt w:val="upperLetter"/>
      <w:start w:val="1"/>
    </w:lvl>
    <w:lvl w:ilvl="1">
      <w:lvlJc w:val="left"/>
      <w:lvlText w:val="(%2)"/>
      <w:numFmt w:val="lowerRoman"/>
      <w:start w:val="4"/>
    </w:lvl>
  </w:abstractNum>
  <w:abstractNum w:abstractNumId="48">
    <w:nsid w:val="275AC794"/>
    <w:multiLevelType w:val="hybridMultilevel"/>
    <w:lvl w:ilvl="0">
      <w:lvlJc w:val="left"/>
      <w:lvlText w:val="(%1)"/>
      <w:numFmt w:val="upperLetter"/>
      <w:start w:val="2"/>
    </w:lvl>
    <w:lvl w:ilvl="1">
      <w:lvlJc w:val="left"/>
      <w:lvlText w:val="%2"/>
      <w:numFmt w:val="lowerRoman"/>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lvl w:ilvl="1">
      <w:lvlJc w:val="left"/>
      <w:lvlText w:val="(%2)"/>
      <w:numFmt w:val="decimal"/>
      <w:start w:val="10"/>
    </w:lvl>
  </w:abstractNum>
  <w:abstractNum w:abstractNumId="54">
    <w:nsid w:val="354FE9F9"/>
    <w:multiLevelType w:val="hybridMultilevel"/>
    <w:lvl w:ilvl="0">
      <w:lvlJc w:val="left"/>
      <w:lvlText w:val="(%1)"/>
      <w:numFmt w:val="decimal"/>
      <w:start w:val="2"/>
    </w:lvl>
  </w:abstractNum>
  <w:abstractNum w:abstractNumId="55">
    <w:nsid w:val="15B5AF5C"/>
    <w:multiLevelType w:val="hybridMultilevel"/>
    <w:lvl w:ilvl="0">
      <w:lvlJc w:val="left"/>
      <w:lvlText w:val="(%1)"/>
      <w:numFmt w:val="lowerLetter"/>
      <w:start w:val="3"/>
    </w:lvl>
  </w:abstractNum>
  <w:abstractNum w:abstractNumId="56">
    <w:nsid w:val="741226BB"/>
    <w:multiLevelType w:val="hybridMultilevel"/>
    <w:lvl w:ilvl="0">
      <w:lvlJc w:val="left"/>
      <w:lvlText w:val="(%1)"/>
      <w:numFmt w:val="lowerLetter"/>
      <w:start w:val="5"/>
    </w:lvl>
  </w:abstractNum>
  <w:abstractNum w:abstractNumId="57">
    <w:nsid w:val="D34B6A8"/>
    <w:multiLevelType w:val="hybridMultilevel"/>
    <w:lvl w:ilvl="0">
      <w:lvlJc w:val="left"/>
      <w:lvlText w:val="%1."/>
      <w:numFmt w:val="decimal"/>
      <w:start w:val="3"/>
    </w:lvl>
  </w:abstractNum>
  <w:abstractNum w:abstractNumId="58">
    <w:nsid w:val="10233C99"/>
    <w:multiLevelType w:val="hybridMultilevel"/>
    <w:lvl w:ilvl="0">
      <w:lvlJc w:val="left"/>
      <w:lvlText w:val="%1."/>
      <w:numFmt w:val="decimal"/>
      <w:start w:val="4"/>
    </w:lvl>
    <w:lvl w:ilvl="1">
      <w:lvlJc w:val="left"/>
      <w:lvlText w:val="(%2)"/>
      <w:numFmt w:val="lowerLetter"/>
      <w:start w:val="2"/>
    </w:lvl>
  </w:abstractNum>
  <w:abstractNum w:abstractNumId="59">
    <w:nsid w:val="3F6AB60F"/>
    <w:multiLevelType w:val="hybridMultilevel"/>
    <w:lvl w:ilvl="0">
      <w:lvlJc w:val="left"/>
      <w:lvlText w:val="%1."/>
      <w:numFmt w:val="decimal"/>
      <w:start w:val="7"/>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lowerLetter"/>
      <w:start w:val="2"/>
    </w:lvl>
  </w:abstractNum>
  <w:abstractNum w:abstractNumId="62">
    <w:nsid w:val="77AE35E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2019-12-13T20:14:32Z</dcterms:created>
  <dcterms:modified xsi:type="dcterms:W3CDTF">2019-12-13T20:14:32Z</dcterms:modified>
</cp:coreProperties>
</file>