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279.xml.htm"/>
      <w:bookmarkStart w:id="1" w:name="kswkform4_17924412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Garber Alan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PHARMACEUTICALS INC / MA</w:t>
              </w:r>
            </w:hyperlink>
            <w:r>
              <w:rPr/>
              <w:t xml:space="preserve"> [ </w:t>
            </w:r>
            <w:r>
              <w:rPr>
                <w:rFonts w:ascii="Times;serif" w:hAnsi="Times;serif"/>
                <w:color w:val="0000FF"/>
                <w:sz w:val="24"/>
                <w:shd w:fill="FFFFFF" w:val="clear"/>
              </w:rPr>
              <w:t>VRTX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29.272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512.44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represents one share of common stock and is paid out in common stock upon the earliest to occur of (i) termination of Dr. Garber's service on our board of directors, (ii) a change of control of our company and (iii) Dr. Garber's disability or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2907" TargetMode="External"/><Relationship Id="rId5" Type="http://schemas.openxmlformats.org/officeDocument/2006/relationships/hyperlink" Target="http://www.sec.gov/cgi-bin/browse-edgar?action=getcompany&amp;CIK=000087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3363</Characters>
  <CharactersWithSpaces>3913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