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jc w:val="left"/>
        <w:rPr/>
      </w:pPr>
      <w:hyperlink w:anchor="ic38640cea1ea4e5da8ac150e660786e8_7">
        <w:bookmarkStart w:id="0" w:name="vrtx-20260331.htm"/>
        <w:bookmarkStart w:id="1" w:name="ksvrtx20260331"/>
        <w:bookmarkEnd w:id="0"/>
        <w:bookmarkEnd w:id="1"/>
        <w:r>
          <w:rPr>
            <w:rStyle w:val="InternetLink"/>
            <w:rFonts w:ascii="Times New Roman;serif" w:hAnsi="Times New Roman;serif"/>
            <w:b w:val="false"/>
            <w:i w:val="false"/>
            <w:caps w:val="false"/>
            <w:smallCaps w:val="false"/>
            <w:color w:val="0000FF"/>
            <w:sz w:val="16"/>
            <w:u w:val="single"/>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20" w:before="0" w:after="0"/>
        <w:jc w:val="left"/>
        <w:rPr>
          <w:rFonts w:ascii="Times New Roman;serif" w:hAnsi="Times New Roman;serif"/>
          <w:b/>
          <w:i w:val="false"/>
          <w:caps w:val="false"/>
          <w:smallCaps w:val="false"/>
          <w:strike w:val="false"/>
          <w:dstrike w:val="false"/>
          <w:sz w:val="32"/>
          <w:u w:val="none"/>
          <w:effect w:val="none"/>
        </w:rPr>
      </w:pPr>
      <w:r>
        <w:rPr>
          <w:rFonts w:ascii="Times New Roman;serif" w:hAnsi="Times New Roman;serif"/>
          <w:b/>
          <w:i w:val="false"/>
          <w:caps w:val="false"/>
          <w:smallCaps w:val="false"/>
          <w:strike w:val="false"/>
          <w:dstrike w:val="false"/>
          <w:sz w:val="32"/>
          <w:u w:val="none"/>
          <w:effect w:val="none"/>
        </w:rPr>
        <w:t>UNITED STATES</w:t>
      </w:r>
    </w:p>
    <w:p>
      <w:pPr>
        <w:pStyle w:val="TextBody"/>
        <w:bidi w:val="0"/>
        <w:spacing w:lineRule="atLeast" w:line="320" w:before="0" w:after="0"/>
        <w:jc w:val="left"/>
        <w:rPr>
          <w:rFonts w:ascii="Times New Roman;serif" w:hAnsi="Times New Roman;serif"/>
          <w:b/>
          <w:i w:val="false"/>
          <w:caps w:val="false"/>
          <w:smallCaps w:val="false"/>
          <w:strike w:val="false"/>
          <w:dstrike w:val="false"/>
          <w:sz w:val="32"/>
          <w:u w:val="none"/>
          <w:effect w:val="none"/>
        </w:rPr>
      </w:pPr>
      <w:r>
        <w:rPr>
          <w:rFonts w:ascii="Times New Roman;serif" w:hAnsi="Times New Roman;serif"/>
          <w:b/>
          <w:i w:val="false"/>
          <w:caps w:val="false"/>
          <w:smallCaps w:val="false"/>
          <w:strike w:val="false"/>
          <w:dstrike w:val="false"/>
          <w:sz w:val="32"/>
          <w:u w:val="none"/>
          <w:effect w:val="none"/>
        </w:rPr>
        <w:t>SECURITIES AND EXCHANGE COMMISSION</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WASHINGTON, D.C. 20549</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________________________________________________________</w:t>
      </w:r>
    </w:p>
    <w:p>
      <w:pPr>
        <w:pStyle w:val="TextBody"/>
        <w:bidi w:val="0"/>
        <w:spacing w:lineRule="atLeast" w:line="320" w:before="0" w:after="0"/>
        <w:jc w:val="left"/>
        <w:rPr>
          <w:rFonts w:ascii="Times New Roman;serif" w:hAnsi="Times New Roman;serif"/>
          <w:b/>
          <w:i w:val="false"/>
          <w:caps w:val="false"/>
          <w:smallCaps w:val="false"/>
          <w:strike w:val="false"/>
          <w:dstrike w:val="false"/>
          <w:sz w:val="32"/>
          <w:u w:val="none"/>
          <w:effect w:val="none"/>
        </w:rPr>
      </w:pPr>
      <w:r>
        <w:rPr>
          <w:rFonts w:ascii="Times New Roman;serif" w:hAnsi="Times New Roman;serif"/>
          <w:b/>
          <w:i w:val="false"/>
          <w:caps w:val="false"/>
          <w:smallCaps w:val="false"/>
          <w:strike w:val="false"/>
          <w:dstrike w:val="false"/>
          <w:sz w:val="32"/>
          <w:u w:val="none"/>
          <w:effect w:val="none"/>
        </w:rPr>
        <w:t>FORM 10-Q</w:t>
      </w:r>
    </w:p>
    <w:p>
      <w:pPr>
        <w:pStyle w:val="TextBody"/>
        <w:bidi w:val="0"/>
        <w:spacing w:lineRule="atLeast" w:line="240" w:before="0" w:after="0"/>
        <w:jc w:val="left"/>
        <w:rPr/>
      </w:pPr>
      <w:r>
        <w:rPr>
          <w:caps w:val="false"/>
          <w:smallCaps w:val="false"/>
          <w:strike w:val="false"/>
          <w:dstrike w:val="false"/>
          <w:u w:val="none"/>
          <w:effect w:val="none"/>
        </w:rPr>
        <w:t xml:space="preserve">☒  </w:t>
      </w:r>
      <w:r>
        <w:rPr>
          <w:rFonts w:ascii="Times New Roman;serif" w:hAnsi="Times New Roman;serif"/>
          <w:b/>
          <w:i w:val="false"/>
          <w:caps w:val="false"/>
          <w:smallCaps w:val="false"/>
          <w:strike w:val="false"/>
          <w:dstrike w:val="false"/>
          <w:sz w:val="24"/>
          <w:u w:val="none"/>
          <w:effect w:val="none"/>
        </w:rPr>
        <w:t xml:space="preserve">QUARTERLY REPORT PURSUANT TO SECTION 13 OR 15(d) OF THE SECURITIES </w:t>
      </w:r>
    </w:p>
    <w:p>
      <w:pPr>
        <w:pStyle w:val="TextBody"/>
        <w:bidi w:val="0"/>
        <w:spacing w:lineRule="atLeast" w:line="240" w:before="0" w:after="0"/>
        <w:jc w:val="left"/>
        <w:rPr>
          <w:rFonts w:ascii="Times New Roman;serif" w:hAnsi="Times New Roman;serif"/>
          <w:b/>
          <w:i w:val="false"/>
          <w:caps w:val="false"/>
          <w:smallCaps w:val="false"/>
          <w:strike w:val="false"/>
          <w:dstrike w:val="false"/>
          <w:sz w:val="24"/>
          <w:u w:val="none"/>
          <w:effect w:val="none"/>
        </w:rPr>
      </w:pPr>
      <w:r>
        <w:rPr>
          <w:rFonts w:ascii="Times New Roman;serif" w:hAnsi="Times New Roman;serif"/>
          <w:b/>
          <w:i w:val="false"/>
          <w:caps w:val="false"/>
          <w:smallCaps w:val="false"/>
          <w:strike w:val="false"/>
          <w:dstrike w:val="false"/>
          <w:sz w:val="24"/>
          <w:u w:val="none"/>
          <w:effect w:val="none"/>
        </w:rPr>
        <w:t>EXCHANGE ACT OF 1934</w:t>
      </w: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FOR THE QUARTERLY PERIOD ENDED MARCH 31, 2026</w:t>
      </w:r>
      <w:r>
        <w:rPr>
          <w:caps w:val="false"/>
          <w:smallCaps w:val="false"/>
          <w:strike w:val="false"/>
          <w:dstrike w:val="false"/>
          <w:sz w:val="24"/>
          <w:u w:val="none"/>
          <w:effect w:val="none"/>
        </w:rPr>
        <w:t xml:space="preserve"> </w:t>
      </w:r>
    </w:p>
    <w:p>
      <w:pPr>
        <w:pStyle w:val="TextBody"/>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or</w:t>
      </w:r>
    </w:p>
    <w:p>
      <w:pPr>
        <w:pStyle w:val="TextBody"/>
        <w:bidi w:val="0"/>
        <w:spacing w:lineRule="atLeast" w:line="240" w:before="0" w:after="0"/>
        <w:jc w:val="left"/>
        <w:rPr/>
      </w:pPr>
      <w:r>
        <w:rPr>
          <w:caps w:val="false"/>
          <w:smallCaps w:val="false"/>
          <w:strike w:val="false"/>
          <w:dstrike w:val="false"/>
          <w:u w:val="none"/>
          <w:effect w:val="none"/>
        </w:rPr>
        <w:t xml:space="preserve">☐  </w:t>
      </w:r>
      <w:r>
        <w:rPr>
          <w:rFonts w:ascii="Times New Roman;serif" w:hAnsi="Times New Roman;serif"/>
          <w:b/>
          <w:i w:val="false"/>
          <w:caps w:val="false"/>
          <w:smallCaps w:val="false"/>
          <w:strike w:val="false"/>
          <w:dstrike w:val="false"/>
          <w:sz w:val="24"/>
          <w:u w:val="none"/>
          <w:effect w:val="none"/>
        </w:rPr>
        <w:t xml:space="preserve">TRANSITION REPORT PURSUANT TO SECTION 13 OR 15(d) OF THE SECURITIES </w:t>
      </w:r>
    </w:p>
    <w:p>
      <w:pPr>
        <w:pStyle w:val="TextBody"/>
        <w:bidi w:val="0"/>
        <w:spacing w:lineRule="atLeast" w:line="240" w:before="0" w:after="0"/>
        <w:jc w:val="left"/>
        <w:rPr>
          <w:rFonts w:ascii="Times New Roman;serif" w:hAnsi="Times New Roman;serif"/>
          <w:b/>
          <w:i w:val="false"/>
          <w:caps w:val="false"/>
          <w:smallCaps w:val="false"/>
          <w:strike w:val="false"/>
          <w:dstrike w:val="false"/>
          <w:sz w:val="24"/>
          <w:u w:val="none"/>
          <w:effect w:val="none"/>
        </w:rPr>
      </w:pPr>
      <w:r>
        <w:rPr>
          <w:rFonts w:ascii="Times New Roman;serif" w:hAnsi="Times New Roman;serif"/>
          <w:b/>
          <w:i w:val="false"/>
          <w:caps w:val="false"/>
          <w:smallCaps w:val="false"/>
          <w:strike w:val="false"/>
          <w:dstrike w:val="false"/>
          <w:sz w:val="24"/>
          <w:u w:val="none"/>
          <w:effect w:val="none"/>
        </w:rPr>
        <w:t>EXCHANGE ACT OF 1934</w:t>
      </w:r>
    </w:p>
    <w:p>
      <w:pPr>
        <w:pStyle w:val="TextBody"/>
        <w:bidi w:val="0"/>
        <w:spacing w:lineRule="atLeast" w:line="200" w:before="0" w:after="0"/>
        <w:jc w:val="left"/>
        <w:rPr/>
      </w:pPr>
      <w:r>
        <w:rPr>
          <w:rFonts w:ascii="Times New Roman;serif" w:hAnsi="Times New Roman;serif"/>
          <w:b/>
          <w:i w:val="false"/>
          <w:caps w:val="false"/>
          <w:smallCaps w:val="false"/>
          <w:strike w:val="false"/>
          <w:dstrike w:val="false"/>
          <w:sz w:val="20"/>
          <w:u w:val="none"/>
          <w:effect w:val="none"/>
        </w:rPr>
        <w:t>FOR THE TRANSITION PERIOD FROM </w:t>
      </w:r>
      <w:r>
        <w:rPr>
          <w:caps w:val="false"/>
          <w:smallCaps w:val="false"/>
          <w:u w:val="single"/>
        </w:rPr>
        <w:t>           </w:t>
      </w:r>
      <w:r>
        <w:rPr>
          <w:caps w:val="false"/>
          <w:smallCaps w:val="false"/>
          <w:strike w:val="false"/>
          <w:dstrike w:val="false"/>
          <w:u w:val="none"/>
          <w:effect w:val="none"/>
        </w:rPr>
        <w:t xml:space="preserve"> </w:t>
      </w:r>
      <w:r>
        <w:rPr>
          <w:rFonts w:ascii="Times New Roman;serif" w:hAnsi="Times New Roman;serif"/>
          <w:b/>
          <w:i w:val="false"/>
          <w:caps w:val="false"/>
          <w:smallCaps w:val="false"/>
          <w:strike w:val="false"/>
          <w:dstrike w:val="false"/>
          <w:sz w:val="20"/>
          <w:u w:val="none"/>
          <w:effect w:val="none"/>
        </w:rPr>
        <w:t>TO </w:t>
      </w:r>
      <w:r>
        <w:rPr>
          <w:caps w:val="false"/>
          <w:smallCaps w:val="false"/>
          <w:u w:val="single"/>
        </w:rPr>
        <w:t>           </w:t>
      </w: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Commission file number 000-19319</w:t>
      </w:r>
      <w:r>
        <w:rPr>
          <w:caps w:val="false"/>
          <w:smallCaps w:val="false"/>
          <w:strike w:val="false"/>
          <w:dstrike w:val="false"/>
          <w:sz w:val="24"/>
          <w:u w:val="none"/>
          <w:effect w:val="none"/>
        </w:rPr>
        <w:t xml:space="preserve"> </w:t>
      </w:r>
    </w:p>
    <w:p>
      <w:pPr>
        <w:pStyle w:val="TextBody"/>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____________________________________________</w:t>
      </w:r>
    </w:p>
    <w:p>
      <w:pPr>
        <w:pStyle w:val="TextBody"/>
        <w:bidi w:val="0"/>
        <w:spacing w:lineRule="atLeast" w:line="360" w:before="0" w:after="0"/>
        <w:jc w:val="left"/>
        <w:rPr>
          <w:sz w:val="36"/>
        </w:rPr>
      </w:pPr>
      <w:r>
        <w:rPr>
          <w:rFonts w:ascii="Times New Roman;serif" w:hAnsi="Times New Roman;serif"/>
          <w:b/>
          <w:i w:val="false"/>
          <w:caps w:val="false"/>
          <w:smallCaps w:val="false"/>
          <w:strike w:val="false"/>
          <w:dstrike w:val="false"/>
          <w:sz w:val="36"/>
          <w:u w:val="none"/>
          <w:effect w:val="none"/>
        </w:rPr>
        <w:t>Vertex Pharmaceuticals Incorporated</w:t>
      </w:r>
      <w:r>
        <w:rPr>
          <w:caps w:val="false"/>
          <w:smallCaps w:val="false"/>
          <w:strike w:val="false"/>
          <w:dstrike w:val="false"/>
          <w:sz w:val="36"/>
          <w:u w:val="none"/>
          <w:effect w:val="none"/>
        </w:rPr>
        <w:t xml:space="preserve">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(Exact name of registrant as specified in its charter)</w:t>
      </w: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Massachusetts</w:t>
      </w:r>
      <w:r>
        <w:rPr>
          <w:caps w:val="false"/>
          <w:smallCaps w:val="false"/>
          <w:strike w:val="false"/>
          <w:dstrike w:val="false"/>
          <w:sz w:val="24"/>
          <w:u w:val="none"/>
          <w:effect w:val="none"/>
        </w:rPr>
        <w:t xml:space="preserv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4"/>
          <w:u w:val="none"/>
          <w:effect w:val="none"/>
        </w:rPr>
      </w:pPr>
      <w:r>
        <w:rPr>
          <w:rFonts w:ascii="Times New Roman;serif" w:hAnsi="Times New Roman;serif"/>
          <w:b w:val="false"/>
          <w:i w:val="false"/>
          <w:caps w:val="false"/>
          <w:smallCaps w:val="false"/>
          <w:strike w:val="false"/>
          <w:dstrike w:val="false"/>
          <w:sz w:val="14"/>
          <w:u w:val="none"/>
          <w:effect w:val="none"/>
        </w:rPr>
        <w:t>(State or other jurisdiction of incorporation or organization)</w:t>
      </w: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50 Northern Avenue, Boston, Massachusetts</w:t>
      </w:r>
      <w:r>
        <w:rPr>
          <w:caps w:val="false"/>
          <w:smallCaps w:val="false"/>
          <w:strike w:val="false"/>
          <w:dstrike w:val="false"/>
          <w:sz w:val="24"/>
          <w:u w:val="none"/>
          <w:effect w:val="none"/>
        </w:rPr>
        <w:t xml:space="preserv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4"/>
          <w:u w:val="none"/>
          <w:effect w:val="none"/>
        </w:rPr>
      </w:pPr>
      <w:r>
        <w:rPr>
          <w:rFonts w:ascii="Times New Roman;serif" w:hAnsi="Times New Roman;serif"/>
          <w:b w:val="false"/>
          <w:i w:val="false"/>
          <w:caps w:val="false"/>
          <w:smallCaps w:val="false"/>
          <w:strike w:val="false"/>
          <w:dstrike w:val="false"/>
          <w:sz w:val="14"/>
          <w:u w:val="none"/>
          <w:effect w:val="none"/>
        </w:rPr>
        <w:t>(Address of principal executive offices)</w:t>
      </w: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04-3039129</w:t>
      </w:r>
      <w:r>
        <w:rPr>
          <w:caps w:val="false"/>
          <w:smallCaps w:val="false"/>
          <w:strike w:val="false"/>
          <w:dstrike w:val="false"/>
          <w:sz w:val="24"/>
          <w:u w:val="none"/>
          <w:effect w:val="none"/>
        </w:rPr>
        <w:t xml:space="preserv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4"/>
          <w:u w:val="none"/>
          <w:effect w:val="none"/>
        </w:rPr>
      </w:pPr>
      <w:r>
        <w:rPr>
          <w:rFonts w:ascii="Times New Roman;serif" w:hAnsi="Times New Roman;serif"/>
          <w:b w:val="false"/>
          <w:i w:val="false"/>
          <w:caps w:val="false"/>
          <w:smallCaps w:val="false"/>
          <w:strike w:val="false"/>
          <w:dstrike w:val="false"/>
          <w:sz w:val="14"/>
          <w:u w:val="none"/>
          <w:effect w:val="none"/>
        </w:rPr>
        <w:t>(I.R.S. Employer Identification No.)</w:t>
      </w: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02210</w:t>
      </w:r>
      <w:r>
        <w:rPr>
          <w:caps w:val="false"/>
          <w:smallCaps w:val="false"/>
          <w:strike w:val="false"/>
          <w:dstrike w:val="false"/>
          <w:sz w:val="24"/>
          <w:u w:val="none"/>
          <w:effect w:val="none"/>
        </w:rPr>
        <w:t xml:space="preserv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4"/>
          <w:u w:val="none"/>
          <w:effect w:val="none"/>
        </w:rPr>
      </w:pPr>
      <w:r>
        <w:rPr>
          <w:rFonts w:ascii="Times New Roman;serif" w:hAnsi="Times New Roman;serif"/>
          <w:b w:val="false"/>
          <w:i w:val="false"/>
          <w:caps w:val="false"/>
          <w:smallCaps w:val="false"/>
          <w:strike w:val="false"/>
          <w:dstrike w:val="false"/>
          <w:sz w:val="14"/>
          <w:u w:val="none"/>
          <w:effect w:val="none"/>
        </w:rPr>
        <w:t>(Zip Code)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Registrant’s telephone number, including area code </w:t>
      </w:r>
      <w:r>
        <w:rPr>
          <w:rFonts w:ascii="Times New Roman;serif" w:hAnsi="Times New Roman;serif"/>
          <w:b/>
          <w:i w:val="false"/>
          <w:caps w:val="false"/>
          <w:smallCaps w:val="false"/>
          <w:strike w:val="false"/>
          <w:dstrike w:val="false"/>
          <w:sz w:val="20"/>
          <w:u w:val="none"/>
          <w:effect w:val="none"/>
        </w:rPr>
        <w:t>(617) 341-6100</w:t>
      </w:r>
    </w:p>
    <w:p>
      <w:pPr>
        <w:pStyle w:val="TextBody"/>
        <w:bidi w:val="0"/>
        <w:spacing w:lineRule="atLeast" w:line="200" w:before="0" w:after="0"/>
        <w:jc w:val="left"/>
        <w:rPr>
          <w:caps w:val="false"/>
          <w:smallCaps w:val="false"/>
          <w:strike w:val="false"/>
          <w:dstrike w:val="false"/>
          <w:u w:val="none"/>
          <w:effect w:val="none"/>
        </w:rPr>
      </w:pPr>
      <w:r>
        <w:rPr>
          <w:caps w:val="false"/>
          <w:smallCaps w:val="false"/>
          <w:strike w:val="false"/>
          <w:dstrike w:val="false"/>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____________________________________________</w:t>
      </w:r>
    </w:p>
    <w:tbl>
      <w:tblPr>
        <w:tblW w:w="7961" w:type="dxa"/>
        <w:jc w:val="left"/>
        <w:tblInd w:w="0" w:type="dxa"/>
        <w:tblLayout w:type="fixed"/>
        <w:tblCellMar>
          <w:top w:w="28" w:type="dxa"/>
          <w:left w:w="28" w:type="dxa"/>
          <w:bottom w:w="28" w:type="dxa"/>
          <w:right w:w="28" w:type="dxa"/>
        </w:tblCellMar>
      </w:tblPr>
      <w:tblGrid>
        <w:gridCol w:w="3211"/>
        <w:gridCol w:w="109"/>
        <w:gridCol w:w="1261"/>
        <w:gridCol w:w="109"/>
        <w:gridCol w:w="3271"/>
      </w:tblGrid>
      <w:tr>
        <w:trPr/>
        <w:tc>
          <w:tcPr>
            <w:tcW w:w="3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7961" w:type="dxa"/>
            <w:gridSpan w:val="5"/>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Securities registered pursuant to Section 12(b) of the Act:</w:t>
            </w:r>
          </w:p>
        </w:tc>
      </w:tr>
      <w:tr>
        <w:trPr/>
        <w:tc>
          <w:tcPr>
            <w:tcW w:w="321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Title of each class</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Trading Symbol</w:t>
            </w:r>
          </w:p>
        </w:tc>
        <w:tc>
          <w:tcPr>
            <w:tcW w:w="109" w:type="dxa"/>
            <w:tcBorders/>
            <w:vAlign w:val="center"/>
          </w:tcPr>
          <w:p>
            <w:pPr>
              <w:pStyle w:val="TableContents"/>
              <w:bidi w:val="0"/>
              <w:spacing w:before="0" w:after="283"/>
              <w:jc w:val="left"/>
              <w:rPr>
                <w:sz w:val="4"/>
                <w:szCs w:val="4"/>
              </w:rPr>
            </w:pPr>
            <w:r>
              <w:rPr>
                <w:sz w:val="4"/>
                <w:szCs w:val="4"/>
              </w:rPr>
            </w:r>
          </w:p>
        </w:tc>
        <w:tc>
          <w:tcPr>
            <w:tcW w:w="327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Name of each exchange on which registered</w:t>
            </w:r>
          </w:p>
        </w:tc>
      </w:tr>
      <w:tr>
        <w:trPr/>
        <w:tc>
          <w:tcPr>
            <w:tcW w:w="321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Common Stock, $0.01 Par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VRTX</w:t>
            </w:r>
          </w:p>
        </w:tc>
        <w:tc>
          <w:tcPr>
            <w:tcW w:w="109" w:type="dxa"/>
            <w:tcBorders/>
            <w:vAlign w:val="center"/>
          </w:tcPr>
          <w:p>
            <w:pPr>
              <w:pStyle w:val="TableContents"/>
              <w:bidi w:val="0"/>
              <w:spacing w:before="0" w:after="283"/>
              <w:jc w:val="left"/>
              <w:rPr>
                <w:sz w:val="4"/>
                <w:szCs w:val="4"/>
              </w:rPr>
            </w:pPr>
            <w:r>
              <w:rPr>
                <w:sz w:val="4"/>
                <w:szCs w:val="4"/>
              </w:rPr>
            </w:r>
          </w:p>
        </w:tc>
        <w:tc>
          <w:tcPr>
            <w:tcW w:w="327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The Nasdaq Global Select Market</w:t>
            </w:r>
          </w:p>
        </w:tc>
      </w:tr>
    </w:tbl>
    <w:p>
      <w:pPr>
        <w:pStyle w:val="TextBody"/>
        <w:bidi w:val="0"/>
        <w:spacing w:lineRule="atLeast" w:line="180" w:before="0" w:after="0"/>
        <w:jc w:val="both"/>
        <w:rPr>
          <w:u w:val="single"/>
        </w:rPr>
      </w:pPr>
      <w:r>
        <w:rPr>
          <w:rFonts w:ascii="Times New Roman;serif" w:hAnsi="Times New Roman;serif"/>
          <w:b w:val="false"/>
          <w:i w:val="false"/>
          <w:caps w:val="false"/>
          <w:smallCaps w:val="false"/>
          <w:strike w:val="false"/>
          <w:dstrike w:val="false"/>
          <w:sz w:val="18"/>
          <w:u w:val="none"/>
          <w:effect w:val="none"/>
        </w:rPr>
        <w:t>Indicate by check mark whether the registrant: (1) has filed all reports required to be filed by Section 13 or 15(d) of the Securities</w:t>
      </w:r>
      <w:r>
        <w:rPr>
          <w:caps w:val="false"/>
          <w:smallCaps w:val="false"/>
          <w:strike w:val="false"/>
          <w:dstrike w:val="false"/>
          <w:u w:val="none"/>
          <w:effect w:val="none"/>
        </w:rPr>
        <w:t xml:space="preserve"> </w:t>
      </w:r>
    </w:p>
    <w:p>
      <w:pPr>
        <w:pStyle w:val="TextBody"/>
        <w:bidi w:val="0"/>
        <w:spacing w:lineRule="atLeast" w:line="180" w:before="0" w:after="0"/>
        <w:jc w:val="both"/>
        <w:rPr>
          <w:u w:val="single"/>
        </w:rPr>
      </w:pPr>
      <w:r>
        <w:rPr>
          <w:rFonts w:ascii="Times New Roman;serif" w:hAnsi="Times New Roman;serif"/>
          <w:b w:val="false"/>
          <w:i w:val="false"/>
          <w:caps w:val="false"/>
          <w:smallCaps w:val="false"/>
          <w:strike w:val="false"/>
          <w:dstrike w:val="false"/>
          <w:sz w:val="18"/>
          <w:u w:val="none"/>
          <w:effect w:val="none"/>
        </w:rPr>
        <w:t>Exchange Act of 1934 during the preceding 12 months (or for such shorter period that the registrant was required to file such reports), and</w:t>
      </w:r>
      <w:r>
        <w:rPr>
          <w:caps w:val="false"/>
          <w:smallCaps w:val="false"/>
          <w:strike w:val="false"/>
          <w:dstrike w:val="false"/>
          <w:u w:val="none"/>
          <w:effect w:val="none"/>
        </w:rPr>
        <w:t xml:space="preserve"> </w:t>
      </w:r>
    </w:p>
    <w:p>
      <w:pPr>
        <w:pStyle w:val="TextBody"/>
        <w:bidi w:val="0"/>
        <w:spacing w:lineRule="atLeast" w:line="180" w:before="0" w:after="0"/>
        <w:jc w:val="both"/>
        <w:rPr>
          <w:sz w:val="24"/>
          <w:u w:val="single"/>
        </w:rPr>
      </w:pPr>
      <w:r>
        <w:rPr>
          <w:rFonts w:ascii="Times New Roman;serif" w:hAnsi="Times New Roman;serif"/>
          <w:b w:val="false"/>
          <w:i w:val="false"/>
          <w:caps w:val="false"/>
          <w:smallCaps w:val="false"/>
          <w:strike w:val="false"/>
          <w:dstrike w:val="false"/>
          <w:sz w:val="18"/>
          <w:u w:val="none"/>
          <w:effect w:val="none"/>
        </w:rPr>
        <w:t>(2) has been subject to such filing requirements for the past 90 days.  Yes</w:t>
      </w:r>
      <w:r>
        <w:rPr>
          <w:caps w:val="false"/>
          <w:smallCaps w:val="false"/>
          <w:strike w:val="false"/>
          <w:dstrike w:val="false"/>
          <w:sz w:val="24"/>
          <w:u w:val="none"/>
          <w:effect w:val="none"/>
        </w:rPr>
        <w:t xml:space="preserve"> ☒ </w:t>
      </w:r>
      <w:r>
        <w:rPr>
          <w:rFonts w:ascii="Times New Roman;serif" w:hAnsi="Times New Roman;serif"/>
          <w:b w:val="false"/>
          <w:i w:val="false"/>
          <w:caps w:val="false"/>
          <w:smallCaps w:val="false"/>
          <w:strike w:val="false"/>
          <w:dstrike w:val="false"/>
          <w:sz w:val="18"/>
          <w:u w:val="none"/>
          <w:effect w:val="none"/>
        </w:rPr>
        <w:t>No </w:t>
      </w:r>
      <w:r>
        <w:rPr>
          <w:caps w:val="false"/>
          <w:smallCaps w:val="false"/>
          <w:strike w:val="false"/>
          <w:dstrike w:val="false"/>
          <w:sz w:val="24"/>
          <w:u w:val="none"/>
          <w:effect w:val="none"/>
        </w:rPr>
        <w:t>☐</w:t>
      </w:r>
    </w:p>
    <w:p>
      <w:pPr>
        <w:pStyle w:val="TextBody"/>
        <w:bidi w:val="0"/>
        <w:spacing w:lineRule="atLeast" w:line="180" w:before="0" w:after="0"/>
        <w:jc w:val="both"/>
        <w:rPr>
          <w:u w:val="single"/>
        </w:rPr>
      </w:pPr>
      <w:r>
        <w:rPr>
          <w:rFonts w:ascii="Times New Roman;serif" w:hAnsi="Times New Roman;serif"/>
          <w:b w:val="false"/>
          <w:i w:val="false"/>
          <w:caps w:val="false"/>
          <w:smallCaps w:val="false"/>
          <w:strike w:val="false"/>
          <w:dstrike w:val="false"/>
          <w:sz w:val="18"/>
          <w:u w:val="none"/>
          <w:effect w:val="none"/>
        </w:rPr>
        <w:t>Indicate by check mark whether the registrant has submitted electronically every Interactive Data File required to be submitted pursuant to</w:t>
      </w:r>
      <w:r>
        <w:rPr>
          <w:caps w:val="false"/>
          <w:smallCaps w:val="false"/>
          <w:strike w:val="false"/>
          <w:dstrike w:val="false"/>
          <w:u w:val="none"/>
          <w:effect w:val="none"/>
        </w:rPr>
        <w:t xml:space="preserve"> </w:t>
      </w:r>
    </w:p>
    <w:p>
      <w:pPr>
        <w:pStyle w:val="TextBody"/>
        <w:bidi w:val="0"/>
        <w:spacing w:lineRule="atLeast" w:line="180" w:before="0" w:after="0"/>
        <w:jc w:val="both"/>
        <w:rPr>
          <w:u w:val="single"/>
        </w:rPr>
      </w:pPr>
      <w:r>
        <w:rPr>
          <w:rFonts w:ascii="Times New Roman;serif" w:hAnsi="Times New Roman;serif"/>
          <w:b w:val="false"/>
          <w:i w:val="false"/>
          <w:caps w:val="false"/>
          <w:smallCaps w:val="false"/>
          <w:strike w:val="false"/>
          <w:dstrike w:val="false"/>
          <w:sz w:val="18"/>
          <w:u w:val="none"/>
          <w:effect w:val="none"/>
        </w:rPr>
        <w:t>Rule 405 of Regulation S-T (§232.405 of this chapter) during the preceding 12 months (or for such shorter period that the registrant was</w:t>
      </w:r>
      <w:r>
        <w:rPr>
          <w:caps w:val="false"/>
          <w:smallCaps w:val="false"/>
          <w:strike w:val="false"/>
          <w:dstrike w:val="false"/>
          <w:u w:val="none"/>
          <w:effect w:val="none"/>
        </w:rPr>
        <w:t xml:space="preserve"> </w:t>
      </w:r>
    </w:p>
    <w:p>
      <w:pPr>
        <w:pStyle w:val="TextBody"/>
        <w:bidi w:val="0"/>
        <w:spacing w:lineRule="atLeast" w:line="180" w:before="0" w:after="0"/>
        <w:jc w:val="both"/>
        <w:rPr>
          <w:sz w:val="24"/>
          <w:u w:val="single"/>
        </w:rPr>
      </w:pPr>
      <w:r>
        <w:rPr>
          <w:rFonts w:ascii="Times New Roman;serif" w:hAnsi="Times New Roman;serif"/>
          <w:b w:val="false"/>
          <w:i w:val="false"/>
          <w:caps w:val="false"/>
          <w:smallCaps w:val="false"/>
          <w:strike w:val="false"/>
          <w:dstrike w:val="false"/>
          <w:sz w:val="18"/>
          <w:u w:val="none"/>
          <w:effect w:val="none"/>
        </w:rPr>
        <w:t>required to submit such files).  Yes</w:t>
      </w:r>
      <w:r>
        <w:rPr>
          <w:caps w:val="false"/>
          <w:smallCaps w:val="false"/>
          <w:strike w:val="false"/>
          <w:dstrike w:val="false"/>
          <w:sz w:val="24"/>
          <w:u w:val="none"/>
          <w:effect w:val="none"/>
        </w:rPr>
        <w:t xml:space="preserve"> ☒ </w:t>
      </w:r>
      <w:r>
        <w:rPr>
          <w:rFonts w:ascii="Times New Roman;serif" w:hAnsi="Times New Roman;serif"/>
          <w:b w:val="false"/>
          <w:i w:val="false"/>
          <w:caps w:val="false"/>
          <w:smallCaps w:val="false"/>
          <w:strike w:val="false"/>
          <w:dstrike w:val="false"/>
          <w:sz w:val="18"/>
          <w:u w:val="none"/>
          <w:effect w:val="none"/>
        </w:rPr>
        <w:t>No </w:t>
      </w:r>
      <w:r>
        <w:rPr>
          <w:caps w:val="false"/>
          <w:smallCaps w:val="false"/>
          <w:strike w:val="false"/>
          <w:dstrike w:val="false"/>
          <w:sz w:val="24"/>
          <w:u w:val="none"/>
          <w:effect w:val="none"/>
        </w:rPr>
        <w:t>☐</w:t>
      </w:r>
    </w:p>
    <w:p>
      <w:pPr>
        <w:pStyle w:val="TextBody"/>
        <w:bidi w:val="0"/>
        <w:spacing w:lineRule="atLeast" w:line="180" w:before="0" w:after="0"/>
        <w:jc w:val="both"/>
        <w:rPr>
          <w:u w:val="single"/>
        </w:rPr>
      </w:pPr>
      <w:r>
        <w:rPr>
          <w:rFonts w:ascii="Times New Roman;serif" w:hAnsi="Times New Roman;serif"/>
          <w:b w:val="false"/>
          <w:i w:val="false"/>
          <w:caps w:val="false"/>
          <w:smallCaps w:val="false"/>
          <w:strike w:val="false"/>
          <w:dstrike w:val="false"/>
          <w:sz w:val="18"/>
          <w:u w:val="none"/>
          <w:effect w:val="none"/>
        </w:rPr>
        <w:t>Indicate by check mark whether the registrant is a large accelerated filer, an accelerated filer, a non-accelerated filer, a smaller reporting</w:t>
      </w:r>
      <w:r>
        <w:rPr>
          <w:caps w:val="false"/>
          <w:smallCaps w:val="false"/>
          <w:strike w:val="false"/>
          <w:dstrike w:val="false"/>
          <w:u w:val="none"/>
          <w:effect w:val="none"/>
        </w:rPr>
        <w:t xml:space="preserve"> </w:t>
      </w:r>
    </w:p>
    <w:p>
      <w:pPr>
        <w:pStyle w:val="TextBody"/>
        <w:bidi w:val="0"/>
        <w:spacing w:lineRule="atLeast" w:line="180" w:before="0" w:after="0"/>
        <w:jc w:val="both"/>
        <w:rPr>
          <w:u w:val="single"/>
        </w:rPr>
      </w:pPr>
      <w:r>
        <w:rPr>
          <w:rFonts w:ascii="Times New Roman;serif" w:hAnsi="Times New Roman;serif"/>
          <w:b w:val="false"/>
          <w:i w:val="false"/>
          <w:caps w:val="false"/>
          <w:smallCaps w:val="false"/>
          <w:strike w:val="false"/>
          <w:dstrike w:val="false"/>
          <w:sz w:val="18"/>
          <w:u w:val="none"/>
          <w:effect w:val="none"/>
        </w:rPr>
        <w:t>company, or an emerging growth company. See the definitions of “large accelerated filer,” “accelerated filer,” “smaller reporting</w:t>
      </w:r>
      <w:r>
        <w:rPr>
          <w:caps w:val="false"/>
          <w:smallCaps w:val="false"/>
          <w:strike w:val="false"/>
          <w:dstrike w:val="false"/>
          <w:u w:val="none"/>
          <w:effect w:val="none"/>
        </w:rPr>
        <w:t xml:space="preserve"> </w:t>
      </w:r>
    </w:p>
    <w:p>
      <w:pPr>
        <w:pStyle w:val="TextBody"/>
        <w:bidi w:val="0"/>
        <w:spacing w:lineRule="atLeast" w:line="180" w:before="0" w:after="0"/>
        <w:jc w:val="both"/>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company,” and “emerging growth company” in Rule 12b-2 of the Exchange Act.</w:t>
      </w:r>
    </w:p>
    <w:p>
      <w:pPr>
        <w:pStyle w:val="TextBody"/>
        <w:bidi w:val="0"/>
        <w:spacing w:lineRule="atLeast" w:line="180" w:before="0" w:after="0"/>
        <w:jc w:val="both"/>
        <w:rPr>
          <w:sz w:val="24"/>
          <w:u w:val="single"/>
        </w:rPr>
      </w:pPr>
      <w:r>
        <w:rPr>
          <w:rFonts w:ascii="Times New Roman;serif" w:hAnsi="Times New Roman;serif"/>
          <w:b w:val="false"/>
          <w:i w:val="false"/>
          <w:caps w:val="false"/>
          <w:smallCaps w:val="false"/>
          <w:strike w:val="false"/>
          <w:dstrike w:val="false"/>
          <w:sz w:val="18"/>
          <w:u w:val="none"/>
          <w:effect w:val="none"/>
        </w:rPr>
        <w:t>Large accelerated filer</w:t>
      </w:r>
      <w:r>
        <w:rPr>
          <w:caps w:val="false"/>
          <w:smallCaps w:val="false"/>
          <w:strike w:val="false"/>
          <w:dstrike w:val="false"/>
          <w:sz w:val="24"/>
          <w:u w:val="none"/>
          <w:effect w:val="none"/>
        </w:rPr>
        <w:t xml:space="preserve"> ☒  </w:t>
      </w:r>
      <w:r>
        <w:rPr>
          <w:rFonts w:ascii="Times New Roman;serif" w:hAnsi="Times New Roman;serif"/>
          <w:b w:val="false"/>
          <w:i w:val="false"/>
          <w:caps w:val="false"/>
          <w:smallCaps w:val="false"/>
          <w:strike w:val="false"/>
          <w:dstrike w:val="false"/>
          <w:sz w:val="18"/>
          <w:u w:val="none"/>
          <w:effect w:val="none"/>
        </w:rPr>
        <w:t xml:space="preserve">Accelerated filer </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 xml:space="preserve">Non-accelerated filer </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 xml:space="preserve">Smaller reporting company </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 xml:space="preserve">Emerging growth company </w:t>
      </w:r>
      <w:r>
        <w:rPr>
          <w:caps w:val="false"/>
          <w:smallCaps w:val="false"/>
          <w:strike w:val="false"/>
          <w:dstrike w:val="false"/>
          <w:sz w:val="24"/>
          <w:u w:val="none"/>
          <w:effect w:val="none"/>
        </w:rPr>
        <w:t>☐</w:t>
      </w:r>
    </w:p>
    <w:p>
      <w:pPr>
        <w:pStyle w:val="TextBody"/>
        <w:bidi w:val="0"/>
        <w:spacing w:lineRule="atLeast" w:line="180" w:before="0" w:after="0"/>
        <w:jc w:val="both"/>
        <w:rPr>
          <w:u w:val="single"/>
        </w:rPr>
      </w:pPr>
      <w:r>
        <w:rPr>
          <w:rFonts w:ascii="Times New Roman;serif" w:hAnsi="Times New Roman;serif"/>
          <w:b w:val="false"/>
          <w:i w:val="false"/>
          <w:caps w:val="false"/>
          <w:smallCaps w:val="false"/>
          <w:strike w:val="false"/>
          <w:dstrike w:val="false"/>
          <w:sz w:val="18"/>
          <w:u w:val="none"/>
          <w:effect w:val="none"/>
        </w:rPr>
        <w:t>If an emerging growth company, indicate by check mark if the registrant has elected not to use the extended transition period for complying</w:t>
      </w:r>
      <w:r>
        <w:rPr>
          <w:caps w:val="false"/>
          <w:smallCaps w:val="false"/>
          <w:strike w:val="false"/>
          <w:dstrike w:val="false"/>
          <w:u w:val="none"/>
          <w:effect w:val="none"/>
        </w:rPr>
        <w:t xml:space="preserve"> </w:t>
      </w:r>
    </w:p>
    <w:p>
      <w:pPr>
        <w:pStyle w:val="TextBody"/>
        <w:bidi w:val="0"/>
        <w:spacing w:lineRule="atLeast" w:line="180" w:before="0" w:after="0"/>
        <w:jc w:val="both"/>
        <w:rPr>
          <w:sz w:val="24"/>
          <w:u w:val="single"/>
        </w:rPr>
      </w:pPr>
      <w:r>
        <w:rPr>
          <w:rFonts w:ascii="Times New Roman;serif" w:hAnsi="Times New Roman;serif"/>
          <w:b w:val="false"/>
          <w:i w:val="false"/>
          <w:caps w:val="false"/>
          <w:smallCaps w:val="false"/>
          <w:strike w:val="false"/>
          <w:dstrike w:val="false"/>
          <w:sz w:val="18"/>
          <w:u w:val="none"/>
          <w:effect w:val="none"/>
        </w:rPr>
        <w:t>with any new or revised financial accounting standards provided pursuant to Section 13(a) of the Exchange Act.  </w:t>
      </w:r>
      <w:r>
        <w:rPr>
          <w:caps w:val="false"/>
          <w:smallCaps w:val="false"/>
          <w:strike w:val="false"/>
          <w:dstrike w:val="false"/>
          <w:sz w:val="24"/>
          <w:u w:val="none"/>
          <w:effect w:val="none"/>
        </w:rPr>
        <w:t>☐</w:t>
      </w:r>
    </w:p>
    <w:p>
      <w:pPr>
        <w:pStyle w:val="TextBody"/>
        <w:bidi w:val="0"/>
        <w:spacing w:lineRule="atLeast" w:line="180" w:before="0" w:after="0"/>
        <w:jc w:val="both"/>
        <w:rPr>
          <w:sz w:val="24"/>
          <w:u w:val="single"/>
        </w:rPr>
      </w:pPr>
      <w:r>
        <w:rPr>
          <w:rFonts w:ascii="Times New Roman;serif" w:hAnsi="Times New Roman;serif"/>
          <w:b w:val="false"/>
          <w:i w:val="false"/>
          <w:caps w:val="false"/>
          <w:smallCaps w:val="false"/>
          <w:strike w:val="false"/>
          <w:dstrike w:val="false"/>
          <w:sz w:val="18"/>
          <w:u w:val="none"/>
          <w:effect w:val="none"/>
        </w:rPr>
        <w:t xml:space="preserve">Indicate by check mark whether the registrant is a shell company (as defined in Rule 12b-2 of the Exchange Act).  Yes ☐  No </w:t>
      </w:r>
      <w:r>
        <w:rPr>
          <w:caps w:val="false"/>
          <w:smallCaps w:val="false"/>
          <w:strike w:val="false"/>
          <w:dstrike w:val="false"/>
          <w:sz w:val="24"/>
          <w:u w:val="none"/>
          <w:effect w:val="none"/>
        </w:rPr>
        <w:t>☒ </w:t>
      </w:r>
    </w:p>
    <w:p>
      <w:pPr>
        <w:pStyle w:val="TextBody"/>
        <w:bidi w:val="0"/>
        <w:spacing w:lineRule="atLeast" w:line="180" w:before="0" w:after="0"/>
        <w:jc w:val="both"/>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Indicate the number of shares outstanding of each of the issuer’s classes of common stock, as of the latest practicable date.</w:t>
      </w:r>
    </w:p>
    <w:tbl>
      <w:tblPr>
        <w:tblW w:w="6393" w:type="dxa"/>
        <w:jc w:val="left"/>
        <w:tblInd w:w="0" w:type="dxa"/>
        <w:tblLayout w:type="fixed"/>
        <w:tblCellMar>
          <w:top w:w="28" w:type="dxa"/>
          <w:left w:w="28" w:type="dxa"/>
          <w:bottom w:w="28" w:type="dxa"/>
          <w:right w:w="28" w:type="dxa"/>
        </w:tblCellMar>
      </w:tblPr>
      <w:tblGrid>
        <w:gridCol w:w="3106"/>
        <w:gridCol w:w="1006"/>
        <w:gridCol w:w="2281"/>
      </w:tblGrid>
      <w:tr>
        <w:trPr/>
        <w:tc>
          <w:tcPr>
            <w:tcW w:w="31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310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Common Stock, par value $0.01 per share</w:t>
            </w:r>
          </w:p>
        </w:tc>
        <w:tc>
          <w:tcPr>
            <w:tcW w:w="100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253,805,417</w:t>
            </w:r>
          </w:p>
        </w:tc>
        <w:tc>
          <w:tcPr>
            <w:tcW w:w="228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Outstanding at April 30, 2026</w:t>
            </w:r>
          </w:p>
        </w:tc>
      </w:tr>
    </w:tbl>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FORM 10-Q</w:t>
      </w:r>
    </w:p>
    <w:p>
      <w:pPr>
        <w:pStyle w:val="TextBody"/>
        <w:bidi w:val="0"/>
        <w:spacing w:lineRule="atLeast" w:line="200" w:before="0" w:after="0"/>
        <w:jc w:val="left"/>
        <w:rPr>
          <w:sz w:val="24"/>
        </w:rPr>
      </w:pPr>
      <w:r>
        <w:rPr>
          <w:rFonts w:ascii="Times New Roman;serif" w:hAnsi="Times New Roman;serif"/>
          <w:b/>
          <w:i w:val="false"/>
          <w:caps w:val="false"/>
          <w:smallCaps w:val="false"/>
          <w:sz w:val="20"/>
        </w:rPr>
        <w:t xml:space="preserve">FOR THE QUARTER ENDED </w:t>
      </w:r>
      <w:r>
        <w:rPr>
          <w:rFonts w:ascii="Times New Roman;serif" w:hAnsi="Times New Roman;serif"/>
          <w:b/>
          <w:i w:val="false"/>
          <w:caps w:val="false"/>
          <w:smallCaps w:val="false"/>
          <w:strike w:val="false"/>
          <w:dstrike w:val="false"/>
          <w:sz w:val="20"/>
          <w:u w:val="none"/>
          <w:effect w:val="none"/>
        </w:rPr>
        <w:t>MARCH 31, 2026</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TABLE OF CONTENTS</w:t>
      </w:r>
    </w:p>
    <w:tbl>
      <w:tblPr>
        <w:tblW w:w="8823" w:type="dxa"/>
        <w:jc w:val="left"/>
        <w:tblInd w:w="0" w:type="dxa"/>
        <w:tblLayout w:type="fixed"/>
        <w:tblCellMar>
          <w:top w:w="28" w:type="dxa"/>
          <w:left w:w="28" w:type="dxa"/>
          <w:bottom w:w="28" w:type="dxa"/>
          <w:right w:w="28" w:type="dxa"/>
        </w:tblCellMar>
      </w:tblPr>
      <w:tblGrid>
        <w:gridCol w:w="976"/>
        <w:gridCol w:w="7336"/>
        <w:gridCol w:w="511"/>
      </w:tblGrid>
      <w:tr>
        <w:trPr/>
        <w:tc>
          <w:tcPr>
            <w:tcW w:w="97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c>
          <w:tcPr>
            <w:tcW w:w="51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sz w:val="18"/>
                <w:u w:val="none"/>
                <w:effect w:val="none"/>
              </w:rPr>
            </w:pPr>
            <w:r>
              <w:rPr>
                <w:rFonts w:ascii="Times New Roman;serif" w:hAnsi="Times New Roman;serif"/>
                <w:b/>
                <w:i w:val="false"/>
                <w:caps w:val="false"/>
                <w:smallCaps w:val="false"/>
                <w:strike w:val="false"/>
                <w:dstrike w:val="false"/>
                <w:sz w:val="18"/>
                <w:u w:val="none"/>
                <w:effect w:val="none"/>
              </w:rPr>
              <w:t>Page</w:t>
            </w:r>
          </w:p>
        </w:tc>
      </w:tr>
      <w:tr>
        <w:trPr/>
        <w:tc>
          <w:tcPr>
            <w:tcW w:w="8823" w:type="dxa"/>
            <w:gridSpan w:val="3"/>
            <w:tcBorders/>
            <w:vAlign w:val="center"/>
          </w:tcPr>
          <w:p>
            <w:pPr>
              <w:pStyle w:val="TableContents"/>
              <w:bidi w:val="0"/>
              <w:spacing w:lineRule="atLeast" w:line="200" w:before="0" w:after="0"/>
              <w:jc w:val="left"/>
              <w:rPr/>
            </w:pPr>
            <w:hyperlink w:anchor="ic38640cea1ea4e5da8ac150e660786e8_10">
              <w:r>
                <w:rPr>
                  <w:rStyle w:val="InternetLink"/>
                  <w:rFonts w:ascii="Times New Roman;serif" w:hAnsi="Times New Roman;serif"/>
                  <w:b/>
                  <w:i w:val="false"/>
                  <w:caps w:val="false"/>
                  <w:smallCaps w:val="false"/>
                  <w:color w:val="0000FF"/>
                  <w:sz w:val="20"/>
                  <w:u w:val="single"/>
                </w:rPr>
                <w:t>Part I. Financial Information</w:t>
              </w:r>
            </w:hyperlink>
          </w:p>
        </w:tc>
      </w:tr>
      <w:tr>
        <w:trPr/>
        <w:tc>
          <w:tcPr>
            <w:tcW w:w="976" w:type="dxa"/>
            <w:tcBorders/>
            <w:vAlign w:val="center"/>
          </w:tcPr>
          <w:p>
            <w:pPr>
              <w:pStyle w:val="TableContents"/>
              <w:bidi w:val="0"/>
              <w:spacing w:lineRule="atLeast" w:line="200" w:before="0" w:after="0"/>
              <w:jc w:val="left"/>
              <w:rPr/>
            </w:pPr>
            <w:hyperlink w:anchor="ic38640cea1ea4e5da8ac150e660786e8_13">
              <w:r>
                <w:rPr>
                  <w:rStyle w:val="InternetLink"/>
                  <w:rFonts w:ascii="Times New Roman;serif" w:hAnsi="Times New Roman;serif"/>
                  <w:b w:val="false"/>
                  <w:i w:val="false"/>
                  <w:caps w:val="false"/>
                  <w:smallCaps w:val="false"/>
                  <w:color w:val="0000EE"/>
                  <w:sz w:val="20"/>
                  <w:u w:val="single"/>
                </w:rPr>
                <w:t>Item 1.</w:t>
              </w:r>
            </w:hyperlink>
          </w:p>
        </w:tc>
        <w:tc>
          <w:tcPr>
            <w:tcW w:w="7336" w:type="dxa"/>
            <w:tcBorders/>
            <w:vAlign w:val="center"/>
          </w:tcPr>
          <w:p>
            <w:pPr>
              <w:pStyle w:val="TableContents"/>
              <w:bidi w:val="0"/>
              <w:spacing w:lineRule="atLeast" w:line="200" w:before="0" w:after="0"/>
              <w:jc w:val="left"/>
              <w:rPr/>
            </w:pPr>
            <w:hyperlink w:anchor="ic38640cea1ea4e5da8ac150e660786e8_10">
              <w:r>
                <w:rPr>
                  <w:rStyle w:val="InternetLink"/>
                  <w:rFonts w:ascii="Times New Roman;serif" w:hAnsi="Times New Roman;serif"/>
                  <w:b w:val="false"/>
                  <w:i w:val="false"/>
                  <w:caps w:val="false"/>
                  <w:smallCaps w:val="false"/>
                  <w:color w:val="0000FF"/>
                  <w:sz w:val="20"/>
                  <w:u w:val="single"/>
                </w:rPr>
                <w:t>Financial Statements (unaudited)</w:t>
              </w:r>
            </w:hyperlink>
          </w:p>
        </w:tc>
        <w:tc>
          <w:tcPr>
            <w:tcW w:w="511" w:type="dxa"/>
            <w:tcBorders/>
            <w:vAlign w:val="center"/>
          </w:tcPr>
          <w:p>
            <w:pPr>
              <w:pStyle w:val="TableContents"/>
              <w:bidi w:val="0"/>
              <w:spacing w:lineRule="atLeast" w:line="200" w:before="0" w:after="0"/>
              <w:jc w:val="left"/>
              <w:rPr/>
            </w:pPr>
            <w:hyperlink w:anchor="ic38640cea1ea4e5da8ac150e660786e8_13">
              <w:r>
                <w:rPr>
                  <w:rStyle w:val="InternetLink"/>
                  <w:rFonts w:ascii="Times New Roman;serif" w:hAnsi="Times New Roman;serif"/>
                  <w:b w:val="false"/>
                  <w:i w:val="false"/>
                  <w:caps w:val="false"/>
                  <w:smallCaps w:val="false"/>
                  <w:color w:val="0000EE"/>
                  <w:sz w:val="20"/>
                  <w:u w:val="single"/>
                </w:rPr>
                <w:t>2</w:t>
              </w:r>
            </w:hyperlink>
          </w:p>
        </w:tc>
      </w:tr>
      <w:tr>
        <w:trPr/>
        <w:tc>
          <w:tcPr>
            <w:tcW w:w="97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lineRule="atLeast" w:line="200" w:before="0" w:after="0"/>
              <w:jc w:val="left"/>
              <w:rPr/>
            </w:pPr>
            <w:hyperlink w:anchor="ic38640cea1ea4e5da8ac150e660786e8_16">
              <w:r>
                <w:rPr>
                  <w:rStyle w:val="InternetLink"/>
                  <w:rFonts w:ascii="Times New Roman;serif" w:hAnsi="Times New Roman;serif"/>
                  <w:b w:val="false"/>
                  <w:i w:val="false"/>
                  <w:caps w:val="false"/>
                  <w:smallCaps w:val="false"/>
                  <w:color w:val="0000FF"/>
                  <w:sz w:val="20"/>
                  <w:u w:val="single"/>
                </w:rPr>
                <w:t xml:space="preserve">Condensed Consolidated Statements of </w:t>
              </w:r>
            </w:hyperlink>
            <w:r>
              <w:rPr>
                <w:rFonts w:ascii="Times New Roman;serif" w:hAnsi="Times New Roman;serif"/>
                <w:b w:val="false"/>
                <w:i w:val="false"/>
                <w:caps w:val="false"/>
                <w:smallCaps w:val="false"/>
                <w:color w:val="0E32E1"/>
                <w:sz w:val="20"/>
                <w:u w:val="single"/>
              </w:rPr>
              <w:t>Income</w:t>
            </w:r>
          </w:p>
        </w:tc>
        <w:tc>
          <w:tcPr>
            <w:tcW w:w="511" w:type="dxa"/>
            <w:tcBorders/>
            <w:vAlign w:val="center"/>
          </w:tcPr>
          <w:p>
            <w:pPr>
              <w:pStyle w:val="TableContents"/>
              <w:bidi w:val="0"/>
              <w:spacing w:lineRule="atLeast" w:line="200" w:before="0" w:after="0"/>
              <w:jc w:val="left"/>
              <w:rPr/>
            </w:pPr>
            <w:hyperlink w:anchor="ic38640cea1ea4e5da8ac150e660786e8_16">
              <w:r>
                <w:rPr>
                  <w:rStyle w:val="InternetLink"/>
                  <w:rFonts w:ascii="Times New Roman;serif" w:hAnsi="Times New Roman;serif"/>
                  <w:b w:val="false"/>
                  <w:i w:val="false"/>
                  <w:caps w:val="false"/>
                  <w:smallCaps w:val="false"/>
                  <w:color w:val="0000EE"/>
                  <w:sz w:val="20"/>
                  <w:u w:val="single"/>
                </w:rPr>
                <w:t>2</w:t>
              </w:r>
            </w:hyperlink>
          </w:p>
        </w:tc>
      </w:tr>
      <w:tr>
        <w:trPr/>
        <w:tc>
          <w:tcPr>
            <w:tcW w:w="97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lineRule="atLeast" w:line="200" w:before="0" w:after="0"/>
              <w:jc w:val="left"/>
              <w:rPr/>
            </w:pPr>
            <w:hyperlink w:anchor="ic38640cea1ea4e5da8ac150e660786e8_19">
              <w:r>
                <w:rPr>
                  <w:rStyle w:val="InternetLink"/>
                  <w:rFonts w:ascii="Times New Roman;serif" w:hAnsi="Times New Roman;serif"/>
                  <w:b w:val="false"/>
                  <w:i w:val="false"/>
                  <w:caps w:val="false"/>
                  <w:smallCaps w:val="false"/>
                  <w:color w:val="0000FF"/>
                  <w:sz w:val="20"/>
                  <w:u w:val="single"/>
                </w:rPr>
                <w:t xml:space="preserve">Condensed Consolidated Statements of Comprehensive </w:t>
              </w:r>
            </w:hyperlink>
            <w:r>
              <w:rPr>
                <w:rFonts w:ascii="Times New Roman;serif" w:hAnsi="Times New Roman;serif"/>
                <w:b w:val="false"/>
                <w:i w:val="false"/>
                <w:caps w:val="false"/>
                <w:smallCaps w:val="false"/>
                <w:color w:val="0E32E1"/>
                <w:sz w:val="20"/>
                <w:u w:val="single"/>
              </w:rPr>
              <w:t>Income</w:t>
            </w:r>
          </w:p>
        </w:tc>
        <w:tc>
          <w:tcPr>
            <w:tcW w:w="511" w:type="dxa"/>
            <w:tcBorders/>
            <w:vAlign w:val="center"/>
          </w:tcPr>
          <w:p>
            <w:pPr>
              <w:pStyle w:val="TableContents"/>
              <w:bidi w:val="0"/>
              <w:spacing w:lineRule="atLeast" w:line="200" w:before="0" w:after="0"/>
              <w:jc w:val="left"/>
              <w:rPr/>
            </w:pPr>
            <w:hyperlink w:anchor="ic38640cea1ea4e5da8ac150e660786e8_19">
              <w:r>
                <w:rPr>
                  <w:rStyle w:val="InternetLink"/>
                  <w:rFonts w:ascii="Times New Roman;serif" w:hAnsi="Times New Roman;serif"/>
                  <w:b w:val="false"/>
                  <w:i w:val="false"/>
                  <w:caps w:val="false"/>
                  <w:smallCaps w:val="false"/>
                  <w:color w:val="0000EE"/>
                  <w:sz w:val="20"/>
                  <w:u w:val="single"/>
                </w:rPr>
                <w:t>3</w:t>
              </w:r>
            </w:hyperlink>
          </w:p>
        </w:tc>
      </w:tr>
      <w:tr>
        <w:trPr/>
        <w:tc>
          <w:tcPr>
            <w:tcW w:w="97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lineRule="atLeast" w:line="200" w:before="0" w:after="0"/>
              <w:jc w:val="left"/>
              <w:rPr/>
            </w:pPr>
            <w:hyperlink w:anchor="ic38640cea1ea4e5da8ac150e660786e8_22">
              <w:r>
                <w:rPr>
                  <w:rStyle w:val="InternetLink"/>
                  <w:rFonts w:ascii="Times New Roman;serif" w:hAnsi="Times New Roman;serif"/>
                  <w:b w:val="false"/>
                  <w:i w:val="false"/>
                  <w:caps w:val="false"/>
                  <w:smallCaps w:val="false"/>
                  <w:color w:val="0000FF"/>
                  <w:sz w:val="20"/>
                  <w:u w:val="single"/>
                </w:rPr>
                <w:t>Condensed Consolidated Balance Sheets</w:t>
              </w:r>
            </w:hyperlink>
          </w:p>
        </w:tc>
        <w:tc>
          <w:tcPr>
            <w:tcW w:w="511" w:type="dxa"/>
            <w:tcBorders/>
            <w:vAlign w:val="center"/>
          </w:tcPr>
          <w:p>
            <w:pPr>
              <w:pStyle w:val="TableContents"/>
              <w:bidi w:val="0"/>
              <w:spacing w:lineRule="atLeast" w:line="200" w:before="0" w:after="0"/>
              <w:jc w:val="left"/>
              <w:rPr/>
            </w:pPr>
            <w:hyperlink w:anchor="ic38640cea1ea4e5da8ac150e660786e8_22">
              <w:r>
                <w:rPr>
                  <w:rStyle w:val="InternetLink"/>
                  <w:rFonts w:ascii="Times New Roman;serif" w:hAnsi="Times New Roman;serif"/>
                  <w:b w:val="false"/>
                  <w:i w:val="false"/>
                  <w:caps w:val="false"/>
                  <w:smallCaps w:val="false"/>
                  <w:color w:val="0000EE"/>
                  <w:sz w:val="20"/>
                  <w:u w:val="single"/>
                </w:rPr>
                <w:t>4</w:t>
              </w:r>
            </w:hyperlink>
          </w:p>
        </w:tc>
      </w:tr>
      <w:tr>
        <w:trPr/>
        <w:tc>
          <w:tcPr>
            <w:tcW w:w="97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lineRule="atLeast" w:line="200" w:before="0" w:after="0"/>
              <w:jc w:val="left"/>
              <w:rPr/>
            </w:pPr>
            <w:hyperlink w:anchor="ic38640cea1ea4e5da8ac150e660786e8_25">
              <w:r>
                <w:rPr>
                  <w:rStyle w:val="InternetLink"/>
                  <w:rFonts w:ascii="Times New Roman;serif" w:hAnsi="Times New Roman;serif"/>
                  <w:b w:val="false"/>
                  <w:i w:val="false"/>
                  <w:caps w:val="false"/>
                  <w:smallCaps w:val="false"/>
                  <w:color w:val="0000EE"/>
                  <w:sz w:val="20"/>
                  <w:u w:val="single"/>
                </w:rPr>
                <w:t>Condensed Consolidated Statements of Shareholders' Equity</w:t>
              </w:r>
            </w:hyperlink>
          </w:p>
        </w:tc>
        <w:tc>
          <w:tcPr>
            <w:tcW w:w="511" w:type="dxa"/>
            <w:tcBorders/>
            <w:vAlign w:val="center"/>
          </w:tcPr>
          <w:p>
            <w:pPr>
              <w:pStyle w:val="TableContents"/>
              <w:bidi w:val="0"/>
              <w:spacing w:lineRule="atLeast" w:line="200" w:before="0" w:after="0"/>
              <w:jc w:val="left"/>
              <w:rPr/>
            </w:pPr>
            <w:hyperlink w:anchor="ic38640cea1ea4e5da8ac150e660786e8_25">
              <w:r>
                <w:rPr>
                  <w:rStyle w:val="InternetLink"/>
                  <w:rFonts w:ascii="Times New Roman;serif" w:hAnsi="Times New Roman;serif"/>
                  <w:b w:val="false"/>
                  <w:i w:val="false"/>
                  <w:caps w:val="false"/>
                  <w:smallCaps w:val="false"/>
                  <w:color w:val="0000EE"/>
                  <w:sz w:val="20"/>
                  <w:u w:val="single"/>
                </w:rPr>
                <w:t>5</w:t>
              </w:r>
            </w:hyperlink>
          </w:p>
        </w:tc>
      </w:tr>
      <w:tr>
        <w:trPr/>
        <w:tc>
          <w:tcPr>
            <w:tcW w:w="97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lineRule="atLeast" w:line="200" w:before="0" w:after="0"/>
              <w:jc w:val="left"/>
              <w:rPr/>
            </w:pPr>
            <w:hyperlink w:anchor="ic38640cea1ea4e5da8ac150e660786e8_28">
              <w:r>
                <w:rPr>
                  <w:rStyle w:val="InternetLink"/>
                  <w:rFonts w:ascii="Times New Roman;serif" w:hAnsi="Times New Roman;serif"/>
                  <w:b w:val="false"/>
                  <w:i w:val="false"/>
                  <w:caps w:val="false"/>
                  <w:smallCaps w:val="false"/>
                  <w:color w:val="0000FF"/>
                  <w:sz w:val="20"/>
                  <w:u w:val="single"/>
                </w:rPr>
                <w:t>Condensed Consolidated Statements of Cash Flows</w:t>
              </w:r>
            </w:hyperlink>
          </w:p>
        </w:tc>
        <w:tc>
          <w:tcPr>
            <w:tcW w:w="511" w:type="dxa"/>
            <w:tcBorders/>
            <w:vAlign w:val="center"/>
          </w:tcPr>
          <w:p>
            <w:pPr>
              <w:pStyle w:val="TableContents"/>
              <w:bidi w:val="0"/>
              <w:spacing w:lineRule="atLeast" w:line="200" w:before="0" w:after="0"/>
              <w:jc w:val="left"/>
              <w:rPr/>
            </w:pPr>
            <w:hyperlink w:anchor="ic38640cea1ea4e5da8ac150e660786e8_28">
              <w:r>
                <w:rPr>
                  <w:rStyle w:val="InternetLink"/>
                  <w:rFonts w:ascii="Times New Roman;serif" w:hAnsi="Times New Roman;serif"/>
                  <w:b w:val="false"/>
                  <w:i w:val="false"/>
                  <w:caps w:val="false"/>
                  <w:smallCaps w:val="false"/>
                  <w:color w:val="0000EE"/>
                  <w:sz w:val="20"/>
                  <w:u w:val="single"/>
                </w:rPr>
                <w:t>6</w:t>
              </w:r>
            </w:hyperlink>
          </w:p>
        </w:tc>
      </w:tr>
      <w:tr>
        <w:trPr/>
        <w:tc>
          <w:tcPr>
            <w:tcW w:w="97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lineRule="atLeast" w:line="200" w:before="0" w:after="0"/>
              <w:jc w:val="left"/>
              <w:rPr/>
            </w:pPr>
            <w:hyperlink w:anchor="ic38640cea1ea4e5da8ac150e660786e8_31">
              <w:r>
                <w:rPr>
                  <w:rStyle w:val="InternetLink"/>
                  <w:rFonts w:ascii="Times New Roman;serif" w:hAnsi="Times New Roman;serif"/>
                  <w:b w:val="false"/>
                  <w:i w:val="false"/>
                  <w:caps w:val="false"/>
                  <w:smallCaps w:val="false"/>
                  <w:color w:val="0000EE"/>
                  <w:sz w:val="20"/>
                  <w:u w:val="single"/>
                </w:rPr>
                <w:t>Notes to Condensed Consolidated Financial Statements</w:t>
              </w:r>
            </w:hyperlink>
          </w:p>
        </w:tc>
        <w:tc>
          <w:tcPr>
            <w:tcW w:w="511" w:type="dxa"/>
            <w:tcBorders/>
            <w:vAlign w:val="center"/>
          </w:tcPr>
          <w:p>
            <w:pPr>
              <w:pStyle w:val="TableContents"/>
              <w:bidi w:val="0"/>
              <w:spacing w:lineRule="atLeast" w:line="200" w:before="0" w:after="0"/>
              <w:jc w:val="left"/>
              <w:rPr/>
            </w:pPr>
            <w:hyperlink w:anchor="ic38640cea1ea4e5da8ac150e660786e8_31">
              <w:r>
                <w:rPr>
                  <w:rStyle w:val="InternetLink"/>
                  <w:rFonts w:ascii="Times New Roman;serif" w:hAnsi="Times New Roman;serif"/>
                  <w:b w:val="false"/>
                  <w:i w:val="false"/>
                  <w:caps w:val="false"/>
                  <w:smallCaps w:val="false"/>
                  <w:color w:val="0000EE"/>
                  <w:sz w:val="20"/>
                  <w:u w:val="single"/>
                </w:rPr>
                <w:t>7</w:t>
              </w:r>
            </w:hyperlink>
          </w:p>
        </w:tc>
      </w:tr>
      <w:tr>
        <w:trPr/>
        <w:tc>
          <w:tcPr>
            <w:tcW w:w="976" w:type="dxa"/>
            <w:tcBorders/>
            <w:vAlign w:val="center"/>
          </w:tcPr>
          <w:p>
            <w:pPr>
              <w:pStyle w:val="TableContents"/>
              <w:bidi w:val="0"/>
              <w:spacing w:lineRule="atLeast" w:line="200" w:before="0" w:after="0"/>
              <w:jc w:val="left"/>
              <w:rPr/>
            </w:pPr>
            <w:hyperlink w:anchor="ic38640cea1ea4e5da8ac150e660786e8_85">
              <w:r>
                <w:rPr>
                  <w:rStyle w:val="InternetLink"/>
                  <w:rFonts w:ascii="Times New Roman;serif" w:hAnsi="Times New Roman;serif"/>
                  <w:b w:val="false"/>
                  <w:i w:val="false"/>
                  <w:caps w:val="false"/>
                  <w:smallCaps w:val="false"/>
                  <w:color w:val="0000EE"/>
                  <w:sz w:val="20"/>
                  <w:u w:val="single"/>
                </w:rPr>
                <w:t>Item 2.</w:t>
              </w:r>
            </w:hyperlink>
          </w:p>
        </w:tc>
        <w:tc>
          <w:tcPr>
            <w:tcW w:w="7336" w:type="dxa"/>
            <w:tcBorders/>
            <w:vAlign w:val="center"/>
          </w:tcPr>
          <w:p>
            <w:pPr>
              <w:pStyle w:val="TableContents"/>
              <w:bidi w:val="0"/>
              <w:spacing w:lineRule="atLeast" w:line="200" w:before="0" w:after="0"/>
              <w:jc w:val="left"/>
              <w:rPr/>
            </w:pPr>
            <w:hyperlink w:anchor="ic38640cea1ea4e5da8ac150e660786e8_85">
              <w:r>
                <w:rPr>
                  <w:rStyle w:val="InternetLink"/>
                  <w:rFonts w:ascii="Times New Roman;serif" w:hAnsi="Times New Roman;serif"/>
                  <w:b w:val="false"/>
                  <w:i w:val="false"/>
                  <w:caps w:val="false"/>
                  <w:smallCaps w:val="false"/>
                  <w:color w:val="0000EE"/>
                  <w:sz w:val="20"/>
                  <w:u w:val="single"/>
                </w:rPr>
                <w:t>Management's Discussion and Analysis of Financial Condition and Results of Operations</w:t>
              </w:r>
            </w:hyperlink>
          </w:p>
        </w:tc>
        <w:tc>
          <w:tcPr>
            <w:tcW w:w="511" w:type="dxa"/>
            <w:tcBorders/>
            <w:vAlign w:val="center"/>
          </w:tcPr>
          <w:p>
            <w:pPr>
              <w:pStyle w:val="TableContents"/>
              <w:bidi w:val="0"/>
              <w:spacing w:lineRule="atLeast" w:line="200" w:before="0" w:after="0"/>
              <w:jc w:val="left"/>
              <w:rPr/>
            </w:pPr>
            <w:hyperlink w:anchor="ic38640cea1ea4e5da8ac150e660786e8_85">
              <w:r>
                <w:rPr>
                  <w:rStyle w:val="InternetLink"/>
                  <w:rFonts w:ascii="Times New Roman;serif" w:hAnsi="Times New Roman;serif"/>
                  <w:b w:val="false"/>
                  <w:i w:val="false"/>
                  <w:caps w:val="false"/>
                  <w:smallCaps w:val="false"/>
                  <w:color w:val="0000EE"/>
                  <w:sz w:val="20"/>
                  <w:u w:val="single"/>
                </w:rPr>
                <w:t>21</w:t>
              </w:r>
            </w:hyperlink>
          </w:p>
        </w:tc>
      </w:tr>
      <w:tr>
        <w:trPr/>
        <w:tc>
          <w:tcPr>
            <w:tcW w:w="976" w:type="dxa"/>
            <w:tcBorders/>
            <w:vAlign w:val="center"/>
          </w:tcPr>
          <w:p>
            <w:pPr>
              <w:pStyle w:val="TableContents"/>
              <w:bidi w:val="0"/>
              <w:spacing w:lineRule="atLeast" w:line="200" w:before="0" w:after="0"/>
              <w:jc w:val="left"/>
              <w:rPr/>
            </w:pPr>
            <w:hyperlink w:anchor="ic38640cea1ea4e5da8ac150e660786e8_100">
              <w:r>
                <w:rPr>
                  <w:rStyle w:val="InternetLink"/>
                  <w:rFonts w:ascii="Times New Roman;serif" w:hAnsi="Times New Roman;serif"/>
                  <w:b w:val="false"/>
                  <w:i w:val="false"/>
                  <w:caps w:val="false"/>
                  <w:smallCaps w:val="false"/>
                  <w:color w:val="0000EE"/>
                  <w:sz w:val="20"/>
                  <w:u w:val="single"/>
                </w:rPr>
                <w:t>Item 3.</w:t>
              </w:r>
            </w:hyperlink>
          </w:p>
        </w:tc>
        <w:tc>
          <w:tcPr>
            <w:tcW w:w="7336" w:type="dxa"/>
            <w:tcBorders/>
            <w:vAlign w:val="center"/>
          </w:tcPr>
          <w:p>
            <w:pPr>
              <w:pStyle w:val="TableContents"/>
              <w:bidi w:val="0"/>
              <w:spacing w:lineRule="atLeast" w:line="200" w:before="0" w:after="0"/>
              <w:jc w:val="left"/>
              <w:rPr/>
            </w:pPr>
            <w:hyperlink w:anchor="ic38640cea1ea4e5da8ac150e660786e8_100">
              <w:r>
                <w:rPr>
                  <w:rStyle w:val="InternetLink"/>
                  <w:rFonts w:ascii="Times New Roman;serif" w:hAnsi="Times New Roman;serif"/>
                  <w:b w:val="false"/>
                  <w:i w:val="false"/>
                  <w:caps w:val="false"/>
                  <w:smallCaps w:val="false"/>
                  <w:color w:val="0000EE"/>
                  <w:sz w:val="20"/>
                  <w:u w:val="single"/>
                </w:rPr>
                <w:t>Quantitative and Qualitative Disclosures About Market Risk</w:t>
              </w:r>
            </w:hyperlink>
          </w:p>
        </w:tc>
        <w:tc>
          <w:tcPr>
            <w:tcW w:w="511" w:type="dxa"/>
            <w:tcBorders/>
            <w:vAlign w:val="center"/>
          </w:tcPr>
          <w:p>
            <w:pPr>
              <w:pStyle w:val="TableContents"/>
              <w:bidi w:val="0"/>
              <w:spacing w:lineRule="atLeast" w:line="200" w:before="0" w:after="0"/>
              <w:jc w:val="left"/>
              <w:rPr/>
            </w:pPr>
            <w:hyperlink w:anchor="ic38640cea1ea4e5da8ac150e660786e8_100">
              <w:r>
                <w:rPr>
                  <w:rStyle w:val="InternetLink"/>
                  <w:rFonts w:ascii="Times New Roman;serif" w:hAnsi="Times New Roman;serif"/>
                  <w:b w:val="false"/>
                  <w:i w:val="false"/>
                  <w:caps w:val="false"/>
                  <w:smallCaps w:val="false"/>
                  <w:color w:val="0000EE"/>
                  <w:sz w:val="20"/>
                  <w:u w:val="single"/>
                </w:rPr>
                <w:t>31</w:t>
              </w:r>
            </w:hyperlink>
          </w:p>
        </w:tc>
      </w:tr>
      <w:tr>
        <w:trPr/>
        <w:tc>
          <w:tcPr>
            <w:tcW w:w="976" w:type="dxa"/>
            <w:tcBorders/>
            <w:vAlign w:val="center"/>
          </w:tcPr>
          <w:p>
            <w:pPr>
              <w:pStyle w:val="TableContents"/>
              <w:bidi w:val="0"/>
              <w:spacing w:lineRule="atLeast" w:line="200" w:before="0" w:after="0"/>
              <w:jc w:val="left"/>
              <w:rPr/>
            </w:pPr>
            <w:hyperlink w:anchor="ic38640cea1ea4e5da8ac150e660786e8_103">
              <w:r>
                <w:rPr>
                  <w:rStyle w:val="InternetLink"/>
                  <w:rFonts w:ascii="Times New Roman;serif" w:hAnsi="Times New Roman;serif"/>
                  <w:b w:val="false"/>
                  <w:i w:val="false"/>
                  <w:caps w:val="false"/>
                  <w:smallCaps w:val="false"/>
                  <w:color w:val="0000EE"/>
                  <w:sz w:val="20"/>
                  <w:u w:val="single"/>
                </w:rPr>
                <w:t>Item 4.</w:t>
              </w:r>
            </w:hyperlink>
          </w:p>
        </w:tc>
        <w:tc>
          <w:tcPr>
            <w:tcW w:w="7336" w:type="dxa"/>
            <w:tcBorders/>
            <w:vAlign w:val="center"/>
          </w:tcPr>
          <w:p>
            <w:pPr>
              <w:pStyle w:val="TableContents"/>
              <w:bidi w:val="0"/>
              <w:spacing w:lineRule="atLeast" w:line="200" w:before="0" w:after="0"/>
              <w:jc w:val="left"/>
              <w:rPr/>
            </w:pPr>
            <w:hyperlink w:anchor="ic38640cea1ea4e5da8ac150e660786e8_103">
              <w:r>
                <w:rPr>
                  <w:rStyle w:val="InternetLink"/>
                  <w:rFonts w:ascii="Times New Roman;serif" w:hAnsi="Times New Roman;serif"/>
                  <w:b w:val="false"/>
                  <w:i w:val="false"/>
                  <w:caps w:val="false"/>
                  <w:smallCaps w:val="false"/>
                  <w:color w:val="0000EE"/>
                  <w:sz w:val="20"/>
                  <w:u w:val="single"/>
                </w:rPr>
                <w:t>Controls and Procedures</w:t>
              </w:r>
            </w:hyperlink>
          </w:p>
        </w:tc>
        <w:tc>
          <w:tcPr>
            <w:tcW w:w="511" w:type="dxa"/>
            <w:tcBorders/>
            <w:vAlign w:val="center"/>
          </w:tcPr>
          <w:p>
            <w:pPr>
              <w:pStyle w:val="TableContents"/>
              <w:bidi w:val="0"/>
              <w:spacing w:lineRule="atLeast" w:line="200" w:before="0" w:after="0"/>
              <w:jc w:val="left"/>
              <w:rPr/>
            </w:pPr>
            <w:hyperlink w:anchor="ic38640cea1ea4e5da8ac150e660786e8_103">
              <w:r>
                <w:rPr>
                  <w:rStyle w:val="InternetLink"/>
                  <w:rFonts w:ascii="Times New Roman;serif" w:hAnsi="Times New Roman;serif"/>
                  <w:b w:val="false"/>
                  <w:i w:val="false"/>
                  <w:caps w:val="false"/>
                  <w:smallCaps w:val="false"/>
                  <w:color w:val="0000EE"/>
                  <w:sz w:val="20"/>
                  <w:u w:val="single"/>
                </w:rPr>
                <w:t>31</w:t>
              </w:r>
            </w:hyperlink>
          </w:p>
        </w:tc>
      </w:tr>
      <w:tr>
        <w:trPr/>
        <w:tc>
          <w:tcPr>
            <w:tcW w:w="8823" w:type="dxa"/>
            <w:gridSpan w:val="3"/>
            <w:tcBorders/>
            <w:vAlign w:val="center"/>
          </w:tcPr>
          <w:p>
            <w:pPr>
              <w:pStyle w:val="TableContents"/>
              <w:bidi w:val="0"/>
              <w:spacing w:lineRule="atLeast" w:line="200" w:before="0" w:after="0"/>
              <w:jc w:val="left"/>
              <w:rPr/>
            </w:pPr>
            <w:hyperlink w:anchor="ic38640cea1ea4e5da8ac150e660786e8_106">
              <w:r>
                <w:rPr>
                  <w:rStyle w:val="InternetLink"/>
                  <w:rFonts w:ascii="Times New Roman;serif" w:hAnsi="Times New Roman;serif"/>
                  <w:b/>
                  <w:i w:val="false"/>
                  <w:caps w:val="false"/>
                  <w:smallCaps w:val="false"/>
                  <w:color w:val="0000EE"/>
                  <w:sz w:val="20"/>
                  <w:u w:val="single"/>
                </w:rPr>
                <w:t>Part II. Other Information</w:t>
              </w:r>
            </w:hyperlink>
          </w:p>
        </w:tc>
      </w:tr>
      <w:tr>
        <w:trPr/>
        <w:tc>
          <w:tcPr>
            <w:tcW w:w="976" w:type="dxa"/>
            <w:tcBorders/>
            <w:vAlign w:val="center"/>
          </w:tcPr>
          <w:p>
            <w:pPr>
              <w:pStyle w:val="TableContents"/>
              <w:bidi w:val="0"/>
              <w:spacing w:lineRule="atLeast" w:line="200" w:before="0" w:after="0"/>
              <w:jc w:val="left"/>
              <w:rPr/>
            </w:pPr>
            <w:hyperlink w:anchor="ic38640cea1ea4e5da8ac150e660786e8_109">
              <w:r>
                <w:rPr>
                  <w:rStyle w:val="InternetLink"/>
                  <w:rFonts w:ascii="Times New Roman;serif" w:hAnsi="Times New Roman;serif"/>
                  <w:b w:val="false"/>
                  <w:i w:val="false"/>
                  <w:caps w:val="false"/>
                  <w:smallCaps w:val="false"/>
                  <w:color w:val="0000EE"/>
                  <w:sz w:val="20"/>
                  <w:u w:val="single"/>
                </w:rPr>
                <w:t>Item 1.</w:t>
              </w:r>
            </w:hyperlink>
          </w:p>
        </w:tc>
        <w:tc>
          <w:tcPr>
            <w:tcW w:w="7336" w:type="dxa"/>
            <w:tcBorders/>
            <w:vAlign w:val="center"/>
          </w:tcPr>
          <w:p>
            <w:pPr>
              <w:pStyle w:val="TableContents"/>
              <w:bidi w:val="0"/>
              <w:spacing w:lineRule="atLeast" w:line="200" w:before="0" w:after="0"/>
              <w:jc w:val="left"/>
              <w:rPr/>
            </w:pPr>
            <w:hyperlink w:anchor="ic38640cea1ea4e5da8ac150e660786e8_109">
              <w:r>
                <w:rPr>
                  <w:rStyle w:val="InternetLink"/>
                  <w:rFonts w:ascii="Times New Roman;serif" w:hAnsi="Times New Roman;serif"/>
                  <w:b w:val="false"/>
                  <w:i w:val="false"/>
                  <w:caps w:val="false"/>
                  <w:smallCaps w:val="false"/>
                  <w:color w:val="0000EE"/>
                  <w:sz w:val="20"/>
                  <w:u w:val="single"/>
                </w:rPr>
                <w:t>Legal Proceedings</w:t>
              </w:r>
            </w:hyperlink>
          </w:p>
        </w:tc>
        <w:tc>
          <w:tcPr>
            <w:tcW w:w="511" w:type="dxa"/>
            <w:tcBorders/>
            <w:vAlign w:val="center"/>
          </w:tcPr>
          <w:p>
            <w:pPr>
              <w:pStyle w:val="TableContents"/>
              <w:bidi w:val="0"/>
              <w:spacing w:lineRule="atLeast" w:line="200" w:before="0" w:after="0"/>
              <w:jc w:val="left"/>
              <w:rPr/>
            </w:pPr>
            <w:hyperlink w:anchor="ic38640cea1ea4e5da8ac150e660786e8_109">
              <w:r>
                <w:rPr>
                  <w:rStyle w:val="InternetLink"/>
                  <w:rFonts w:ascii="Times New Roman;serif" w:hAnsi="Times New Roman;serif"/>
                  <w:b w:val="false"/>
                  <w:i w:val="false"/>
                  <w:caps w:val="false"/>
                  <w:smallCaps w:val="false"/>
                  <w:color w:val="0000EE"/>
                  <w:sz w:val="20"/>
                  <w:u w:val="single"/>
                </w:rPr>
                <w:t>31</w:t>
              </w:r>
            </w:hyperlink>
          </w:p>
        </w:tc>
      </w:tr>
      <w:tr>
        <w:trPr/>
        <w:tc>
          <w:tcPr>
            <w:tcW w:w="9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color w:val="0000EE"/>
                <w:sz w:val="20"/>
                <w:u w:val="single"/>
              </w:rPr>
            </w:pPr>
            <w:r>
              <w:rPr>
                <w:rFonts w:ascii="Times New Roman;serif" w:hAnsi="Times New Roman;serif"/>
                <w:b w:val="false"/>
                <w:i w:val="false"/>
                <w:caps w:val="false"/>
                <w:smallCaps w:val="false"/>
                <w:color w:val="0000EE"/>
                <w:sz w:val="20"/>
                <w:u w:val="single"/>
              </w:rPr>
              <w:t>Item 1A.</w:t>
            </w:r>
          </w:p>
        </w:tc>
        <w:tc>
          <w:tcPr>
            <w:tcW w:w="7336" w:type="dxa"/>
            <w:tcBorders/>
            <w:vAlign w:val="center"/>
          </w:tcPr>
          <w:p>
            <w:pPr>
              <w:pStyle w:val="TableContents"/>
              <w:bidi w:val="0"/>
              <w:spacing w:lineRule="atLeast" w:line="200" w:before="0" w:after="0"/>
              <w:jc w:val="left"/>
              <w:rPr/>
            </w:pPr>
            <w:hyperlink w:anchor="ic38640cea1ea4e5da8ac150e660786e8_112">
              <w:r>
                <w:rPr>
                  <w:rStyle w:val="InternetLink"/>
                  <w:rFonts w:ascii="Times New Roman;serif" w:hAnsi="Times New Roman;serif"/>
                  <w:b w:val="false"/>
                  <w:i w:val="false"/>
                  <w:caps w:val="false"/>
                  <w:smallCaps w:val="false"/>
                  <w:color w:val="0000EE"/>
                  <w:sz w:val="20"/>
                  <w:u w:val="single"/>
                </w:rPr>
                <w:t>Risk Factors</w:t>
              </w:r>
            </w:hyperlink>
          </w:p>
        </w:tc>
        <w:tc>
          <w:tcPr>
            <w:tcW w:w="511" w:type="dxa"/>
            <w:tcBorders/>
            <w:vAlign w:val="center"/>
          </w:tcPr>
          <w:p>
            <w:pPr>
              <w:pStyle w:val="TableContents"/>
              <w:bidi w:val="0"/>
              <w:spacing w:lineRule="atLeast" w:line="200" w:before="0" w:after="0"/>
              <w:jc w:val="left"/>
              <w:rPr/>
            </w:pPr>
            <w:hyperlink w:anchor="ic38640cea1ea4e5da8ac150e660786e8_112">
              <w:r>
                <w:rPr>
                  <w:rStyle w:val="InternetLink"/>
                  <w:rFonts w:ascii="Times New Roman;serif" w:hAnsi="Times New Roman;serif"/>
                  <w:b w:val="false"/>
                  <w:i w:val="false"/>
                  <w:caps w:val="false"/>
                  <w:smallCaps w:val="false"/>
                  <w:color w:val="0000EE"/>
                  <w:sz w:val="20"/>
                  <w:u w:val="single"/>
                </w:rPr>
                <w:t>32</w:t>
              </w:r>
            </w:hyperlink>
          </w:p>
        </w:tc>
      </w:tr>
      <w:tr>
        <w:trPr/>
        <w:tc>
          <w:tcPr>
            <w:tcW w:w="976" w:type="dxa"/>
            <w:tcBorders/>
            <w:vAlign w:val="center"/>
          </w:tcPr>
          <w:p>
            <w:pPr>
              <w:pStyle w:val="TableContents"/>
              <w:bidi w:val="0"/>
              <w:spacing w:lineRule="atLeast" w:line="200" w:before="0" w:after="0"/>
              <w:jc w:val="left"/>
              <w:rPr/>
            </w:pPr>
            <w:hyperlink w:anchor="ic38640cea1ea4e5da8ac150e660786e8_115">
              <w:r>
                <w:rPr>
                  <w:rStyle w:val="InternetLink"/>
                  <w:rFonts w:ascii="Times New Roman;serif" w:hAnsi="Times New Roman;serif"/>
                  <w:b w:val="false"/>
                  <w:i w:val="false"/>
                  <w:caps w:val="false"/>
                  <w:smallCaps w:val="false"/>
                  <w:color w:val="0000EE"/>
                  <w:sz w:val="20"/>
                  <w:u w:val="single"/>
                </w:rPr>
                <w:t>Item 2.</w:t>
              </w:r>
            </w:hyperlink>
          </w:p>
        </w:tc>
        <w:tc>
          <w:tcPr>
            <w:tcW w:w="7336" w:type="dxa"/>
            <w:tcBorders/>
            <w:vAlign w:val="center"/>
          </w:tcPr>
          <w:p>
            <w:pPr>
              <w:pStyle w:val="TableContents"/>
              <w:bidi w:val="0"/>
              <w:spacing w:lineRule="atLeast" w:line="200" w:before="0" w:after="0"/>
              <w:jc w:val="left"/>
              <w:rPr/>
            </w:pPr>
            <w:hyperlink w:anchor="ic38640cea1ea4e5da8ac150e660786e8_115">
              <w:r>
                <w:rPr>
                  <w:rStyle w:val="InternetLink"/>
                  <w:rFonts w:ascii="Times New Roman;serif" w:hAnsi="Times New Roman;serif"/>
                  <w:b w:val="false"/>
                  <w:i w:val="false"/>
                  <w:caps w:val="false"/>
                  <w:smallCaps w:val="false"/>
                  <w:color w:val="0000EE"/>
                  <w:sz w:val="20"/>
                  <w:u w:val="single"/>
                </w:rPr>
                <w:t>Unregistered Sales of Equity Securities and Use of Proceeds</w:t>
              </w:r>
            </w:hyperlink>
          </w:p>
        </w:tc>
        <w:tc>
          <w:tcPr>
            <w:tcW w:w="511" w:type="dxa"/>
            <w:tcBorders/>
            <w:vAlign w:val="center"/>
          </w:tcPr>
          <w:p>
            <w:pPr>
              <w:pStyle w:val="TableContents"/>
              <w:bidi w:val="0"/>
              <w:spacing w:lineRule="atLeast" w:line="200" w:before="0" w:after="0"/>
              <w:jc w:val="left"/>
              <w:rPr/>
            </w:pPr>
            <w:hyperlink w:anchor="ic38640cea1ea4e5da8ac150e660786e8_115">
              <w:r>
                <w:rPr>
                  <w:rStyle w:val="InternetLink"/>
                  <w:rFonts w:ascii="Times New Roman;serif" w:hAnsi="Times New Roman;serif"/>
                  <w:b w:val="false"/>
                  <w:i w:val="false"/>
                  <w:caps w:val="false"/>
                  <w:smallCaps w:val="false"/>
                  <w:color w:val="0000EE"/>
                  <w:sz w:val="20"/>
                  <w:u w:val="single"/>
                </w:rPr>
                <w:t>33</w:t>
              </w:r>
            </w:hyperlink>
          </w:p>
        </w:tc>
      </w:tr>
      <w:tr>
        <w:trPr/>
        <w:tc>
          <w:tcPr>
            <w:tcW w:w="976" w:type="dxa"/>
            <w:tcBorders/>
            <w:vAlign w:val="center"/>
          </w:tcPr>
          <w:p>
            <w:pPr>
              <w:pStyle w:val="TableContents"/>
              <w:bidi w:val="0"/>
              <w:spacing w:lineRule="atLeast" w:line="200" w:before="0" w:after="0"/>
              <w:jc w:val="left"/>
              <w:rPr/>
            </w:pPr>
            <w:hyperlink w:anchor="ic38640cea1ea4e5da8ac150e660786e8_121">
              <w:r>
                <w:rPr>
                  <w:rStyle w:val="InternetLink"/>
                  <w:rFonts w:ascii="Times New Roman;serif" w:hAnsi="Times New Roman;serif"/>
                  <w:b w:val="false"/>
                  <w:i w:val="false"/>
                  <w:caps w:val="false"/>
                  <w:smallCaps w:val="false"/>
                  <w:color w:val="0000EE"/>
                  <w:sz w:val="20"/>
                  <w:u w:val="single"/>
                </w:rPr>
                <w:t>Item 5.</w:t>
              </w:r>
            </w:hyperlink>
          </w:p>
        </w:tc>
        <w:tc>
          <w:tcPr>
            <w:tcW w:w="7336" w:type="dxa"/>
            <w:tcBorders/>
            <w:vAlign w:val="center"/>
          </w:tcPr>
          <w:p>
            <w:pPr>
              <w:pStyle w:val="TableContents"/>
              <w:bidi w:val="0"/>
              <w:spacing w:lineRule="atLeast" w:line="200" w:before="0" w:after="0"/>
              <w:jc w:val="left"/>
              <w:rPr/>
            </w:pPr>
            <w:hyperlink w:anchor="ic38640cea1ea4e5da8ac150e660786e8_121">
              <w:r>
                <w:rPr>
                  <w:rStyle w:val="InternetLink"/>
                  <w:rFonts w:ascii="Times New Roman;serif" w:hAnsi="Times New Roman;serif"/>
                  <w:b w:val="false"/>
                  <w:i w:val="false"/>
                  <w:caps w:val="false"/>
                  <w:smallCaps w:val="false"/>
                  <w:color w:val="0000FF"/>
                  <w:sz w:val="20"/>
                  <w:u w:val="single"/>
                </w:rPr>
                <w:t>Other Information</w:t>
              </w:r>
            </w:hyperlink>
          </w:p>
        </w:tc>
        <w:tc>
          <w:tcPr>
            <w:tcW w:w="511" w:type="dxa"/>
            <w:tcBorders/>
            <w:vAlign w:val="center"/>
          </w:tcPr>
          <w:p>
            <w:pPr>
              <w:pStyle w:val="TableContents"/>
              <w:bidi w:val="0"/>
              <w:spacing w:lineRule="atLeast" w:line="200" w:before="0" w:after="0"/>
              <w:jc w:val="left"/>
              <w:rPr/>
            </w:pPr>
            <w:hyperlink w:anchor="ic38640cea1ea4e5da8ac150e660786e8_121">
              <w:r>
                <w:rPr>
                  <w:rStyle w:val="InternetLink"/>
                  <w:rFonts w:ascii="Times New Roman;serif" w:hAnsi="Times New Roman;serif"/>
                  <w:b w:val="false"/>
                  <w:i w:val="false"/>
                  <w:caps w:val="false"/>
                  <w:smallCaps w:val="false"/>
                  <w:color w:val="0000EE"/>
                  <w:sz w:val="20"/>
                  <w:u w:val="single"/>
                </w:rPr>
                <w:t>33</w:t>
              </w:r>
            </w:hyperlink>
          </w:p>
        </w:tc>
      </w:tr>
      <w:tr>
        <w:trPr/>
        <w:tc>
          <w:tcPr>
            <w:tcW w:w="976" w:type="dxa"/>
            <w:tcBorders/>
            <w:vAlign w:val="center"/>
          </w:tcPr>
          <w:p>
            <w:pPr>
              <w:pStyle w:val="TableContents"/>
              <w:bidi w:val="0"/>
              <w:spacing w:lineRule="atLeast" w:line="200" w:before="0" w:after="0"/>
              <w:jc w:val="left"/>
              <w:rPr/>
            </w:pPr>
            <w:hyperlink w:anchor="ic38640cea1ea4e5da8ac150e660786e8_127">
              <w:r>
                <w:rPr>
                  <w:rStyle w:val="InternetLink"/>
                  <w:rFonts w:ascii="Times New Roman;serif" w:hAnsi="Times New Roman;serif"/>
                  <w:b w:val="false"/>
                  <w:i w:val="false"/>
                  <w:caps w:val="false"/>
                  <w:smallCaps w:val="false"/>
                  <w:color w:val="0000EE"/>
                  <w:sz w:val="20"/>
                  <w:u w:val="single"/>
                </w:rPr>
                <w:t>Item 6.</w:t>
              </w:r>
            </w:hyperlink>
          </w:p>
        </w:tc>
        <w:tc>
          <w:tcPr>
            <w:tcW w:w="7336" w:type="dxa"/>
            <w:tcBorders/>
            <w:vAlign w:val="center"/>
          </w:tcPr>
          <w:p>
            <w:pPr>
              <w:pStyle w:val="TableContents"/>
              <w:bidi w:val="0"/>
              <w:spacing w:lineRule="atLeast" w:line="200" w:before="0" w:after="0"/>
              <w:jc w:val="left"/>
              <w:rPr/>
            </w:pPr>
            <w:hyperlink w:anchor="ic38640cea1ea4e5da8ac150e660786e8_127">
              <w:r>
                <w:rPr>
                  <w:rStyle w:val="InternetLink"/>
                  <w:rFonts w:ascii="Times New Roman;serif" w:hAnsi="Times New Roman;serif"/>
                  <w:b w:val="false"/>
                  <w:i w:val="false"/>
                  <w:caps w:val="false"/>
                  <w:smallCaps w:val="false"/>
                  <w:color w:val="0000EE"/>
                  <w:sz w:val="20"/>
                  <w:u w:val="single"/>
                </w:rPr>
                <w:t>Exhibits</w:t>
              </w:r>
            </w:hyperlink>
          </w:p>
        </w:tc>
        <w:tc>
          <w:tcPr>
            <w:tcW w:w="511" w:type="dxa"/>
            <w:tcBorders/>
            <w:vAlign w:val="center"/>
          </w:tcPr>
          <w:p>
            <w:pPr>
              <w:pStyle w:val="TableContents"/>
              <w:bidi w:val="0"/>
              <w:spacing w:lineRule="atLeast" w:line="200" w:before="0" w:after="0"/>
              <w:jc w:val="left"/>
              <w:rPr/>
            </w:pPr>
            <w:hyperlink w:anchor="ic38640cea1ea4e5da8ac150e660786e8_127">
              <w:r>
                <w:rPr>
                  <w:rStyle w:val="InternetLink"/>
                  <w:rFonts w:ascii="Times New Roman;serif" w:hAnsi="Times New Roman;serif"/>
                  <w:b w:val="false"/>
                  <w:i w:val="false"/>
                  <w:caps w:val="false"/>
                  <w:smallCaps w:val="false"/>
                  <w:color w:val="0000EE"/>
                  <w:sz w:val="20"/>
                  <w:u w:val="single"/>
                </w:rPr>
                <w:t>34</w:t>
              </w:r>
            </w:hyperlink>
          </w:p>
        </w:tc>
      </w:tr>
      <w:tr>
        <w:trPr/>
        <w:tc>
          <w:tcPr>
            <w:tcW w:w="976" w:type="dxa"/>
            <w:tcBorders/>
            <w:vAlign w:val="center"/>
          </w:tcPr>
          <w:p>
            <w:pPr>
              <w:pStyle w:val="TableContents"/>
              <w:bidi w:val="0"/>
              <w:spacing w:lineRule="atLeast" w:line="200" w:before="0" w:after="0"/>
              <w:jc w:val="left"/>
              <w:rPr/>
            </w:pPr>
            <w:hyperlink w:anchor="ic38640cea1ea4e5da8ac150e660786e8_130">
              <w:r>
                <w:rPr>
                  <w:rStyle w:val="InternetLink"/>
                  <w:rFonts w:ascii="Times New Roman;serif" w:hAnsi="Times New Roman;serif"/>
                  <w:b w:val="false"/>
                  <w:i w:val="false"/>
                  <w:caps w:val="false"/>
                  <w:smallCaps w:val="false"/>
                  <w:color w:val="0000EE"/>
                  <w:sz w:val="20"/>
                  <w:u w:val="single"/>
                </w:rPr>
                <w:t>Signatures</w:t>
              </w:r>
            </w:hyperlink>
          </w:p>
        </w:tc>
        <w:tc>
          <w:tcPr>
            <w:tcW w:w="73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lineRule="atLeast" w:line="200" w:before="0" w:after="0"/>
              <w:jc w:val="left"/>
              <w:rPr/>
            </w:pPr>
            <w:hyperlink w:anchor="ic38640cea1ea4e5da8ac150e660786e8_130">
              <w:r>
                <w:rPr>
                  <w:rStyle w:val="InternetLink"/>
                  <w:rFonts w:ascii="Times New Roman;serif" w:hAnsi="Times New Roman;serif"/>
                  <w:b w:val="false"/>
                  <w:i w:val="false"/>
                  <w:caps w:val="false"/>
                  <w:smallCaps w:val="false"/>
                  <w:color w:val="0000EE"/>
                  <w:sz w:val="20"/>
                  <w:u w:val="single"/>
                </w:rPr>
                <w:t>35</w:t>
              </w:r>
            </w:hyperlink>
          </w:p>
        </w:tc>
      </w:tr>
    </w:tbl>
    <w:p>
      <w:pPr>
        <w:pStyle w:val="TextBody"/>
        <w:bidi w:val="0"/>
        <w:spacing w:lineRule="atLeast" w:line="200"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 xml:space="preserve">Vertex,” “we,” “us,” and “our” as used in this Quarterly Report on Form 10-Q refer to Vertex Pharmaceuticals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Incorporated, a Massachusetts corporation, and its subsidiaries.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Vertex</w:t>
      </w:r>
      <w:r>
        <w:rPr>
          <w:rFonts w:ascii="Times New Roman;serif" w:hAnsi="Times New Roman;serif"/>
          <w:b w:val="false"/>
          <w:i w:val="false"/>
          <w:caps w:val="false"/>
          <w:smallCaps w:val="false"/>
          <w:sz w:val="13"/>
        </w:rPr>
        <w:t>®</w:t>
      </w:r>
      <w:r>
        <w:rPr>
          <w:rFonts w:ascii="Times New Roman;serif" w:hAnsi="Times New Roman;serif"/>
          <w:b w:val="false"/>
          <w:i w:val="false"/>
          <w:caps w:val="false"/>
          <w:smallCaps w:val="false"/>
          <w:sz w:val="20"/>
        </w:rPr>
        <w:t>,” “KALYDECO</w:t>
      </w:r>
      <w:r>
        <w:rPr>
          <w:rFonts w:ascii="Times New Roman;serif" w:hAnsi="Times New Roman;serif"/>
          <w:b w:val="false"/>
          <w:i w:val="false"/>
          <w:caps w:val="false"/>
          <w:smallCaps w:val="false"/>
          <w:sz w:val="13"/>
        </w:rPr>
        <w:t>®</w:t>
      </w:r>
      <w:r>
        <w:rPr>
          <w:rFonts w:ascii="Times New Roman;serif" w:hAnsi="Times New Roman;serif"/>
          <w:b w:val="false"/>
          <w:i w:val="false"/>
          <w:caps w:val="false"/>
          <w:smallCaps w:val="false"/>
          <w:sz w:val="20"/>
        </w:rPr>
        <w:t>,” “ORKAMBI</w:t>
      </w:r>
      <w:r>
        <w:rPr>
          <w:rFonts w:ascii="Times New Roman;serif" w:hAnsi="Times New Roman;serif"/>
          <w:b w:val="false"/>
          <w:i w:val="false"/>
          <w:caps w:val="false"/>
          <w:smallCaps w:val="false"/>
          <w:sz w:val="13"/>
        </w:rPr>
        <w:t>®</w:t>
      </w:r>
      <w:r>
        <w:rPr>
          <w:rFonts w:ascii="Times New Roman;serif" w:hAnsi="Times New Roman;serif"/>
          <w:b w:val="false"/>
          <w:i w:val="false"/>
          <w:caps w:val="false"/>
          <w:smallCaps w:val="false"/>
          <w:sz w:val="20"/>
        </w:rPr>
        <w:t>,” “SYMDEKO</w:t>
      </w:r>
      <w:r>
        <w:rPr>
          <w:rFonts w:ascii="Times New Roman;serif" w:hAnsi="Times New Roman;serif"/>
          <w:b w:val="false"/>
          <w:i w:val="false"/>
          <w:caps w:val="false"/>
          <w:smallCaps w:val="false"/>
          <w:sz w:val="13"/>
        </w:rPr>
        <w:t>®</w:t>
      </w:r>
      <w:r>
        <w:rPr>
          <w:rFonts w:ascii="Times New Roman;serif" w:hAnsi="Times New Roman;serif"/>
          <w:b w:val="false"/>
          <w:i w:val="false"/>
          <w:caps w:val="false"/>
          <w:smallCaps w:val="false"/>
          <w:sz w:val="20"/>
        </w:rPr>
        <w:t>,” “SYMKEVI</w:t>
      </w:r>
      <w:r>
        <w:rPr>
          <w:rFonts w:ascii="Times New Roman;serif" w:hAnsi="Times New Roman;serif"/>
          <w:b w:val="false"/>
          <w:i w:val="false"/>
          <w:caps w:val="false"/>
          <w:smallCaps w:val="false"/>
          <w:sz w:val="13"/>
        </w:rPr>
        <w:t>®</w:t>
      </w:r>
      <w:r>
        <w:rPr>
          <w:rFonts w:ascii="Times New Roman;serif" w:hAnsi="Times New Roman;serif"/>
          <w:b w:val="false"/>
          <w:i w:val="false"/>
          <w:caps w:val="false"/>
          <w:smallCaps w:val="false"/>
          <w:sz w:val="20"/>
        </w:rPr>
        <w:t>,” “TRIKAFTA</w:t>
      </w:r>
      <w:r>
        <w:rPr>
          <w:rFonts w:ascii="Times New Roman;serif" w:hAnsi="Times New Roman;serif"/>
          <w:b w:val="false"/>
          <w:i w:val="false"/>
          <w:caps w:val="false"/>
          <w:smallCaps w:val="false"/>
          <w:sz w:val="13"/>
        </w:rPr>
        <w:t>®</w:t>
      </w:r>
      <w:r>
        <w:rPr>
          <w:rFonts w:ascii="Times New Roman;serif" w:hAnsi="Times New Roman;serif"/>
          <w:b w:val="false"/>
          <w:i w:val="false"/>
          <w:caps w:val="false"/>
          <w:smallCaps w:val="false"/>
          <w:sz w:val="20"/>
        </w:rPr>
        <w:t>,” “KAFTRIO</w:t>
      </w:r>
      <w:r>
        <w:rPr>
          <w:rFonts w:ascii="Times New Roman;serif" w:hAnsi="Times New Roman;serif"/>
          <w:b w:val="false"/>
          <w:i w:val="false"/>
          <w:caps w:val="false"/>
          <w:smallCaps w:val="false"/>
          <w:sz w:val="13"/>
        </w:rPr>
        <w:t>®</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pPr>
      <w:r>
        <w:rPr>
          <w:rFonts w:ascii="Times New Roman;serif" w:hAnsi="Times New Roman;serif"/>
          <w:b w:val="false"/>
          <w:i w:val="false"/>
          <w:caps w:val="false"/>
          <w:smallCaps w:val="false"/>
          <w:sz w:val="20"/>
        </w:rPr>
        <w:t>CASGEVY</w:t>
      </w:r>
      <w:r>
        <w:rPr>
          <w:rFonts w:ascii="Times New Roman;serif" w:hAnsi="Times New Roman;serif"/>
          <w:b w:val="false"/>
          <w:i w:val="false"/>
          <w:caps w:val="false"/>
          <w:smallCaps w:val="false"/>
          <w:sz w:val="13"/>
        </w:rPr>
        <w:t>®</w:t>
      </w:r>
      <w:r>
        <w:rPr>
          <w:rFonts w:ascii="Times New Roman;serif" w:hAnsi="Times New Roman;serif"/>
          <w:b w:val="false"/>
          <w:i w:val="false"/>
          <w:caps w:val="false"/>
          <w:smallCaps w:val="false"/>
          <w:sz w:val="20"/>
        </w:rPr>
        <w:t>, ” “ALYFTREK</w:t>
      </w:r>
      <w:r>
        <w:rPr>
          <w:rFonts w:ascii="Times New Roman;serif" w:hAnsi="Times New Roman;serif"/>
          <w:b w:val="false"/>
          <w:i w:val="false"/>
          <w:caps w:val="false"/>
          <w:smallCaps w:val="false"/>
          <w:sz w:val="13"/>
        </w:rPr>
        <w:t>®</w:t>
      </w:r>
      <w:r>
        <w:rPr>
          <w:rFonts w:ascii="Times New Roman;serif" w:hAnsi="Times New Roman;serif"/>
          <w:b w:val="false"/>
          <w:i w:val="false"/>
          <w:caps w:val="false"/>
          <w:smallCaps w:val="false"/>
          <w:sz w:val="20"/>
        </w:rPr>
        <w:t>,” and “JOURNAVX</w:t>
      </w:r>
      <w:r>
        <w:rPr>
          <w:rFonts w:ascii="Times New Roman;serif" w:hAnsi="Times New Roman;serif"/>
          <w:b w:val="false"/>
          <w:i w:val="false"/>
          <w:caps w:val="false"/>
          <w:smallCaps w:val="false"/>
          <w:sz w:val="13"/>
        </w:rPr>
        <w:t>®</w:t>
      </w:r>
      <w:r>
        <w:rPr>
          <w:caps w:val="false"/>
          <w:smallCaps w:val="false"/>
        </w:rPr>
        <w:t xml:space="preserve">” </w:t>
      </w:r>
      <w:r>
        <w:rPr>
          <w:rFonts w:ascii="Times New Roman;serif" w:hAnsi="Times New Roman;serif"/>
          <w:b w:val="false"/>
          <w:i w:val="false"/>
          <w:caps w:val="false"/>
          <w:smallCaps w:val="false"/>
          <w:sz w:val="20"/>
        </w:rPr>
        <w:t xml:space="preserve">are registered trademarks of Vertex. Other brands, names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trademarks contained in this Quarterly Report on Form 10-Q are the property of their respective owners.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use the brand name for our products when we refer to the product that has been approved and with respect to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indications on the approved label. Otherwise, including in discussions of our </w:t>
      </w:r>
      <w:r>
        <w:rPr>
          <w:rFonts w:ascii="Times New Roman;serif" w:hAnsi="Times New Roman;serif"/>
          <w:b w:val="false"/>
          <w:i w:val="false"/>
          <w:caps w:val="false"/>
          <w:smallCaps w:val="false"/>
          <w:strike w:val="false"/>
          <w:dstrike w:val="false"/>
          <w:sz w:val="20"/>
          <w:u w:val="none"/>
          <w:effect w:val="none"/>
        </w:rPr>
        <w:t xml:space="preserve">cystic fibrosis, sickle cell disease, beta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thalassemia, and pain development programs, w</w:t>
      </w:r>
      <w:r>
        <w:rPr>
          <w:rFonts w:ascii="Times New Roman;serif" w:hAnsi="Times New Roman;serif"/>
          <w:b w:val="false"/>
          <w:i w:val="false"/>
          <w:caps w:val="false"/>
          <w:smallCaps w:val="false"/>
          <w:sz w:val="20"/>
        </w:rPr>
        <w:t xml:space="preserve">e refer to our product candidates by their scientific (or generic) name or VX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developmental designation.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Condensed Consolidated Statements of Income</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 in millions, except per share amounts)</w:t>
      </w:r>
    </w:p>
    <w:tbl>
      <w:tblPr>
        <w:tblW w:w="7516" w:type="dxa"/>
        <w:jc w:val="left"/>
        <w:tblInd w:w="0" w:type="dxa"/>
        <w:tblLayout w:type="fixed"/>
        <w:tblCellMar>
          <w:top w:w="28" w:type="dxa"/>
          <w:left w:w="28" w:type="dxa"/>
          <w:bottom w:w="28" w:type="dxa"/>
          <w:right w:w="28" w:type="dxa"/>
        </w:tblCellMar>
      </w:tblPr>
      <w:tblGrid>
        <w:gridCol w:w="4681"/>
        <w:gridCol w:w="1297"/>
        <w:gridCol w:w="171"/>
        <w:gridCol w:w="1367"/>
      </w:tblGrid>
      <w:tr>
        <w:trPr/>
        <w:tc>
          <w:tcPr>
            <w:tcW w:w="468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r>
      <w:tr>
        <w:trPr/>
        <w:tc>
          <w:tcPr>
            <w:tcW w:w="4681" w:type="dxa"/>
            <w:tcBorders/>
            <w:vAlign w:val="center"/>
          </w:tcPr>
          <w:p>
            <w:pPr>
              <w:pStyle w:val="TableContents"/>
              <w:bidi w:val="0"/>
              <w:spacing w:before="0" w:after="283"/>
              <w:jc w:val="left"/>
              <w:rPr>
                <w:sz w:val="4"/>
                <w:szCs w:val="4"/>
              </w:rPr>
            </w:pPr>
            <w:r>
              <w:rPr>
                <w:sz w:val="4"/>
                <w:szCs w:val="4"/>
              </w:rPr>
            </w:r>
          </w:p>
        </w:tc>
        <w:tc>
          <w:tcPr>
            <w:tcW w:w="2835"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Three Months Ended March 31,</w:t>
            </w:r>
          </w:p>
        </w:tc>
      </w:tr>
      <w:tr>
        <w:trPr/>
        <w:tc>
          <w:tcPr>
            <w:tcW w:w="4681" w:type="dxa"/>
            <w:tcBorders/>
            <w:vAlign w:val="center"/>
          </w:tcPr>
          <w:p>
            <w:pPr>
              <w:pStyle w:val="TableContents"/>
              <w:bidi w:val="0"/>
              <w:spacing w:before="0" w:after="283"/>
              <w:jc w:val="left"/>
              <w:rPr>
                <w:sz w:val="4"/>
                <w:szCs w:val="4"/>
              </w:rPr>
            </w:pPr>
            <w:r>
              <w:rPr>
                <w:sz w:val="4"/>
                <w:szCs w:val="4"/>
              </w:rPr>
            </w:r>
          </w:p>
        </w:tc>
        <w:tc>
          <w:tcPr>
            <w:tcW w:w="129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Revenues:</w:t>
            </w:r>
          </w:p>
        </w:tc>
        <w:tc>
          <w:tcPr>
            <w:tcW w:w="1297"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Product revenues, net</w:t>
            </w:r>
          </w:p>
        </w:tc>
        <w:tc>
          <w:tcPr>
            <w:tcW w:w="129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$2,986.9</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$2,760.2</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revenues</w:t>
            </w:r>
          </w:p>
        </w:tc>
        <w:tc>
          <w:tcPr>
            <w:tcW w:w="1297"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revenues</w:t>
            </w:r>
          </w:p>
        </w:tc>
        <w:tc>
          <w:tcPr>
            <w:tcW w:w="1297"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2,986.9</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2,770.2</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Costs and expenses:</w:t>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shd w:fill="CCEEFF" w:val="clear"/>
            <w:vAlign w:val="center"/>
          </w:tcPr>
          <w:p>
            <w:pPr>
              <w:pStyle w:val="TableContents"/>
              <w:bidi w:val="0"/>
              <w:spacing w:before="0" w:after="283"/>
              <w:jc w:val="left"/>
              <w:rPr>
                <w:sz w:val="4"/>
                <w:szCs w:val="4"/>
              </w:rPr>
            </w:pPr>
            <w:r>
              <w:rPr>
                <w:sz w:val="4"/>
                <w:szCs w:val="4"/>
              </w:rPr>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Cost of sales</w:t>
            </w:r>
          </w:p>
        </w:tc>
        <w:tc>
          <w:tcPr>
            <w:tcW w:w="129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392.8</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363.0</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Research and development expenses</w:t>
            </w:r>
          </w:p>
        </w:tc>
        <w:tc>
          <w:tcPr>
            <w:tcW w:w="129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961.6</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979.7</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Acquired in-process research and development expenses</w:t>
            </w:r>
          </w:p>
        </w:tc>
        <w:tc>
          <w:tcPr>
            <w:tcW w:w="129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19.8</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Selling, general and administrative expenses</w:t>
            </w:r>
          </w:p>
        </w:tc>
        <w:tc>
          <w:tcPr>
            <w:tcW w:w="129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493.7</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396.4</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Intangible asset impairment charge</w:t>
            </w:r>
          </w:p>
        </w:tc>
        <w:tc>
          <w:tcPr>
            <w:tcW w:w="1297"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379.0</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Change in fair value of contingent consideration</w:t>
            </w:r>
          </w:p>
        </w:tc>
        <w:tc>
          <w:tcPr>
            <w:tcW w:w="1297"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costs and expenses</w:t>
            </w:r>
          </w:p>
        </w:tc>
        <w:tc>
          <w:tcPr>
            <w:tcW w:w="1297"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1,848.8</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2,140.1</w:t>
            </w:r>
          </w:p>
        </w:tc>
      </w:tr>
      <w:tr>
        <w:trPr/>
        <w:tc>
          <w:tcPr>
            <w:tcW w:w="468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Income</w:t>
            </w:r>
            <w:r>
              <w:rPr>
                <w:caps w:val="false"/>
                <w:smallCaps w:val="false"/>
                <w:sz w:val="24"/>
              </w:rPr>
              <w:t xml:space="preserve"> </w:t>
            </w:r>
            <w:r>
              <w:rPr>
                <w:rFonts w:ascii="Times New Roman;serif" w:hAnsi="Times New Roman;serif"/>
                <w:b w:val="false"/>
                <w:i w:val="false"/>
                <w:caps w:val="false"/>
                <w:smallCaps w:val="false"/>
                <w:sz w:val="20"/>
              </w:rPr>
              <w:t>from operations</w:t>
            </w:r>
          </w:p>
        </w:tc>
        <w:tc>
          <w:tcPr>
            <w:tcW w:w="1297"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1,138.1</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630.1</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income, net</w:t>
            </w:r>
          </w:p>
        </w:tc>
        <w:tc>
          <w:tcPr>
            <w:tcW w:w="129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114.8</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117.9</w:t>
            </w:r>
          </w:p>
        </w:tc>
      </w:tr>
      <w:tr>
        <w:trPr/>
        <w:tc>
          <w:tcPr>
            <w:tcW w:w="468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Other </w:t>
            </w:r>
            <w:r>
              <w:rPr>
                <w:rFonts w:ascii="Times New Roman;serif" w:hAnsi="Times New Roman;serif"/>
                <w:b w:val="false"/>
                <w:i w:val="false"/>
                <w:caps w:val="false"/>
                <w:smallCaps w:val="false"/>
                <w:strike w:val="false"/>
                <w:dstrike w:val="false"/>
                <w:sz w:val="20"/>
                <w:u w:val="none"/>
                <w:effect w:val="none"/>
              </w:rPr>
              <w:t>expense</w:t>
            </w:r>
            <w:r>
              <w:rPr>
                <w:rFonts w:ascii="Times New Roman;serif" w:hAnsi="Times New Roman;serif"/>
                <w:b w:val="false"/>
                <w:i w:val="false"/>
                <w:caps w:val="false"/>
                <w:smallCaps w:val="false"/>
                <w:sz w:val="20"/>
              </w:rPr>
              <w:t>, net</w:t>
            </w:r>
          </w:p>
        </w:tc>
        <w:tc>
          <w:tcPr>
            <w:tcW w:w="1297"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(17.6)</w:t>
            </w:r>
          </w:p>
        </w:tc>
      </w:tr>
      <w:tr>
        <w:trPr/>
        <w:tc>
          <w:tcPr>
            <w:tcW w:w="468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Income</w:t>
            </w:r>
            <w:r>
              <w:rPr>
                <w:caps w:val="false"/>
                <w:smallCaps w:val="false"/>
                <w:sz w:val="24"/>
              </w:rPr>
              <w:t xml:space="preserve"> </w:t>
            </w:r>
            <w:r>
              <w:rPr>
                <w:rFonts w:ascii="Times New Roman;serif" w:hAnsi="Times New Roman;serif"/>
                <w:b w:val="false"/>
                <w:i w:val="false"/>
                <w:caps w:val="false"/>
                <w:smallCaps w:val="false"/>
                <w:sz w:val="20"/>
              </w:rPr>
              <w:t xml:space="preserve">before </w:t>
            </w:r>
            <w:r>
              <w:rPr>
                <w:rFonts w:ascii="Times New Roman;serif" w:hAnsi="Times New Roman;serif"/>
                <w:b w:val="false"/>
                <w:i w:val="false"/>
                <w:caps w:val="false"/>
                <w:smallCaps w:val="false"/>
                <w:strike w:val="false"/>
                <w:dstrike w:val="false"/>
                <w:sz w:val="20"/>
                <w:u w:val="none"/>
                <w:effect w:val="none"/>
              </w:rPr>
              <w:t>provision for</w:t>
            </w:r>
            <w:r>
              <w:rPr>
                <w:caps w:val="false"/>
                <w:smallCaps w:val="false"/>
                <w:sz w:val="24"/>
              </w:rPr>
              <w:t xml:space="preserve"> </w:t>
            </w:r>
            <w:r>
              <w:rPr>
                <w:rFonts w:ascii="Times New Roman;serif" w:hAnsi="Times New Roman;serif"/>
                <w:b w:val="false"/>
                <w:i w:val="false"/>
                <w:caps w:val="false"/>
                <w:smallCaps w:val="false"/>
                <w:sz w:val="20"/>
              </w:rPr>
              <w:t>income taxes</w:t>
            </w:r>
          </w:p>
        </w:tc>
        <w:tc>
          <w:tcPr>
            <w:tcW w:w="1297"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1,252.9</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730.4</w:t>
            </w:r>
          </w:p>
        </w:tc>
      </w:tr>
      <w:tr>
        <w:trPr/>
        <w:tc>
          <w:tcPr>
            <w:tcW w:w="468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Provision for</w:t>
            </w:r>
            <w:r>
              <w:rPr>
                <w:caps w:val="false"/>
                <w:smallCaps w:val="false"/>
                <w:sz w:val="24"/>
              </w:rPr>
              <w:t xml:space="preserve"> </w:t>
            </w:r>
            <w:r>
              <w:rPr>
                <w:rFonts w:ascii="Times New Roman;serif" w:hAnsi="Times New Roman;serif"/>
                <w:b w:val="false"/>
                <w:i w:val="false"/>
                <w:caps w:val="false"/>
                <w:smallCaps w:val="false"/>
                <w:sz w:val="20"/>
              </w:rPr>
              <w:t>income taxes</w:t>
            </w:r>
          </w:p>
        </w:tc>
        <w:tc>
          <w:tcPr>
            <w:tcW w:w="1297"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221.5</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84.1</w:t>
            </w:r>
          </w:p>
        </w:tc>
      </w:tr>
      <w:tr>
        <w:trPr/>
        <w:tc>
          <w:tcPr>
            <w:tcW w:w="468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Net </w:t>
            </w:r>
            <w:r>
              <w:rPr>
                <w:rFonts w:ascii="Times New Roman;serif" w:hAnsi="Times New Roman;serif"/>
                <w:b w:val="false"/>
                <w:i w:val="false"/>
                <w:caps w:val="false"/>
                <w:smallCaps w:val="false"/>
                <w:strike w:val="false"/>
                <w:dstrike w:val="false"/>
                <w:sz w:val="20"/>
                <w:u w:val="none"/>
                <w:effect w:val="none"/>
              </w:rPr>
              <w:t>income</w:t>
            </w:r>
          </w:p>
        </w:tc>
        <w:tc>
          <w:tcPr>
            <w:tcW w:w="1297"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$1,031.4</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$646.3</w:t>
            </w:r>
          </w:p>
        </w:tc>
      </w:tr>
      <w:tr>
        <w:trPr/>
        <w:tc>
          <w:tcPr>
            <w:tcW w:w="4681" w:type="dxa"/>
            <w:tcBorders/>
            <w:shd w:fill="CCEEFF" w:val="clear"/>
            <w:vAlign w:val="center"/>
          </w:tcPr>
          <w:p>
            <w:pPr>
              <w:pStyle w:val="TableContents"/>
              <w:bidi w:val="0"/>
              <w:spacing w:before="0" w:after="283"/>
              <w:jc w:val="left"/>
              <w:rPr>
                <w:sz w:val="4"/>
                <w:szCs w:val="4"/>
              </w:rPr>
            </w:pPr>
            <w:r>
              <w:rPr>
                <w:sz w:val="4"/>
                <w:szCs w:val="4"/>
              </w:rPr>
            </w:r>
          </w:p>
        </w:tc>
        <w:tc>
          <w:tcPr>
            <w:tcW w:w="1297"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Net </w:t>
            </w:r>
            <w:r>
              <w:rPr>
                <w:rFonts w:ascii="Times New Roman;serif" w:hAnsi="Times New Roman;serif"/>
                <w:b w:val="false"/>
                <w:i w:val="false"/>
                <w:caps w:val="false"/>
                <w:smallCaps w:val="false"/>
                <w:strike w:val="false"/>
                <w:dstrike w:val="false"/>
                <w:sz w:val="20"/>
                <w:u w:val="none"/>
                <w:effect w:val="none"/>
              </w:rPr>
              <w:t>income</w:t>
            </w:r>
            <w:r>
              <w:rPr>
                <w:caps w:val="false"/>
                <w:smallCaps w:val="false"/>
                <w:sz w:val="24"/>
              </w:rPr>
              <w:t xml:space="preserve"> </w:t>
            </w:r>
            <w:r>
              <w:rPr>
                <w:rFonts w:ascii="Times New Roman;serif" w:hAnsi="Times New Roman;serif"/>
                <w:b w:val="false"/>
                <w:i w:val="false"/>
                <w:caps w:val="false"/>
                <w:smallCaps w:val="false"/>
                <w:sz w:val="20"/>
              </w:rPr>
              <w:t>per common share:</w:t>
            </w:r>
          </w:p>
        </w:tc>
        <w:tc>
          <w:tcPr>
            <w:tcW w:w="1297" w:type="dxa"/>
            <w:tcBorders/>
            <w:shd w:fill="FFFFFF" w:val="clear"/>
            <w:vAlign w:val="center"/>
          </w:tcPr>
          <w:p>
            <w:pPr>
              <w:pStyle w:val="TableContents"/>
              <w:bidi w:val="0"/>
              <w:spacing w:before="0" w:after="283"/>
              <w:jc w:val="left"/>
              <w:rPr>
                <w:sz w:val="4"/>
                <w:szCs w:val="4"/>
              </w:rPr>
            </w:pPr>
            <w:r>
              <w:rPr>
                <w:sz w:val="4"/>
                <w:szCs w:val="4"/>
              </w:rPr>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sz w:val="4"/>
                <w:szCs w:val="4"/>
              </w:rPr>
            </w:pPr>
            <w:r>
              <w:rPr>
                <w:sz w:val="4"/>
                <w:szCs w:val="4"/>
              </w:rPr>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Basic</w:t>
            </w:r>
          </w:p>
        </w:tc>
        <w:tc>
          <w:tcPr>
            <w:tcW w:w="129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$4.06</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$2.52</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Diluted</w:t>
            </w:r>
          </w:p>
        </w:tc>
        <w:tc>
          <w:tcPr>
            <w:tcW w:w="129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$4.02</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$2.49</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Shares used in per share calculations:</w:t>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shd w:fill="CCEEFF" w:val="clear"/>
            <w:vAlign w:val="center"/>
          </w:tcPr>
          <w:p>
            <w:pPr>
              <w:pStyle w:val="TableContents"/>
              <w:bidi w:val="0"/>
              <w:spacing w:before="0" w:after="283"/>
              <w:jc w:val="left"/>
              <w:rPr>
                <w:sz w:val="4"/>
                <w:szCs w:val="4"/>
              </w:rPr>
            </w:pPr>
            <w:r>
              <w:rPr>
                <w:sz w:val="4"/>
                <w:szCs w:val="4"/>
              </w:rPr>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Basic</w:t>
            </w:r>
          </w:p>
        </w:tc>
        <w:tc>
          <w:tcPr>
            <w:tcW w:w="129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254.1</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256.9</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Diluted</w:t>
            </w:r>
          </w:p>
        </w:tc>
        <w:tc>
          <w:tcPr>
            <w:tcW w:w="129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256.3</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259.5</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these condensed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Condensed Consolidated Statements of Comprehensive Income</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 in millions)</w:t>
      </w:r>
    </w:p>
    <w:tbl>
      <w:tblPr>
        <w:tblW w:w="9195" w:type="dxa"/>
        <w:jc w:val="left"/>
        <w:tblInd w:w="0" w:type="dxa"/>
        <w:tblLayout w:type="fixed"/>
        <w:tblCellMar>
          <w:top w:w="28" w:type="dxa"/>
          <w:left w:w="28" w:type="dxa"/>
          <w:bottom w:w="28" w:type="dxa"/>
          <w:right w:w="28" w:type="dxa"/>
        </w:tblCellMar>
      </w:tblPr>
      <w:tblGrid>
        <w:gridCol w:w="6361"/>
        <w:gridCol w:w="1414"/>
        <w:gridCol w:w="186"/>
        <w:gridCol w:w="1234"/>
      </w:tblGrid>
      <w:tr>
        <w:trPr/>
        <w:tc>
          <w:tcPr>
            <w:tcW w:w="636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6361" w:type="dxa"/>
            <w:tcBorders/>
            <w:vAlign w:val="center"/>
          </w:tcPr>
          <w:p>
            <w:pPr>
              <w:pStyle w:val="TableContents"/>
              <w:bidi w:val="0"/>
              <w:spacing w:before="0" w:after="283"/>
              <w:jc w:val="left"/>
              <w:rPr>
                <w:sz w:val="4"/>
                <w:szCs w:val="4"/>
              </w:rPr>
            </w:pPr>
            <w:r>
              <w:rPr>
                <w:sz w:val="4"/>
                <w:szCs w:val="4"/>
              </w:rPr>
            </w:r>
          </w:p>
        </w:tc>
        <w:tc>
          <w:tcPr>
            <w:tcW w:w="2834"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Three Months Ended March 31,</w:t>
            </w:r>
          </w:p>
        </w:tc>
      </w:tr>
      <w:tr>
        <w:trPr/>
        <w:tc>
          <w:tcPr>
            <w:tcW w:w="6361" w:type="dxa"/>
            <w:tcBorders/>
            <w:vAlign w:val="center"/>
          </w:tcPr>
          <w:p>
            <w:pPr>
              <w:pStyle w:val="TableContents"/>
              <w:bidi w:val="0"/>
              <w:spacing w:before="0" w:after="283"/>
              <w:jc w:val="left"/>
              <w:rPr>
                <w:sz w:val="4"/>
                <w:szCs w:val="4"/>
              </w:rPr>
            </w:pPr>
            <w:r>
              <w:rPr>
                <w:sz w:val="4"/>
                <w:szCs w:val="4"/>
              </w:rPr>
            </w:r>
          </w:p>
        </w:tc>
        <w:tc>
          <w:tcPr>
            <w:tcW w:w="1414"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636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Net </w:t>
            </w:r>
            <w:r>
              <w:rPr>
                <w:rFonts w:ascii="Times New Roman;serif" w:hAnsi="Times New Roman;serif"/>
                <w:b w:val="false"/>
                <w:i w:val="false"/>
                <w:caps w:val="false"/>
                <w:smallCaps w:val="false"/>
                <w:strike w:val="false"/>
                <w:dstrike w:val="false"/>
                <w:sz w:val="20"/>
                <w:u w:val="none"/>
                <w:effect w:val="none"/>
              </w:rPr>
              <w:t>income</w:t>
            </w:r>
          </w:p>
        </w:tc>
        <w:tc>
          <w:tcPr>
            <w:tcW w:w="141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$1,031.4</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23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$646.3</w:t>
            </w:r>
          </w:p>
        </w:tc>
      </w:tr>
      <w:tr>
        <w:trPr/>
        <w:tc>
          <w:tcPr>
            <w:tcW w:w="636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Other comprehensive </w:t>
            </w:r>
            <w:r>
              <w:rPr>
                <w:rFonts w:ascii="Times New Roman;serif" w:hAnsi="Times New Roman;serif"/>
                <w:b w:val="false"/>
                <w:i w:val="false"/>
                <w:caps w:val="false"/>
                <w:smallCaps w:val="false"/>
                <w:strike w:val="false"/>
                <w:dstrike w:val="false"/>
                <w:sz w:val="20"/>
                <w:u w:val="none"/>
                <w:effect w:val="none"/>
              </w:rPr>
              <w:t>income (loss)</w:t>
            </w:r>
            <w:r>
              <w:rPr>
                <w:rFonts w:ascii="Times New Roman;serif" w:hAnsi="Times New Roman;serif"/>
                <w:b w:val="false"/>
                <w:i w:val="false"/>
                <w:caps w:val="false"/>
                <w:smallCaps w:val="false"/>
                <w:sz w:val="20"/>
              </w:rPr>
              <w:t>:</w:t>
            </w:r>
          </w:p>
        </w:tc>
        <w:tc>
          <w:tcPr>
            <w:tcW w:w="1414" w:type="dxa"/>
            <w:tcBorders/>
            <w:shd w:fill="FFFFFF" w:val="clear"/>
            <w:vAlign w:val="center"/>
          </w:tcPr>
          <w:p>
            <w:pPr>
              <w:pStyle w:val="TableContents"/>
              <w:bidi w:val="0"/>
              <w:spacing w:before="0" w:after="283"/>
              <w:jc w:val="left"/>
              <w:rPr>
                <w:sz w:val="4"/>
                <w:szCs w:val="4"/>
              </w:rPr>
            </w:pPr>
            <w:r>
              <w:rPr>
                <w:sz w:val="4"/>
                <w:szCs w:val="4"/>
              </w:rPr>
            </w:r>
          </w:p>
        </w:tc>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1234" w:type="dxa"/>
            <w:tcBorders/>
            <w:shd w:fill="FFFFFF" w:val="clear"/>
            <w:vAlign w:val="center"/>
          </w:tcPr>
          <w:p>
            <w:pPr>
              <w:pStyle w:val="TableContents"/>
              <w:bidi w:val="0"/>
              <w:spacing w:before="0" w:after="283"/>
              <w:jc w:val="left"/>
              <w:rPr>
                <w:sz w:val="4"/>
                <w:szCs w:val="4"/>
              </w:rPr>
            </w:pPr>
            <w:r>
              <w:rPr>
                <w:sz w:val="4"/>
                <w:szCs w:val="4"/>
              </w:rPr>
            </w:r>
          </w:p>
        </w:tc>
      </w:tr>
      <w:tr>
        <w:trPr/>
        <w:tc>
          <w:tcPr>
            <w:tcW w:w="636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Unrealized holding </w:t>
            </w:r>
            <w:r>
              <w:rPr>
                <w:rFonts w:ascii="Times New Roman;serif" w:hAnsi="Times New Roman;serif"/>
                <w:b w:val="false"/>
                <w:i w:val="false"/>
                <w:caps w:val="false"/>
                <w:smallCaps w:val="false"/>
                <w:strike w:val="false"/>
                <w:dstrike w:val="false"/>
                <w:sz w:val="20"/>
                <w:u w:val="none"/>
                <w:effect w:val="none"/>
              </w:rPr>
              <w:t>(losses) gains</w:t>
            </w:r>
            <w:r>
              <w:rPr>
                <w:caps w:val="false"/>
                <w:smallCaps w:val="false"/>
                <w:sz w:val="24"/>
              </w:rPr>
              <w:t xml:space="preserve"> </w:t>
            </w:r>
            <w:r>
              <w:rPr>
                <w:rFonts w:ascii="Times New Roman;serif" w:hAnsi="Times New Roman;serif"/>
                <w:b w:val="false"/>
                <w:i w:val="false"/>
                <w:caps w:val="false"/>
                <w:smallCaps w:val="false"/>
                <w:sz w:val="20"/>
              </w:rPr>
              <w:t xml:space="preserve">on available-for-sale debt securities, net of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tax of </w:t>
            </w:r>
            <w:r>
              <w:rPr>
                <w:rFonts w:ascii="Times New Roman;serif" w:hAnsi="Times New Roman;serif"/>
                <w:b w:val="false"/>
                <w:i w:val="false"/>
                <w:caps w:val="false"/>
                <w:smallCaps w:val="false"/>
                <w:strike w:val="false"/>
                <w:dstrike w:val="false"/>
                <w:sz w:val="20"/>
                <w:u w:val="none"/>
                <w:effect w:val="none"/>
              </w:rPr>
              <w:t>$8.8</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$(4.6)</w:t>
            </w:r>
            <w:r>
              <w:rPr>
                <w:rFonts w:ascii="Times New Roman;serif" w:hAnsi="Times New Roman;serif"/>
                <w:b w:val="false"/>
                <w:i w:val="false"/>
                <w:caps w:val="false"/>
                <w:smallCaps w:val="false"/>
                <w:sz w:val="20"/>
              </w:rPr>
              <w:t>, respectively</w:t>
            </w:r>
          </w:p>
        </w:tc>
        <w:tc>
          <w:tcPr>
            <w:tcW w:w="141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(31.2)</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23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16.5</w:t>
            </w:r>
          </w:p>
        </w:tc>
      </w:tr>
      <w:tr>
        <w:trPr/>
        <w:tc>
          <w:tcPr>
            <w:tcW w:w="636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Unrealized </w:t>
            </w:r>
            <w:r>
              <w:rPr>
                <w:rFonts w:ascii="Times New Roman;serif" w:hAnsi="Times New Roman;serif"/>
                <w:b w:val="false"/>
                <w:i w:val="false"/>
                <w:caps w:val="false"/>
                <w:smallCaps w:val="false"/>
                <w:strike w:val="false"/>
                <w:dstrike w:val="false"/>
                <w:sz w:val="20"/>
                <w:u w:val="none"/>
                <w:effect w:val="none"/>
              </w:rPr>
              <w:t>gains (losses)</w:t>
            </w:r>
            <w:r>
              <w:rPr>
                <w:caps w:val="false"/>
                <w:smallCaps w:val="false"/>
                <w:sz w:val="24"/>
              </w:rPr>
              <w:t xml:space="preserve"> </w:t>
            </w:r>
            <w:r>
              <w:rPr>
                <w:rFonts w:ascii="Times New Roman;serif" w:hAnsi="Times New Roman;serif"/>
                <w:b w:val="false"/>
                <w:i w:val="false"/>
                <w:caps w:val="false"/>
                <w:smallCaps w:val="false"/>
                <w:sz w:val="20"/>
              </w:rPr>
              <w:t xml:space="preserve">on foreign currency forward contracts, net of tax of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$(23.9)</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$25.6</w:t>
            </w:r>
            <w:r>
              <w:rPr>
                <w:rFonts w:ascii="Times New Roman;serif" w:hAnsi="Times New Roman;serif"/>
                <w:b w:val="false"/>
                <w:i w:val="false"/>
                <w:caps w:val="false"/>
                <w:smallCaps w:val="false"/>
                <w:sz w:val="20"/>
              </w:rPr>
              <w:t>, respectively</w:t>
            </w:r>
          </w:p>
        </w:tc>
        <w:tc>
          <w:tcPr>
            <w:tcW w:w="141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84.9</w:t>
            </w:r>
          </w:p>
        </w:tc>
        <w:tc>
          <w:tcPr>
            <w:tcW w:w="18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(90.3)</w:t>
            </w:r>
          </w:p>
        </w:tc>
      </w:tr>
      <w:tr>
        <w:trPr/>
        <w:tc>
          <w:tcPr>
            <w:tcW w:w="63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Foreign currency translation adjustment</w:t>
            </w:r>
          </w:p>
        </w:tc>
        <w:tc>
          <w:tcPr>
            <w:tcW w:w="1414"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(13.0)</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234"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14.1</w:t>
            </w:r>
          </w:p>
        </w:tc>
      </w:tr>
      <w:tr>
        <w:trPr/>
        <w:tc>
          <w:tcPr>
            <w:tcW w:w="636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Total other comprehensive </w:t>
            </w:r>
            <w:r>
              <w:rPr>
                <w:rFonts w:ascii="Times New Roman;serif" w:hAnsi="Times New Roman;serif"/>
                <w:b w:val="false"/>
                <w:i w:val="false"/>
                <w:caps w:val="false"/>
                <w:smallCaps w:val="false"/>
                <w:strike w:val="false"/>
                <w:dstrike w:val="false"/>
                <w:sz w:val="20"/>
                <w:u w:val="none"/>
                <w:effect w:val="none"/>
              </w:rPr>
              <w:t>income (loss)</w:t>
            </w:r>
          </w:p>
        </w:tc>
        <w:tc>
          <w:tcPr>
            <w:tcW w:w="1414"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40.7</w:t>
            </w:r>
          </w:p>
        </w:tc>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1234"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(59.7)</w:t>
            </w:r>
          </w:p>
        </w:tc>
      </w:tr>
      <w:tr>
        <w:trPr/>
        <w:tc>
          <w:tcPr>
            <w:tcW w:w="636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Comprehensive </w:t>
            </w:r>
            <w:r>
              <w:rPr>
                <w:rFonts w:ascii="Times New Roman;serif" w:hAnsi="Times New Roman;serif"/>
                <w:b w:val="false"/>
                <w:i w:val="false"/>
                <w:caps w:val="false"/>
                <w:smallCaps w:val="false"/>
                <w:strike w:val="false"/>
                <w:dstrike w:val="false"/>
                <w:sz w:val="20"/>
                <w:u w:val="none"/>
                <w:effect w:val="none"/>
              </w:rPr>
              <w:t>income</w:t>
            </w:r>
          </w:p>
        </w:tc>
        <w:tc>
          <w:tcPr>
            <w:tcW w:w="141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$1,072.1</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23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$586.6</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these condensed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Condensed Consolidated Balance Sheets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 in millions, except share and per share data)</w:t>
      </w:r>
    </w:p>
    <w:tbl>
      <w:tblPr>
        <w:tblW w:w="9022" w:type="dxa"/>
        <w:jc w:val="left"/>
        <w:tblInd w:w="0" w:type="dxa"/>
        <w:tblLayout w:type="fixed"/>
        <w:tblCellMar>
          <w:top w:w="28" w:type="dxa"/>
          <w:left w:w="28" w:type="dxa"/>
          <w:bottom w:w="28" w:type="dxa"/>
          <w:right w:w="28" w:type="dxa"/>
        </w:tblCellMar>
      </w:tblPr>
      <w:tblGrid>
        <w:gridCol w:w="6031"/>
        <w:gridCol w:w="1291"/>
        <w:gridCol w:w="109"/>
        <w:gridCol w:w="1591"/>
      </w:tblGrid>
      <w:tr>
        <w:trPr/>
        <w:tc>
          <w:tcPr>
            <w:tcW w:w="603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March 31, 2026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December 31, 2025</w:t>
            </w:r>
          </w:p>
        </w:tc>
      </w:tr>
      <w:tr>
        <w:trPr/>
        <w:tc>
          <w:tcPr>
            <w:tcW w:w="6031" w:type="dxa"/>
            <w:tcBorders/>
            <w:shd w:fill="CCEEFF" w:val="cle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Assets</w:t>
            </w:r>
          </w:p>
        </w:tc>
        <w:tc>
          <w:tcPr>
            <w:tcW w:w="129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Current assets:</w:t>
            </w:r>
          </w:p>
        </w:tc>
        <w:tc>
          <w:tcPr>
            <w:tcW w:w="12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before="0" w:after="283"/>
              <w:jc w:val="left"/>
              <w:rPr>
                <w:sz w:val="4"/>
                <w:szCs w:val="4"/>
              </w:rPr>
            </w:pPr>
            <w:r>
              <w:rPr>
                <w:sz w:val="4"/>
                <w:szCs w:val="4"/>
              </w:rPr>
            </w:r>
          </w:p>
        </w:tc>
      </w:tr>
      <w:tr>
        <w:trPr/>
        <w:tc>
          <w:tcPr>
            <w:tcW w:w="60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Cash and cash equivalents</w:t>
            </w:r>
          </w:p>
        </w:tc>
        <w:tc>
          <w:tcPr>
            <w:tcW w:w="12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$5,492.9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$5,084.8</w:t>
            </w:r>
          </w:p>
        </w:tc>
      </w:tr>
      <w:tr>
        <w:trPr/>
        <w:tc>
          <w:tcPr>
            <w:tcW w:w="60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Marketable securities</w:t>
            </w:r>
          </w:p>
        </w:tc>
        <w:tc>
          <w:tcPr>
            <w:tcW w:w="12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1,753.8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1,523.3</w:t>
            </w:r>
          </w:p>
        </w:tc>
      </w:tr>
      <w:tr>
        <w:trPr/>
        <w:tc>
          <w:tcPr>
            <w:tcW w:w="60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Accounts receivable, net</w:t>
            </w:r>
          </w:p>
        </w:tc>
        <w:tc>
          <w:tcPr>
            <w:tcW w:w="12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1,996.1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2,052.8</w:t>
            </w:r>
          </w:p>
        </w:tc>
      </w:tr>
      <w:tr>
        <w:trPr/>
        <w:tc>
          <w:tcPr>
            <w:tcW w:w="60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Inventories</w:t>
            </w:r>
          </w:p>
        </w:tc>
        <w:tc>
          <w:tcPr>
            <w:tcW w:w="12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1,766.7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1,686.8</w:t>
            </w:r>
          </w:p>
        </w:tc>
      </w:tr>
      <w:tr>
        <w:trPr/>
        <w:tc>
          <w:tcPr>
            <w:tcW w:w="60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Prepaid expenses and other current assets</w:t>
            </w:r>
          </w:p>
        </w:tc>
        <w:tc>
          <w:tcPr>
            <w:tcW w:w="12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720.8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853.3</w:t>
            </w:r>
          </w:p>
        </w:tc>
      </w:tr>
      <w:tr>
        <w:trPr/>
        <w:tc>
          <w:tcPr>
            <w:tcW w:w="60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 current assets</w:t>
            </w:r>
          </w:p>
        </w:tc>
        <w:tc>
          <w:tcPr>
            <w:tcW w:w="1291" w:type="dxa"/>
            <w:tcBorders>
              <w:top w:val="single" w:sz="8" w:space="0" w:color="000000"/>
            </w:tcBorders>
            <w:shd w:fill="FFFF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11,730.3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tcBorders>
            <w:shd w:fill="FFFF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11,201.0</w:t>
            </w:r>
          </w:p>
        </w:tc>
      </w:tr>
      <w:tr>
        <w:trPr/>
        <w:tc>
          <w:tcPr>
            <w:tcW w:w="60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Property and equipment, net</w:t>
            </w:r>
          </w:p>
        </w:tc>
        <w:tc>
          <w:tcPr>
            <w:tcW w:w="12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1,608.4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1,520.3</w:t>
            </w:r>
          </w:p>
        </w:tc>
      </w:tr>
      <w:tr>
        <w:trPr/>
        <w:tc>
          <w:tcPr>
            <w:tcW w:w="60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Goodwill</w:t>
            </w:r>
          </w:p>
        </w:tc>
        <w:tc>
          <w:tcPr>
            <w:tcW w:w="12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1,088.0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1,088.0</w:t>
            </w:r>
          </w:p>
        </w:tc>
      </w:tr>
      <w:tr>
        <w:trPr/>
        <w:tc>
          <w:tcPr>
            <w:tcW w:w="60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Other intangible assets, net</w:t>
            </w:r>
          </w:p>
        </w:tc>
        <w:tc>
          <w:tcPr>
            <w:tcW w:w="12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418.5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424.2</w:t>
            </w:r>
          </w:p>
        </w:tc>
      </w:tr>
      <w:tr>
        <w:trPr/>
        <w:tc>
          <w:tcPr>
            <w:tcW w:w="60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Deferred tax assets</w:t>
            </w:r>
          </w:p>
        </w:tc>
        <w:tc>
          <w:tcPr>
            <w:tcW w:w="12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2,947.8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2,897.9</w:t>
            </w:r>
          </w:p>
        </w:tc>
      </w:tr>
      <w:tr>
        <w:trPr/>
        <w:tc>
          <w:tcPr>
            <w:tcW w:w="60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Operating lease assets</w:t>
            </w:r>
          </w:p>
        </w:tc>
        <w:tc>
          <w:tcPr>
            <w:tcW w:w="12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1,685.1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1,562.7</w:t>
            </w:r>
          </w:p>
        </w:tc>
      </w:tr>
      <w:tr>
        <w:trPr/>
        <w:tc>
          <w:tcPr>
            <w:tcW w:w="60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Long-term marketable securities</w:t>
            </w:r>
          </w:p>
        </w:tc>
        <w:tc>
          <w:tcPr>
            <w:tcW w:w="12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5,749.9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5,712.3</w:t>
            </w:r>
          </w:p>
        </w:tc>
      </w:tr>
      <w:tr>
        <w:trPr/>
        <w:tc>
          <w:tcPr>
            <w:tcW w:w="60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Other assets</w:t>
            </w:r>
          </w:p>
        </w:tc>
        <w:tc>
          <w:tcPr>
            <w:tcW w:w="12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1,256.4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1,236.6</w:t>
            </w:r>
          </w:p>
        </w:tc>
      </w:tr>
      <w:tr>
        <w:trPr/>
        <w:tc>
          <w:tcPr>
            <w:tcW w:w="60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 assets</w:t>
            </w:r>
          </w:p>
        </w:tc>
        <w:tc>
          <w:tcPr>
            <w:tcW w:w="12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$26,484.4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$25,643.0</w:t>
            </w:r>
          </w:p>
        </w:tc>
      </w:tr>
      <w:tr>
        <w:trPr/>
        <w:tc>
          <w:tcPr>
            <w:tcW w:w="6031" w:type="dxa"/>
            <w:tcBorders/>
            <w:shd w:fill="CCEEFF" w:val="cle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Liabilities and Shareholders’ Equity</w:t>
            </w:r>
          </w:p>
        </w:tc>
        <w:tc>
          <w:tcPr>
            <w:tcW w:w="129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Current liabilities:</w:t>
            </w:r>
          </w:p>
        </w:tc>
        <w:tc>
          <w:tcPr>
            <w:tcW w:w="12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before="0" w:after="283"/>
              <w:jc w:val="left"/>
              <w:rPr>
                <w:sz w:val="4"/>
                <w:szCs w:val="4"/>
              </w:rPr>
            </w:pPr>
            <w:r>
              <w:rPr>
                <w:sz w:val="4"/>
                <w:szCs w:val="4"/>
              </w:rPr>
            </w:r>
          </w:p>
        </w:tc>
      </w:tr>
      <w:tr>
        <w:trPr/>
        <w:tc>
          <w:tcPr>
            <w:tcW w:w="60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Accounts payable</w:t>
            </w:r>
          </w:p>
        </w:tc>
        <w:tc>
          <w:tcPr>
            <w:tcW w:w="12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$489.3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$461.7</w:t>
            </w:r>
          </w:p>
        </w:tc>
      </w:tr>
      <w:tr>
        <w:trPr/>
        <w:tc>
          <w:tcPr>
            <w:tcW w:w="60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Accrued expenses</w:t>
            </w:r>
          </w:p>
        </w:tc>
        <w:tc>
          <w:tcPr>
            <w:tcW w:w="12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2,984.2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2,971.2</w:t>
            </w:r>
          </w:p>
        </w:tc>
      </w:tr>
      <w:tr>
        <w:trPr/>
        <w:tc>
          <w:tcPr>
            <w:tcW w:w="60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Other current liabilities</w:t>
            </w:r>
          </w:p>
        </w:tc>
        <w:tc>
          <w:tcPr>
            <w:tcW w:w="12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407.1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428.3</w:t>
            </w:r>
          </w:p>
        </w:tc>
      </w:tr>
      <w:tr>
        <w:trPr/>
        <w:tc>
          <w:tcPr>
            <w:tcW w:w="60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 current liabilities</w:t>
            </w:r>
          </w:p>
        </w:tc>
        <w:tc>
          <w:tcPr>
            <w:tcW w:w="1291" w:type="dxa"/>
            <w:tcBorders>
              <w:top w:val="single" w:sz="8" w:space="0" w:color="000000"/>
            </w:tcBorders>
            <w:shd w:fill="FFFF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3,880.6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tcBorders>
            <w:shd w:fill="FFFF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3,861.2</w:t>
            </w:r>
          </w:p>
        </w:tc>
      </w:tr>
      <w:tr>
        <w:trPr/>
        <w:tc>
          <w:tcPr>
            <w:tcW w:w="60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Long-term operating lease liabilities</w:t>
            </w:r>
          </w:p>
        </w:tc>
        <w:tc>
          <w:tcPr>
            <w:tcW w:w="12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1,986.5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1,846.5</w:t>
            </w:r>
          </w:p>
        </w:tc>
      </w:tr>
      <w:tr>
        <w:trPr/>
        <w:tc>
          <w:tcPr>
            <w:tcW w:w="60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Other long-term liabilities</w:t>
            </w:r>
          </w:p>
        </w:tc>
        <w:tc>
          <w:tcPr>
            <w:tcW w:w="12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1,255.4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1,269.5</w:t>
            </w:r>
          </w:p>
        </w:tc>
      </w:tr>
      <w:tr>
        <w:trPr/>
        <w:tc>
          <w:tcPr>
            <w:tcW w:w="60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 liabilities</w:t>
            </w:r>
          </w:p>
        </w:tc>
        <w:tc>
          <w:tcPr>
            <w:tcW w:w="129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7,122.5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6,977.2</w:t>
            </w:r>
          </w:p>
        </w:tc>
      </w:tr>
      <w:tr>
        <w:trPr/>
        <w:tc>
          <w:tcPr>
            <w:tcW w:w="6031" w:type="dxa"/>
            <w:tcBorders/>
            <w:shd w:fill="FFFF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z w:val="18"/>
              </w:rPr>
              <w:t>Commitments and contingencies (</w:t>
            </w:r>
            <w:r>
              <w:rPr>
                <w:rFonts w:ascii="Times New Roman;serif" w:hAnsi="Times New Roman;serif"/>
                <w:b w:val="false"/>
                <w:i w:val="false"/>
                <w:caps w:val="false"/>
                <w:smallCaps w:val="false"/>
                <w:strike w:val="false"/>
                <w:dstrike w:val="false"/>
                <w:sz w:val="18"/>
                <w:u w:val="none"/>
                <w:effect w:val="none"/>
              </w:rPr>
              <w:t>Note L</w:t>
            </w:r>
            <w:r>
              <w:rPr>
                <w:rFonts w:ascii="Times New Roman;serif" w:hAnsi="Times New Roman;serif"/>
                <w:b w:val="false"/>
                <w:i w:val="false"/>
                <w:caps w:val="false"/>
                <w:smallCaps w:val="false"/>
                <w:sz w:val="18"/>
              </w:rPr>
              <w:t>)</w:t>
            </w:r>
          </w:p>
        </w:tc>
        <w:tc>
          <w:tcPr>
            <w:tcW w:w="129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Shareholders’ equity:</w:t>
            </w:r>
          </w:p>
        </w:tc>
        <w:tc>
          <w:tcPr>
            <w:tcW w:w="12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before="0" w:after="283"/>
              <w:jc w:val="left"/>
              <w:rPr>
                <w:sz w:val="4"/>
                <w:szCs w:val="4"/>
              </w:rPr>
            </w:pPr>
            <w:r>
              <w:rPr>
                <w:sz w:val="4"/>
                <w:szCs w:val="4"/>
              </w:rPr>
            </w:r>
          </w:p>
        </w:tc>
      </w:tr>
      <w:tr>
        <w:trPr/>
        <w:tc>
          <w:tcPr>
            <w:tcW w:w="6031" w:type="dxa"/>
            <w:tcBorders/>
            <w:shd w:fill="FFFF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z w:val="18"/>
              </w:rPr>
              <w:t xml:space="preserve">Preferred stock, </w:t>
            </w:r>
            <w:r>
              <w:rPr>
                <w:rFonts w:ascii="Times New Roman;serif" w:hAnsi="Times New Roman;serif"/>
                <w:b w:val="false"/>
                <w:i w:val="false"/>
                <w:caps w:val="false"/>
                <w:smallCaps w:val="false"/>
                <w:strike w:val="false"/>
                <w:dstrike w:val="false"/>
                <w:sz w:val="18"/>
                <w:u w:val="none"/>
                <w:effect w:val="none"/>
              </w:rPr>
              <w:t>$0.01</w:t>
            </w:r>
            <w:r>
              <w:rPr>
                <w:caps w:val="false"/>
                <w:smallCaps w:val="false"/>
                <w:sz w:val="24"/>
              </w:rPr>
              <w:t xml:space="preserve"> </w:t>
            </w:r>
            <w:r>
              <w:rPr>
                <w:rFonts w:ascii="Times New Roman;serif" w:hAnsi="Times New Roman;serif"/>
                <w:b w:val="false"/>
                <w:i w:val="false"/>
                <w:caps w:val="false"/>
                <w:smallCaps w:val="false"/>
                <w:sz w:val="18"/>
              </w:rPr>
              <w:t xml:space="preserve">par value; </w:t>
            </w:r>
            <w:r>
              <w:rPr>
                <w:rFonts w:ascii="Times New Roman;serif" w:hAnsi="Times New Roman;serif"/>
                <w:b w:val="false"/>
                <w:i w:val="false"/>
                <w:caps w:val="false"/>
                <w:smallCaps w:val="false"/>
                <w:strike w:val="false"/>
                <w:dstrike w:val="false"/>
                <w:sz w:val="18"/>
                <w:u w:val="none"/>
                <w:effect w:val="none"/>
              </w:rPr>
              <w:t>1,000,000</w:t>
            </w:r>
            <w:r>
              <w:rPr>
                <w:caps w:val="false"/>
                <w:smallCaps w:val="false"/>
                <w:sz w:val="24"/>
              </w:rPr>
              <w:t xml:space="preserve"> </w:t>
            </w:r>
            <w:r>
              <w:rPr>
                <w:rFonts w:ascii="Times New Roman;serif" w:hAnsi="Times New Roman;serif"/>
                <w:b w:val="false"/>
                <w:i w:val="false"/>
                <w:caps w:val="false"/>
                <w:smallCaps w:val="false"/>
                <w:sz w:val="18"/>
              </w:rPr>
              <w:t xml:space="preserve">shares authorized; </w:t>
            </w:r>
            <w:r>
              <w:rPr>
                <w:rFonts w:ascii="Times New Roman;serif" w:hAnsi="Times New Roman;serif"/>
                <w:b w:val="false"/>
                <w:i w:val="false"/>
                <w:caps w:val="false"/>
                <w:smallCaps w:val="false"/>
                <w:strike w:val="false"/>
                <w:dstrike w:val="false"/>
                <w:sz w:val="18"/>
                <w:u w:val="none"/>
                <w:effect w:val="none"/>
              </w:rPr>
              <w:t>none</w:t>
            </w:r>
            <w:r>
              <w:rPr>
                <w:caps w:val="false"/>
                <w:smallCaps w:val="false"/>
                <w:sz w:val="24"/>
              </w:rPr>
              <w:t xml:space="preserve"> </w:t>
            </w:r>
            <w:r>
              <w:rPr>
                <w:rFonts w:ascii="Times New Roman;serif" w:hAnsi="Times New Roman;serif"/>
                <w:b w:val="false"/>
                <w:i w:val="false"/>
                <w:caps w:val="false"/>
                <w:smallCaps w:val="false"/>
                <w:sz w:val="18"/>
              </w:rPr>
              <w:t>issued</w:t>
            </w:r>
          </w:p>
        </w:tc>
        <w:tc>
          <w:tcPr>
            <w:tcW w:w="1291" w:type="dxa"/>
            <w:tcBorders/>
            <w:shd w:fill="FFFFFF" w:val="cle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031" w:type="dxa"/>
            <w:tcBorders/>
            <w:shd w:fill="CCEE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z w:val="18"/>
              </w:rPr>
              <w:t xml:space="preserve">Common stock, </w:t>
            </w:r>
            <w:r>
              <w:rPr>
                <w:rFonts w:ascii="Times New Roman;serif" w:hAnsi="Times New Roman;serif"/>
                <w:b w:val="false"/>
                <w:i w:val="false"/>
                <w:caps w:val="false"/>
                <w:smallCaps w:val="false"/>
                <w:strike w:val="false"/>
                <w:dstrike w:val="false"/>
                <w:sz w:val="18"/>
                <w:u w:val="none"/>
                <w:effect w:val="none"/>
              </w:rPr>
              <w:t>$0.01</w:t>
            </w:r>
            <w:r>
              <w:rPr>
                <w:caps w:val="false"/>
                <w:smallCaps w:val="false"/>
                <w:sz w:val="24"/>
              </w:rPr>
              <w:t xml:space="preserve"> </w:t>
            </w:r>
            <w:r>
              <w:rPr>
                <w:rFonts w:ascii="Times New Roman;serif" w:hAnsi="Times New Roman;serif"/>
                <w:b w:val="false"/>
                <w:i w:val="false"/>
                <w:caps w:val="false"/>
                <w:smallCaps w:val="false"/>
                <w:sz w:val="18"/>
              </w:rPr>
              <w:t xml:space="preserve">par value; </w:t>
            </w:r>
            <w:r>
              <w:rPr>
                <w:rFonts w:ascii="Times New Roman;serif" w:hAnsi="Times New Roman;serif"/>
                <w:b w:val="false"/>
                <w:i w:val="false"/>
                <w:caps w:val="false"/>
                <w:smallCaps w:val="false"/>
                <w:strike w:val="false"/>
                <w:dstrike w:val="false"/>
                <w:sz w:val="18"/>
                <w:u w:val="none"/>
                <w:effect w:val="none"/>
              </w:rPr>
              <w:t>500,000,000</w:t>
            </w:r>
            <w:r>
              <w:rPr>
                <w:caps w:val="false"/>
                <w:smallCaps w:val="false"/>
                <w:sz w:val="24"/>
              </w:rPr>
              <w:t xml:space="preserve"> </w:t>
            </w:r>
            <w:r>
              <w:rPr>
                <w:rFonts w:ascii="Times New Roman;serif" w:hAnsi="Times New Roman;serif"/>
                <w:b w:val="false"/>
                <w:i w:val="false"/>
                <w:caps w:val="false"/>
                <w:smallCaps w:val="false"/>
                <w:sz w:val="18"/>
              </w:rPr>
              <w:t xml:space="preserve">shares authorized, </w:t>
            </w:r>
            <w:r>
              <w:rPr>
                <w:rFonts w:ascii="Times New Roman;serif" w:hAnsi="Times New Roman;serif"/>
                <w:b w:val="false"/>
                <w:i w:val="false"/>
                <w:caps w:val="false"/>
                <w:smallCaps w:val="false"/>
                <w:strike w:val="false"/>
                <w:dstrike w:val="false"/>
                <w:sz w:val="18"/>
                <w:u w:val="none"/>
                <w:effect w:val="none"/>
              </w:rPr>
              <w:t>254,163,953</w:t>
            </w:r>
            <w:r>
              <w:rPr>
                <w:caps w:val="false"/>
                <w:smallCaps w:val="false"/>
                <w:sz w:val="24"/>
              </w:rPr>
              <w:t xml:space="preserve"> </w:t>
            </w:r>
            <w:r>
              <w:rPr>
                <w:rFonts w:ascii="Times New Roman;serif" w:hAnsi="Times New Roman;serif"/>
                <w:b w:val="false"/>
                <w:i w:val="false"/>
                <w:caps w:val="false"/>
                <w:smallCaps w:val="false"/>
                <w:sz w:val="18"/>
              </w:rPr>
              <w:t xml:space="preserve">and </w:t>
            </w:r>
          </w:p>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253,991,224</w:t>
            </w:r>
            <w:r>
              <w:rPr>
                <w:caps w:val="false"/>
                <w:smallCaps w:val="false"/>
                <w:sz w:val="24"/>
              </w:rPr>
              <w:t xml:space="preserve"> </w:t>
            </w:r>
            <w:r>
              <w:rPr>
                <w:rFonts w:ascii="Times New Roman;serif" w:hAnsi="Times New Roman;serif"/>
                <w:b w:val="false"/>
                <w:i w:val="false"/>
                <w:caps w:val="false"/>
                <w:smallCaps w:val="false"/>
                <w:sz w:val="18"/>
              </w:rPr>
              <w:t>shares issued and outstanding, respectively</w:t>
            </w:r>
          </w:p>
        </w:tc>
        <w:tc>
          <w:tcPr>
            <w:tcW w:w="12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w:t>
            </w:r>
          </w:p>
        </w:tc>
      </w:tr>
      <w:tr>
        <w:trPr/>
        <w:tc>
          <w:tcPr>
            <w:tcW w:w="60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Additional paid-in capital</w:t>
            </w:r>
          </w:p>
        </w:tc>
        <w:tc>
          <w:tcPr>
            <w:tcW w:w="12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4,743.2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5,119.2</w:t>
            </w:r>
          </w:p>
        </w:tc>
      </w:tr>
      <w:tr>
        <w:trPr/>
        <w:tc>
          <w:tcPr>
            <w:tcW w:w="6031" w:type="dxa"/>
            <w:tcBorders/>
            <w:shd w:fill="CCEE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z w:val="18"/>
              </w:rPr>
              <w:t xml:space="preserve">Accumulated other comprehensive </w:t>
            </w:r>
            <w:r>
              <w:rPr>
                <w:rFonts w:ascii="Times New Roman;serif" w:hAnsi="Times New Roman;serif"/>
                <w:b w:val="false"/>
                <w:i w:val="false"/>
                <w:caps w:val="false"/>
                <w:smallCaps w:val="false"/>
                <w:strike w:val="false"/>
                <w:dstrike w:val="false"/>
                <w:sz w:val="18"/>
                <w:u w:val="none"/>
                <w:effect w:val="none"/>
              </w:rPr>
              <w:t>income (loss)</w:t>
            </w:r>
          </w:p>
        </w:tc>
        <w:tc>
          <w:tcPr>
            <w:tcW w:w="12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(15.9)</w:t>
            </w:r>
          </w:p>
        </w:tc>
      </w:tr>
      <w:tr>
        <w:trPr/>
        <w:tc>
          <w:tcPr>
            <w:tcW w:w="60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Retained earnings</w:t>
            </w:r>
          </w:p>
        </w:tc>
        <w:tc>
          <w:tcPr>
            <w:tcW w:w="12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14,591.4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13,560.0</w:t>
            </w:r>
          </w:p>
        </w:tc>
      </w:tr>
      <w:tr>
        <w:trPr/>
        <w:tc>
          <w:tcPr>
            <w:tcW w:w="60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 shareholders’ equity</w:t>
            </w:r>
          </w:p>
        </w:tc>
        <w:tc>
          <w:tcPr>
            <w:tcW w:w="129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19,361.9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18,665.8</w:t>
            </w:r>
          </w:p>
        </w:tc>
      </w:tr>
      <w:tr>
        <w:trPr/>
        <w:tc>
          <w:tcPr>
            <w:tcW w:w="60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 liabilities and shareholders’ equity</w:t>
            </w:r>
          </w:p>
        </w:tc>
        <w:tc>
          <w:tcPr>
            <w:tcW w:w="12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$26,484.4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$25,643.0</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these condensed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Condensed Consolidated Statements of Shareholders’ Equity</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 in millions)</w:t>
      </w:r>
    </w:p>
    <w:tbl>
      <w:tblPr>
        <w:tblW w:w="9882" w:type="dxa"/>
        <w:jc w:val="left"/>
        <w:tblInd w:w="0" w:type="dxa"/>
        <w:tblLayout w:type="fixed"/>
        <w:tblCellMar>
          <w:top w:w="28" w:type="dxa"/>
          <w:left w:w="28" w:type="dxa"/>
          <w:bottom w:w="28" w:type="dxa"/>
          <w:right w:w="28" w:type="dxa"/>
        </w:tblCellMar>
      </w:tblPr>
      <w:tblGrid>
        <w:gridCol w:w="3856"/>
        <w:gridCol w:w="586"/>
        <w:gridCol w:w="109"/>
        <w:gridCol w:w="691"/>
        <w:gridCol w:w="109"/>
        <w:gridCol w:w="916"/>
        <w:gridCol w:w="109"/>
        <w:gridCol w:w="1261"/>
        <w:gridCol w:w="109"/>
        <w:gridCol w:w="826"/>
        <w:gridCol w:w="109"/>
        <w:gridCol w:w="1201"/>
      </w:tblGrid>
      <w:tr>
        <w:trPr/>
        <w:tc>
          <w:tcPr>
            <w:tcW w:w="38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3856" w:type="dxa"/>
            <w:tcBorders/>
            <w:vAlign w:val="center"/>
          </w:tcPr>
          <w:p>
            <w:pPr>
              <w:pStyle w:val="TableContents"/>
              <w:bidi w:val="0"/>
              <w:spacing w:before="0" w:after="283"/>
              <w:jc w:val="left"/>
              <w:rPr>
                <w:sz w:val="4"/>
                <w:szCs w:val="4"/>
              </w:rPr>
            </w:pPr>
            <w:r>
              <w:rPr>
                <w:sz w:val="4"/>
                <w:szCs w:val="4"/>
              </w:rPr>
            </w:r>
          </w:p>
        </w:tc>
        <w:tc>
          <w:tcPr>
            <w:tcW w:w="6026" w:type="dxa"/>
            <w:gridSpan w:val="11"/>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Three Months Ended</w:t>
            </w:r>
          </w:p>
        </w:tc>
      </w:tr>
      <w:tr>
        <w:trPr/>
        <w:tc>
          <w:tcPr>
            <w:tcW w:w="3856" w:type="dxa"/>
            <w:tcBorders/>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Common Stock</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vMerge w:val="restart"/>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Additional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Paid-in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Capital</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vMerge w:val="restart"/>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Accumulated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Other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Comprehensive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Income (Loss)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vMerge w:val="restart"/>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Retained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Earnings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vMerge w:val="restart"/>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Total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Shareholders’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Equity</w:t>
            </w:r>
          </w:p>
        </w:tc>
      </w:tr>
      <w:tr>
        <w:trPr/>
        <w:tc>
          <w:tcPr>
            <w:tcW w:w="3856" w:type="dxa"/>
            <w:tcBorders/>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Shares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Amount</w:t>
            </w:r>
          </w:p>
        </w:tc>
        <w:tc>
          <w:tcPr>
            <w:tcW w:w="109" w:type="dxa"/>
            <w:tcBorders/>
            <w:vAlign w:val="center"/>
          </w:tcPr>
          <w:p>
            <w:pPr>
              <w:pStyle w:val="TableContents"/>
              <w:bidi w:val="0"/>
              <w:spacing w:before="0" w:after="283"/>
              <w:jc w:val="left"/>
              <w:rPr>
                <w:sz w:val="4"/>
                <w:szCs w:val="4"/>
              </w:rPr>
            </w:pPr>
            <w:r>
              <w:rPr>
                <w:sz w:val="4"/>
                <w:szCs w:val="4"/>
              </w:rPr>
            </w:r>
          </w:p>
        </w:tc>
        <w:tc>
          <w:tcPr>
            <w:tcW w:w="916" w:type="dxa"/>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vMerge w:val="continue"/>
            <w:tcBorders>
              <w:top w:val="single" w:sz="8" w:space="0" w:color="000000"/>
            </w:tcBorders>
            <w:tcMar>
              <w:left w:w="0" w:type="dxa"/>
              <w:bottom w:w="0" w:type="dxa"/>
              <w:right w:w="0" w:type="dxa"/>
            </w:tcMar>
            <w:vAlign w:val="center"/>
          </w:tcPr>
          <w:p>
            <w:pPr>
              <w:pStyle w:val="Normal"/>
              <w:bidi w:val="0"/>
              <w:jc w:val="left"/>
              <w:rPr/>
            </w:pPr>
            <w:r>
              <w:rPr/>
            </w:r>
          </w:p>
        </w:tc>
      </w:tr>
      <w:tr>
        <w:trPr/>
        <w:tc>
          <w:tcPr>
            <w:tcW w:w="385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Balance at December 31, 2024</w:t>
            </w:r>
          </w:p>
        </w:tc>
        <w:tc>
          <w:tcPr>
            <w:tcW w:w="58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$6,672.4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$9,606.8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$16,409.6</w:t>
            </w:r>
          </w:p>
        </w:tc>
      </w:tr>
      <w:tr>
        <w:trPr/>
        <w:tc>
          <w:tcPr>
            <w:tcW w:w="3856" w:type="dxa"/>
            <w:tcBorders/>
            <w:shd w:fill="FFFF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z w:val="16"/>
              </w:rPr>
              <w:t xml:space="preserve">Other comprehensive </w:t>
            </w:r>
            <w:r>
              <w:rPr>
                <w:rFonts w:ascii="Times New Roman;serif" w:hAnsi="Times New Roman;serif"/>
                <w:b w:val="false"/>
                <w:i w:val="false"/>
                <w:caps w:val="false"/>
                <w:smallCaps w:val="false"/>
                <w:strike w:val="false"/>
                <w:dstrike w:val="false"/>
                <w:sz w:val="16"/>
                <w:u w:val="none"/>
                <w:effect w:val="none"/>
              </w:rPr>
              <w:t>loss</w:t>
            </w:r>
            <w:r>
              <w:rPr>
                <w:rFonts w:ascii="Times New Roman;serif" w:hAnsi="Times New Roman;serif"/>
                <w:b w:val="false"/>
                <w:i w:val="false"/>
                <w:caps w:val="false"/>
                <w:smallCaps w:val="false"/>
                <w:sz w:val="16"/>
              </w:rPr>
              <w:t>, net of tax</w:t>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(59.7)</w:t>
            </w:r>
          </w:p>
        </w:tc>
      </w:tr>
      <w:tr>
        <w:trPr/>
        <w:tc>
          <w:tcPr>
            <w:tcW w:w="3856" w:type="dxa"/>
            <w:tcBorders/>
            <w:shd w:fill="CCEE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z w:val="16"/>
              </w:rPr>
              <w:t xml:space="preserve">Net </w:t>
            </w:r>
            <w:r>
              <w:rPr>
                <w:rFonts w:ascii="Times New Roman;serif" w:hAnsi="Times New Roman;serif"/>
                <w:b w:val="false"/>
                <w:i w:val="false"/>
                <w:caps w:val="false"/>
                <w:smallCaps w:val="false"/>
                <w:strike w:val="false"/>
                <w:dstrike w:val="false"/>
                <w:sz w:val="16"/>
                <w:u w:val="none"/>
                <w:effect w:val="none"/>
              </w:rPr>
              <w:t>income</w:t>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646.3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646.3</w:t>
            </w:r>
          </w:p>
        </w:tc>
      </w:tr>
      <w:tr>
        <w:trPr/>
        <w:tc>
          <w:tcPr>
            <w:tcW w:w="385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Repurchases of common stock</w:t>
            </w:r>
          </w:p>
        </w:tc>
        <w:tc>
          <w:tcPr>
            <w:tcW w:w="5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(416.9)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(416.9)</w:t>
            </w:r>
          </w:p>
        </w:tc>
      </w:tr>
      <w:tr>
        <w:trPr/>
        <w:tc>
          <w:tcPr>
            <w:tcW w:w="385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Common stock withheld for employee tax obligations</w:t>
            </w:r>
          </w:p>
        </w:tc>
        <w:tc>
          <w:tcPr>
            <w:tcW w:w="5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(270.5)</w:t>
            </w:r>
          </w:p>
        </w:tc>
      </w:tr>
      <w:tr>
        <w:trPr/>
        <w:tc>
          <w:tcPr>
            <w:tcW w:w="385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Issuance of common stock under benefit plans</w:t>
            </w:r>
          </w:p>
        </w:tc>
        <w:tc>
          <w:tcPr>
            <w:tcW w:w="5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18.5</w:t>
            </w:r>
          </w:p>
        </w:tc>
      </w:tr>
      <w:tr>
        <w:trPr/>
        <w:tc>
          <w:tcPr>
            <w:tcW w:w="385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Stock-based compensation expense</w:t>
            </w:r>
          </w:p>
        </w:tc>
        <w:tc>
          <w:tcPr>
            <w:tcW w:w="58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169.0</w:t>
            </w:r>
          </w:p>
        </w:tc>
      </w:tr>
      <w:tr>
        <w:trPr/>
        <w:tc>
          <w:tcPr>
            <w:tcW w:w="385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Balance at March 31, 2025</w:t>
            </w:r>
          </w:p>
        </w:tc>
        <w:tc>
          <w:tcPr>
            <w:tcW w:w="5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257.0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$6,172.5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$68.1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$10,253.1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$16,496.3</w:t>
            </w:r>
          </w:p>
        </w:tc>
      </w:tr>
      <w:tr>
        <w:trPr/>
        <w:tc>
          <w:tcPr>
            <w:tcW w:w="3856"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Balance at December 31, 2025</w:t>
            </w:r>
          </w:p>
        </w:tc>
        <w:tc>
          <w:tcPr>
            <w:tcW w:w="5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$5,119.2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$13,560.0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$18,665.8</w:t>
            </w:r>
          </w:p>
        </w:tc>
      </w:tr>
      <w:tr>
        <w:trPr/>
        <w:tc>
          <w:tcPr>
            <w:tcW w:w="3856" w:type="dxa"/>
            <w:tcBorders/>
            <w:shd w:fill="CCEE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z w:val="16"/>
              </w:rPr>
              <w:t xml:space="preserve">Other comprehensive </w:t>
            </w:r>
            <w:r>
              <w:rPr>
                <w:rFonts w:ascii="Times New Roman;serif" w:hAnsi="Times New Roman;serif"/>
                <w:b w:val="false"/>
                <w:i w:val="false"/>
                <w:caps w:val="false"/>
                <w:smallCaps w:val="false"/>
                <w:strike w:val="false"/>
                <w:dstrike w:val="false"/>
                <w:sz w:val="16"/>
                <w:u w:val="none"/>
                <w:effect w:val="none"/>
              </w:rPr>
              <w:t>income</w:t>
            </w:r>
            <w:r>
              <w:rPr>
                <w:rFonts w:ascii="Times New Roman;serif" w:hAnsi="Times New Roman;serif"/>
                <w:b w:val="false"/>
                <w:i w:val="false"/>
                <w:caps w:val="false"/>
                <w:smallCaps w:val="false"/>
                <w:sz w:val="16"/>
              </w:rPr>
              <w:t>, net of tax</w:t>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40.7</w:t>
            </w:r>
          </w:p>
        </w:tc>
      </w:tr>
      <w:tr>
        <w:trPr/>
        <w:tc>
          <w:tcPr>
            <w:tcW w:w="3856" w:type="dxa"/>
            <w:tcBorders/>
            <w:shd w:fill="FFFF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z w:val="16"/>
              </w:rPr>
              <w:t xml:space="preserve">Net </w:t>
            </w:r>
            <w:r>
              <w:rPr>
                <w:rFonts w:ascii="Times New Roman;serif" w:hAnsi="Times New Roman;serif"/>
                <w:b w:val="false"/>
                <w:i w:val="false"/>
                <w:caps w:val="false"/>
                <w:smallCaps w:val="false"/>
                <w:strike w:val="false"/>
                <w:dstrike w:val="false"/>
                <w:sz w:val="16"/>
                <w:u w:val="none"/>
                <w:effect w:val="none"/>
              </w:rPr>
              <w:t>income</w:t>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1,031.4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1,031.4</w:t>
            </w:r>
          </w:p>
        </w:tc>
      </w:tr>
      <w:tr>
        <w:trPr/>
        <w:tc>
          <w:tcPr>
            <w:tcW w:w="385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Repurchases of common stock</w:t>
            </w:r>
          </w:p>
        </w:tc>
        <w:tc>
          <w:tcPr>
            <w:tcW w:w="5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(344.5)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(344.5)</w:t>
            </w:r>
          </w:p>
        </w:tc>
      </w:tr>
      <w:tr>
        <w:trPr/>
        <w:tc>
          <w:tcPr>
            <w:tcW w:w="385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Common stock withheld for employee tax obligations</w:t>
            </w:r>
          </w:p>
        </w:tc>
        <w:tc>
          <w:tcPr>
            <w:tcW w:w="5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(228.5)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(228.5)</w:t>
            </w:r>
          </w:p>
        </w:tc>
      </w:tr>
      <w:tr>
        <w:trPr/>
        <w:tc>
          <w:tcPr>
            <w:tcW w:w="385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Issuance of common stock under benefit plans</w:t>
            </w:r>
          </w:p>
        </w:tc>
        <w:tc>
          <w:tcPr>
            <w:tcW w:w="5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27.1</w:t>
            </w:r>
          </w:p>
        </w:tc>
      </w:tr>
      <w:tr>
        <w:trPr/>
        <w:tc>
          <w:tcPr>
            <w:tcW w:w="385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Stock-based compensation expense</w:t>
            </w:r>
          </w:p>
        </w:tc>
        <w:tc>
          <w:tcPr>
            <w:tcW w:w="58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169.9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169.9</w:t>
            </w:r>
          </w:p>
        </w:tc>
      </w:tr>
      <w:tr>
        <w:trPr/>
        <w:tc>
          <w:tcPr>
            <w:tcW w:w="385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Balance at March 31, 2026</w:t>
            </w:r>
          </w:p>
        </w:tc>
        <w:tc>
          <w:tcPr>
            <w:tcW w:w="5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$4,743.2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$14,591.4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$19,361.9</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these condensed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Condensed Consolidated Statements of Cash Flows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 in millions)</w:t>
      </w:r>
    </w:p>
    <w:tbl>
      <w:tblPr>
        <w:tblW w:w="8791" w:type="dxa"/>
        <w:jc w:val="left"/>
        <w:tblInd w:w="0" w:type="dxa"/>
        <w:tblLayout w:type="fixed"/>
        <w:tblCellMar>
          <w:top w:w="28" w:type="dxa"/>
          <w:left w:w="28" w:type="dxa"/>
          <w:bottom w:w="28" w:type="dxa"/>
          <w:right w:w="28" w:type="dxa"/>
        </w:tblCellMar>
      </w:tblPr>
      <w:tblGrid>
        <w:gridCol w:w="5956"/>
        <w:gridCol w:w="1288"/>
        <w:gridCol w:w="183"/>
        <w:gridCol w:w="1364"/>
      </w:tblGrid>
      <w:tr>
        <w:trPr/>
        <w:tc>
          <w:tcPr>
            <w:tcW w:w="595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283"/>
              <w:jc w:val="left"/>
              <w:rPr>
                <w:sz w:val="4"/>
                <w:szCs w:val="4"/>
              </w:rPr>
            </w:pPr>
            <w:r>
              <w:rPr>
                <w:sz w:val="4"/>
                <w:szCs w:val="4"/>
              </w:rPr>
            </w:r>
          </w:p>
        </w:tc>
        <w:tc>
          <w:tcPr>
            <w:tcW w:w="2835"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Three Months Ended March 31,</w:t>
            </w:r>
          </w:p>
        </w:tc>
      </w:tr>
      <w:tr>
        <w:trPr/>
        <w:tc>
          <w:tcPr>
            <w:tcW w:w="5956" w:type="dxa"/>
            <w:tcBorders/>
            <w:vAlign w:val="center"/>
          </w:tcPr>
          <w:p>
            <w:pPr>
              <w:pStyle w:val="TableContents"/>
              <w:bidi w:val="0"/>
              <w:spacing w:before="0" w:after="283"/>
              <w:jc w:val="left"/>
              <w:rPr>
                <w:sz w:val="4"/>
                <w:szCs w:val="4"/>
              </w:rPr>
            </w:pPr>
            <w:r>
              <w:rPr>
                <w:sz w:val="4"/>
                <w:szCs w:val="4"/>
              </w:rPr>
            </w:r>
          </w:p>
        </w:tc>
        <w:tc>
          <w:tcPr>
            <w:tcW w:w="1288"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59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Cash flows from operating activities:</w:t>
            </w:r>
          </w:p>
        </w:tc>
        <w:tc>
          <w:tcPr>
            <w:tcW w:w="128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364"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Net income</w:t>
            </w:r>
          </w:p>
        </w:tc>
        <w:tc>
          <w:tcPr>
            <w:tcW w:w="1288"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$1,031.4</w:t>
            </w:r>
          </w:p>
        </w:tc>
        <w:tc>
          <w:tcPr>
            <w:tcW w:w="183" w:type="dxa"/>
            <w:tcBorders/>
            <w:shd w:fill="FFFFFF" w:val="clear"/>
            <w:vAlign w:val="center"/>
          </w:tcPr>
          <w:p>
            <w:pPr>
              <w:pStyle w:val="TableContents"/>
              <w:bidi w:val="0"/>
              <w:spacing w:before="0" w:after="283"/>
              <w:jc w:val="left"/>
              <w:rPr>
                <w:sz w:val="4"/>
                <w:szCs w:val="4"/>
              </w:rPr>
            </w:pPr>
            <w:r>
              <w:rPr>
                <w:sz w:val="4"/>
                <w:szCs w:val="4"/>
              </w:rPr>
            </w:r>
          </w:p>
        </w:tc>
        <w:tc>
          <w:tcPr>
            <w:tcW w:w="1364"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$646.3</w:t>
            </w:r>
          </w:p>
        </w:tc>
      </w:tr>
      <w:tr>
        <w:trPr/>
        <w:tc>
          <w:tcPr>
            <w:tcW w:w="5956" w:type="dxa"/>
            <w:tcBorders/>
            <w:shd w:fill="CCEE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Adjustments to reconcile net income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to net cash provided by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operating activities:</w:t>
            </w:r>
          </w:p>
        </w:tc>
        <w:tc>
          <w:tcPr>
            <w:tcW w:w="1288" w:type="dxa"/>
            <w:tcBorders/>
            <w:shd w:fill="CCEEFF" w:val="clear"/>
            <w:vAlign w:val="center"/>
          </w:tcPr>
          <w:p>
            <w:pPr>
              <w:pStyle w:val="TableContents"/>
              <w:bidi w:val="0"/>
              <w:spacing w:before="0" w:after="283"/>
              <w:jc w:val="left"/>
              <w:rPr>
                <w:sz w:val="4"/>
                <w:szCs w:val="4"/>
              </w:rPr>
            </w:pPr>
            <w:r>
              <w:rPr>
                <w:sz w:val="4"/>
                <w:szCs w:val="4"/>
              </w:rPr>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364" w:type="dxa"/>
            <w:tcBorders/>
            <w:shd w:fill="CCEEFF" w:val="clear"/>
            <w:vAlign w:val="center"/>
          </w:tcPr>
          <w:p>
            <w:pPr>
              <w:pStyle w:val="TableContents"/>
              <w:bidi w:val="0"/>
              <w:spacing w:before="0" w:after="283"/>
              <w:jc w:val="left"/>
              <w:rPr>
                <w:sz w:val="4"/>
                <w:szCs w:val="4"/>
              </w:rPr>
            </w:pPr>
            <w:r>
              <w:rPr>
                <w:sz w:val="4"/>
                <w:szCs w:val="4"/>
              </w:rPr>
            </w:r>
          </w:p>
        </w:tc>
      </w:tr>
      <w:tr>
        <w:trPr/>
        <w:tc>
          <w:tcPr>
            <w:tcW w:w="59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Stock-based compensation expense</w:t>
            </w:r>
          </w:p>
        </w:tc>
        <w:tc>
          <w:tcPr>
            <w:tcW w:w="1288"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166.4</w:t>
            </w:r>
          </w:p>
        </w:tc>
        <w:tc>
          <w:tcPr>
            <w:tcW w:w="183" w:type="dxa"/>
            <w:tcBorders/>
            <w:shd w:fill="FFFFFF" w:val="clear"/>
            <w:vAlign w:val="center"/>
          </w:tcPr>
          <w:p>
            <w:pPr>
              <w:pStyle w:val="TableContents"/>
              <w:bidi w:val="0"/>
              <w:spacing w:before="0" w:after="283"/>
              <w:jc w:val="left"/>
              <w:rPr>
                <w:sz w:val="4"/>
                <w:szCs w:val="4"/>
              </w:rPr>
            </w:pPr>
            <w:r>
              <w:rPr>
                <w:sz w:val="4"/>
                <w:szCs w:val="4"/>
              </w:rPr>
            </w:r>
          </w:p>
        </w:tc>
        <w:tc>
          <w:tcPr>
            <w:tcW w:w="1364"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166.1</w:t>
            </w:r>
          </w:p>
        </w:tc>
      </w:tr>
      <w:tr>
        <w:trPr/>
        <w:tc>
          <w:tcPr>
            <w:tcW w:w="59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Depreciation and amortization expense</w:t>
            </w:r>
          </w:p>
        </w:tc>
        <w:tc>
          <w:tcPr>
            <w:tcW w:w="1288"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55.9</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364"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48.4</w:t>
            </w:r>
          </w:p>
        </w:tc>
      </w:tr>
      <w:tr>
        <w:trPr/>
        <w:tc>
          <w:tcPr>
            <w:tcW w:w="59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Intangible asset impairment charge</w:t>
            </w:r>
          </w:p>
        </w:tc>
        <w:tc>
          <w:tcPr>
            <w:tcW w:w="1288" w:type="dxa"/>
            <w:tcBorders/>
            <w:shd w:fill="FFFFFF" w:val="cle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83" w:type="dxa"/>
            <w:tcBorders/>
            <w:shd w:fill="FFFFFF" w:val="clear"/>
            <w:vAlign w:val="center"/>
          </w:tcPr>
          <w:p>
            <w:pPr>
              <w:pStyle w:val="TableContents"/>
              <w:bidi w:val="0"/>
              <w:spacing w:before="0" w:after="283"/>
              <w:jc w:val="left"/>
              <w:rPr>
                <w:sz w:val="4"/>
                <w:szCs w:val="4"/>
              </w:rPr>
            </w:pPr>
            <w:r>
              <w:rPr>
                <w:sz w:val="4"/>
                <w:szCs w:val="4"/>
              </w:rPr>
            </w:r>
          </w:p>
        </w:tc>
        <w:tc>
          <w:tcPr>
            <w:tcW w:w="1364"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379.0</w:t>
            </w:r>
          </w:p>
        </w:tc>
      </w:tr>
      <w:tr>
        <w:trPr/>
        <w:tc>
          <w:tcPr>
            <w:tcW w:w="59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Deferred income taxes</w:t>
            </w:r>
          </w:p>
        </w:tc>
        <w:tc>
          <w:tcPr>
            <w:tcW w:w="1288"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(65.3)</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364"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(191.6)</w:t>
            </w:r>
          </w:p>
        </w:tc>
      </w:tr>
      <w:tr>
        <w:trPr/>
        <w:tc>
          <w:tcPr>
            <w:tcW w:w="59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Other non-cash items, net</w:t>
            </w:r>
          </w:p>
        </w:tc>
        <w:tc>
          <w:tcPr>
            <w:tcW w:w="1288"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(5.0)</w:t>
            </w:r>
          </w:p>
        </w:tc>
        <w:tc>
          <w:tcPr>
            <w:tcW w:w="183" w:type="dxa"/>
            <w:tcBorders/>
            <w:shd w:fill="FFFFFF" w:val="clear"/>
            <w:vAlign w:val="center"/>
          </w:tcPr>
          <w:p>
            <w:pPr>
              <w:pStyle w:val="TableContents"/>
              <w:bidi w:val="0"/>
              <w:spacing w:before="0" w:after="283"/>
              <w:jc w:val="left"/>
              <w:rPr>
                <w:sz w:val="4"/>
                <w:szCs w:val="4"/>
              </w:rPr>
            </w:pPr>
            <w:r>
              <w:rPr>
                <w:sz w:val="4"/>
                <w:szCs w:val="4"/>
              </w:rPr>
            </w:r>
          </w:p>
        </w:tc>
        <w:tc>
          <w:tcPr>
            <w:tcW w:w="1364"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39.2</w:t>
            </w:r>
          </w:p>
        </w:tc>
      </w:tr>
      <w:tr>
        <w:trPr/>
        <w:tc>
          <w:tcPr>
            <w:tcW w:w="59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Changes in operating assets and liabilities:</w:t>
            </w:r>
          </w:p>
        </w:tc>
        <w:tc>
          <w:tcPr>
            <w:tcW w:w="1288" w:type="dxa"/>
            <w:tcBorders/>
            <w:shd w:fill="CCEEFF" w:val="clear"/>
            <w:vAlign w:val="center"/>
          </w:tcPr>
          <w:p>
            <w:pPr>
              <w:pStyle w:val="TableContents"/>
              <w:bidi w:val="0"/>
              <w:spacing w:before="0" w:after="283"/>
              <w:jc w:val="left"/>
              <w:rPr>
                <w:sz w:val="4"/>
                <w:szCs w:val="4"/>
              </w:rPr>
            </w:pPr>
            <w:r>
              <w:rPr>
                <w:sz w:val="4"/>
                <w:szCs w:val="4"/>
              </w:rPr>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364" w:type="dxa"/>
            <w:tcBorders/>
            <w:shd w:fill="CCEEFF" w:val="clear"/>
            <w:vAlign w:val="center"/>
          </w:tcPr>
          <w:p>
            <w:pPr>
              <w:pStyle w:val="TableContents"/>
              <w:bidi w:val="0"/>
              <w:spacing w:before="0" w:after="283"/>
              <w:jc w:val="left"/>
              <w:rPr>
                <w:sz w:val="4"/>
                <w:szCs w:val="4"/>
              </w:rPr>
            </w:pPr>
            <w:r>
              <w:rPr>
                <w:sz w:val="4"/>
                <w:szCs w:val="4"/>
              </w:rPr>
            </w:r>
          </w:p>
        </w:tc>
      </w:tr>
      <w:tr>
        <w:trPr/>
        <w:tc>
          <w:tcPr>
            <w:tcW w:w="59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Accounts receivable</w:t>
            </w:r>
          </w:p>
        </w:tc>
        <w:tc>
          <w:tcPr>
            <w:tcW w:w="1288"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39.8</w:t>
            </w:r>
          </w:p>
        </w:tc>
        <w:tc>
          <w:tcPr>
            <w:tcW w:w="183" w:type="dxa"/>
            <w:tcBorders/>
            <w:shd w:fill="FFFFFF" w:val="clear"/>
            <w:vAlign w:val="center"/>
          </w:tcPr>
          <w:p>
            <w:pPr>
              <w:pStyle w:val="TableContents"/>
              <w:bidi w:val="0"/>
              <w:spacing w:before="0" w:after="283"/>
              <w:jc w:val="left"/>
              <w:rPr>
                <w:sz w:val="4"/>
                <w:szCs w:val="4"/>
              </w:rPr>
            </w:pPr>
            <w:r>
              <w:rPr>
                <w:sz w:val="4"/>
                <w:szCs w:val="4"/>
              </w:rPr>
            </w:r>
          </w:p>
        </w:tc>
        <w:tc>
          <w:tcPr>
            <w:tcW w:w="1364"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(169.6)</w:t>
            </w:r>
          </w:p>
        </w:tc>
      </w:tr>
      <w:tr>
        <w:trPr/>
        <w:tc>
          <w:tcPr>
            <w:tcW w:w="59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Inventories</w:t>
            </w:r>
          </w:p>
        </w:tc>
        <w:tc>
          <w:tcPr>
            <w:tcW w:w="1288"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(97.7)</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364"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(167.1)</w:t>
            </w:r>
          </w:p>
        </w:tc>
      </w:tr>
      <w:tr>
        <w:trPr/>
        <w:tc>
          <w:tcPr>
            <w:tcW w:w="59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Prepaid expenses and other assets</w:t>
            </w:r>
          </w:p>
        </w:tc>
        <w:tc>
          <w:tcPr>
            <w:tcW w:w="1288"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173.4</w:t>
            </w:r>
          </w:p>
        </w:tc>
        <w:tc>
          <w:tcPr>
            <w:tcW w:w="183" w:type="dxa"/>
            <w:tcBorders/>
            <w:shd w:fill="FFFFFF" w:val="clear"/>
            <w:vAlign w:val="center"/>
          </w:tcPr>
          <w:p>
            <w:pPr>
              <w:pStyle w:val="TableContents"/>
              <w:bidi w:val="0"/>
              <w:spacing w:before="0" w:after="283"/>
              <w:jc w:val="left"/>
              <w:rPr>
                <w:sz w:val="4"/>
                <w:szCs w:val="4"/>
              </w:rPr>
            </w:pPr>
            <w:r>
              <w:rPr>
                <w:sz w:val="4"/>
                <w:szCs w:val="4"/>
              </w:rPr>
            </w:r>
          </w:p>
        </w:tc>
        <w:tc>
          <w:tcPr>
            <w:tcW w:w="1364"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(28.1)</w:t>
            </w:r>
          </w:p>
        </w:tc>
      </w:tr>
      <w:tr>
        <w:trPr/>
        <w:tc>
          <w:tcPr>
            <w:tcW w:w="59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Accounts payable</w:t>
            </w:r>
          </w:p>
        </w:tc>
        <w:tc>
          <w:tcPr>
            <w:tcW w:w="1288"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35.6</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364"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26.2</w:t>
            </w:r>
          </w:p>
        </w:tc>
      </w:tr>
      <w:tr>
        <w:trPr/>
        <w:tc>
          <w:tcPr>
            <w:tcW w:w="59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Accrued expenses</w:t>
            </w:r>
          </w:p>
        </w:tc>
        <w:tc>
          <w:tcPr>
            <w:tcW w:w="1288"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70.5</w:t>
            </w:r>
          </w:p>
        </w:tc>
        <w:tc>
          <w:tcPr>
            <w:tcW w:w="183" w:type="dxa"/>
            <w:tcBorders/>
            <w:shd w:fill="FFFFFF" w:val="clear"/>
            <w:vAlign w:val="center"/>
          </w:tcPr>
          <w:p>
            <w:pPr>
              <w:pStyle w:val="TableContents"/>
              <w:bidi w:val="0"/>
              <w:spacing w:before="0" w:after="283"/>
              <w:jc w:val="left"/>
              <w:rPr>
                <w:sz w:val="4"/>
                <w:szCs w:val="4"/>
              </w:rPr>
            </w:pPr>
            <w:r>
              <w:rPr>
                <w:sz w:val="4"/>
                <w:szCs w:val="4"/>
              </w:rPr>
            </w:r>
          </w:p>
        </w:tc>
        <w:tc>
          <w:tcPr>
            <w:tcW w:w="1364"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48.1</w:t>
            </w:r>
          </w:p>
        </w:tc>
      </w:tr>
      <w:tr>
        <w:trPr/>
        <w:tc>
          <w:tcPr>
            <w:tcW w:w="59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Other liabilities</w:t>
            </w:r>
          </w:p>
        </w:tc>
        <w:tc>
          <w:tcPr>
            <w:tcW w:w="1288"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23.1</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364"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22.0</w:t>
            </w:r>
          </w:p>
        </w:tc>
      </w:tr>
      <w:tr>
        <w:trPr/>
        <w:tc>
          <w:tcPr>
            <w:tcW w:w="5956" w:type="dxa"/>
            <w:tcBorders/>
            <w:shd w:fill="FFFF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Net cash provided by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operating activities</w:t>
            </w:r>
          </w:p>
        </w:tc>
        <w:tc>
          <w:tcPr>
            <w:tcW w:w="128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1,428.1</w:t>
            </w:r>
          </w:p>
        </w:tc>
        <w:tc>
          <w:tcPr>
            <w:tcW w:w="183" w:type="dxa"/>
            <w:tcBorders/>
            <w:shd w:fill="FFFFFF" w:val="clear"/>
            <w:vAlign w:val="center"/>
          </w:tcPr>
          <w:p>
            <w:pPr>
              <w:pStyle w:val="TableContents"/>
              <w:bidi w:val="0"/>
              <w:spacing w:before="0" w:after="283"/>
              <w:jc w:val="left"/>
              <w:rPr>
                <w:sz w:val="4"/>
                <w:szCs w:val="4"/>
              </w:rPr>
            </w:pPr>
            <w:r>
              <w:rPr>
                <w:sz w:val="4"/>
                <w:szCs w:val="4"/>
              </w:rPr>
            </w:r>
          </w:p>
        </w:tc>
        <w:tc>
          <w:tcPr>
            <w:tcW w:w="1364"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818.9</w:t>
            </w:r>
          </w:p>
        </w:tc>
      </w:tr>
      <w:tr>
        <w:trPr/>
        <w:tc>
          <w:tcPr>
            <w:tcW w:w="59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Cash flows from investing activities:</w:t>
            </w:r>
          </w:p>
        </w:tc>
        <w:tc>
          <w:tcPr>
            <w:tcW w:w="128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364"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Purchases of available-for-sale debt securities</w:t>
            </w:r>
          </w:p>
        </w:tc>
        <w:tc>
          <w:tcPr>
            <w:tcW w:w="1288"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(2,507.6)</w:t>
            </w:r>
          </w:p>
        </w:tc>
        <w:tc>
          <w:tcPr>
            <w:tcW w:w="183" w:type="dxa"/>
            <w:tcBorders/>
            <w:shd w:fill="FFFFFF" w:val="clear"/>
            <w:vAlign w:val="center"/>
          </w:tcPr>
          <w:p>
            <w:pPr>
              <w:pStyle w:val="TableContents"/>
              <w:bidi w:val="0"/>
              <w:spacing w:before="0" w:after="283"/>
              <w:jc w:val="left"/>
              <w:rPr>
                <w:sz w:val="4"/>
                <w:szCs w:val="4"/>
              </w:rPr>
            </w:pPr>
            <w:r>
              <w:rPr>
                <w:sz w:val="4"/>
                <w:szCs w:val="4"/>
              </w:rPr>
            </w:r>
          </w:p>
        </w:tc>
        <w:tc>
          <w:tcPr>
            <w:tcW w:w="1364"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(1,647.4)</w:t>
            </w:r>
          </w:p>
        </w:tc>
      </w:tr>
      <w:tr>
        <w:trPr/>
        <w:tc>
          <w:tcPr>
            <w:tcW w:w="59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Sales and maturities of available-for-sale debt securities</w:t>
            </w:r>
          </w:p>
        </w:tc>
        <w:tc>
          <w:tcPr>
            <w:tcW w:w="1288"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2,209.1</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364"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1,637.6</w:t>
            </w:r>
          </w:p>
        </w:tc>
      </w:tr>
      <w:tr>
        <w:trPr/>
        <w:tc>
          <w:tcPr>
            <w:tcW w:w="59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Purchases of property and equipment</w:t>
            </w:r>
          </w:p>
        </w:tc>
        <w:tc>
          <w:tcPr>
            <w:tcW w:w="1288"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(133.4)</w:t>
            </w:r>
          </w:p>
        </w:tc>
        <w:tc>
          <w:tcPr>
            <w:tcW w:w="183" w:type="dxa"/>
            <w:tcBorders/>
            <w:shd w:fill="FFFFFF" w:val="clear"/>
            <w:vAlign w:val="center"/>
          </w:tcPr>
          <w:p>
            <w:pPr>
              <w:pStyle w:val="TableContents"/>
              <w:bidi w:val="0"/>
              <w:spacing w:before="0" w:after="283"/>
              <w:jc w:val="left"/>
              <w:rPr>
                <w:sz w:val="4"/>
                <w:szCs w:val="4"/>
              </w:rPr>
            </w:pPr>
            <w:r>
              <w:rPr>
                <w:sz w:val="4"/>
                <w:szCs w:val="4"/>
              </w:rPr>
            </w:r>
          </w:p>
        </w:tc>
        <w:tc>
          <w:tcPr>
            <w:tcW w:w="1364"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(40.7)</w:t>
            </w:r>
          </w:p>
        </w:tc>
      </w:tr>
      <w:tr>
        <w:trPr/>
        <w:tc>
          <w:tcPr>
            <w:tcW w:w="59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Other investing activities</w:t>
            </w:r>
          </w:p>
        </w:tc>
        <w:tc>
          <w:tcPr>
            <w:tcW w:w="1288"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364"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(5.3)</w:t>
            </w:r>
          </w:p>
        </w:tc>
      </w:tr>
      <w:tr>
        <w:trPr/>
        <w:tc>
          <w:tcPr>
            <w:tcW w:w="5956" w:type="dxa"/>
            <w:tcBorders/>
            <w:shd w:fill="FFFF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Net cash used in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investing activities</w:t>
            </w:r>
          </w:p>
        </w:tc>
        <w:tc>
          <w:tcPr>
            <w:tcW w:w="128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(431.9)</w:t>
            </w:r>
          </w:p>
        </w:tc>
        <w:tc>
          <w:tcPr>
            <w:tcW w:w="183" w:type="dxa"/>
            <w:tcBorders/>
            <w:shd w:fill="FFFFFF" w:val="clear"/>
            <w:vAlign w:val="center"/>
          </w:tcPr>
          <w:p>
            <w:pPr>
              <w:pStyle w:val="TableContents"/>
              <w:bidi w:val="0"/>
              <w:spacing w:before="0" w:after="283"/>
              <w:jc w:val="left"/>
              <w:rPr>
                <w:sz w:val="4"/>
                <w:szCs w:val="4"/>
              </w:rPr>
            </w:pPr>
            <w:r>
              <w:rPr>
                <w:sz w:val="4"/>
                <w:szCs w:val="4"/>
              </w:rPr>
            </w:r>
          </w:p>
        </w:tc>
        <w:tc>
          <w:tcPr>
            <w:tcW w:w="1364"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(55.8)</w:t>
            </w:r>
          </w:p>
        </w:tc>
      </w:tr>
      <w:tr>
        <w:trPr/>
        <w:tc>
          <w:tcPr>
            <w:tcW w:w="59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Cash flows from financing activities:</w:t>
            </w:r>
          </w:p>
        </w:tc>
        <w:tc>
          <w:tcPr>
            <w:tcW w:w="128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364"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Issuances of common stock under benefit plans</w:t>
            </w:r>
          </w:p>
        </w:tc>
        <w:tc>
          <w:tcPr>
            <w:tcW w:w="1288"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27.0</w:t>
            </w:r>
          </w:p>
        </w:tc>
        <w:tc>
          <w:tcPr>
            <w:tcW w:w="183" w:type="dxa"/>
            <w:tcBorders/>
            <w:shd w:fill="FFFFFF" w:val="clear"/>
            <w:vAlign w:val="center"/>
          </w:tcPr>
          <w:p>
            <w:pPr>
              <w:pStyle w:val="TableContents"/>
              <w:bidi w:val="0"/>
              <w:spacing w:before="0" w:after="283"/>
              <w:jc w:val="left"/>
              <w:rPr>
                <w:sz w:val="4"/>
                <w:szCs w:val="4"/>
              </w:rPr>
            </w:pPr>
            <w:r>
              <w:rPr>
                <w:sz w:val="4"/>
                <w:szCs w:val="4"/>
              </w:rPr>
            </w:r>
          </w:p>
        </w:tc>
        <w:tc>
          <w:tcPr>
            <w:tcW w:w="1364"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16.7</w:t>
            </w:r>
          </w:p>
        </w:tc>
      </w:tr>
      <w:tr>
        <w:trPr/>
        <w:tc>
          <w:tcPr>
            <w:tcW w:w="59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Repurchases of common stock</w:t>
            </w:r>
          </w:p>
        </w:tc>
        <w:tc>
          <w:tcPr>
            <w:tcW w:w="1288"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(336.9)</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364"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(426.1)</w:t>
            </w:r>
          </w:p>
        </w:tc>
      </w:tr>
      <w:tr>
        <w:trPr/>
        <w:tc>
          <w:tcPr>
            <w:tcW w:w="59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Payments in connection with common stock withheld for employee tax obligations</w:t>
            </w:r>
          </w:p>
        </w:tc>
        <w:tc>
          <w:tcPr>
            <w:tcW w:w="1288"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(228.5)</w:t>
            </w:r>
          </w:p>
        </w:tc>
        <w:tc>
          <w:tcPr>
            <w:tcW w:w="183" w:type="dxa"/>
            <w:tcBorders/>
            <w:shd w:fill="FFFFFF" w:val="clear"/>
            <w:vAlign w:val="center"/>
          </w:tcPr>
          <w:p>
            <w:pPr>
              <w:pStyle w:val="TableContents"/>
              <w:bidi w:val="0"/>
              <w:spacing w:before="0" w:after="283"/>
              <w:jc w:val="left"/>
              <w:rPr>
                <w:sz w:val="4"/>
                <w:szCs w:val="4"/>
              </w:rPr>
            </w:pPr>
            <w:r>
              <w:rPr>
                <w:sz w:val="4"/>
                <w:szCs w:val="4"/>
              </w:rPr>
            </w:r>
          </w:p>
        </w:tc>
        <w:tc>
          <w:tcPr>
            <w:tcW w:w="1364"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(270.5)</w:t>
            </w:r>
          </w:p>
        </w:tc>
      </w:tr>
      <w:tr>
        <w:trPr/>
        <w:tc>
          <w:tcPr>
            <w:tcW w:w="59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Other financing activities</w:t>
            </w:r>
          </w:p>
        </w:tc>
        <w:tc>
          <w:tcPr>
            <w:tcW w:w="1288"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(0.4)</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364"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(0.5)</w:t>
            </w:r>
          </w:p>
        </w:tc>
      </w:tr>
      <w:tr>
        <w:trPr/>
        <w:tc>
          <w:tcPr>
            <w:tcW w:w="5956" w:type="dxa"/>
            <w:tcBorders/>
            <w:shd w:fill="FFFF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Net cash used in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financing activities</w:t>
            </w:r>
          </w:p>
        </w:tc>
        <w:tc>
          <w:tcPr>
            <w:tcW w:w="128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(538.8)</w:t>
            </w:r>
          </w:p>
        </w:tc>
        <w:tc>
          <w:tcPr>
            <w:tcW w:w="183" w:type="dxa"/>
            <w:tcBorders/>
            <w:shd w:fill="FFFFFF" w:val="clear"/>
            <w:vAlign w:val="center"/>
          </w:tcPr>
          <w:p>
            <w:pPr>
              <w:pStyle w:val="TableContents"/>
              <w:bidi w:val="0"/>
              <w:spacing w:before="0" w:after="283"/>
              <w:jc w:val="left"/>
              <w:rPr>
                <w:sz w:val="4"/>
                <w:szCs w:val="4"/>
              </w:rPr>
            </w:pPr>
            <w:r>
              <w:rPr>
                <w:sz w:val="4"/>
                <w:szCs w:val="4"/>
              </w:rPr>
            </w:r>
          </w:p>
        </w:tc>
        <w:tc>
          <w:tcPr>
            <w:tcW w:w="1364"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(680.4)</w:t>
            </w:r>
          </w:p>
        </w:tc>
      </w:tr>
      <w:tr>
        <w:trPr/>
        <w:tc>
          <w:tcPr>
            <w:tcW w:w="59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Effect of changes in exchange rates on cash</w:t>
            </w:r>
          </w:p>
        </w:tc>
        <w:tc>
          <w:tcPr>
            <w:tcW w:w="1288"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(40.3)</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364"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30.5</w:t>
            </w:r>
          </w:p>
        </w:tc>
      </w:tr>
      <w:tr>
        <w:trPr/>
        <w:tc>
          <w:tcPr>
            <w:tcW w:w="5956" w:type="dxa"/>
            <w:tcBorders/>
            <w:shd w:fill="FFFF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Net increase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in cash, cash equivalents and restricted cash</w:t>
            </w:r>
          </w:p>
        </w:tc>
        <w:tc>
          <w:tcPr>
            <w:tcW w:w="1288" w:type="dxa"/>
            <w:tcBorders>
              <w:top w:val="single" w:sz="8" w:space="0" w:color="000000"/>
            </w:tcBorders>
            <w:shd w:fill="FFFF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417.1</w:t>
            </w:r>
          </w:p>
        </w:tc>
        <w:tc>
          <w:tcPr>
            <w:tcW w:w="183" w:type="dxa"/>
            <w:tcBorders/>
            <w:shd w:fill="FFFFFF" w:val="clear"/>
            <w:vAlign w:val="center"/>
          </w:tcPr>
          <w:p>
            <w:pPr>
              <w:pStyle w:val="TableContents"/>
              <w:bidi w:val="0"/>
              <w:spacing w:before="0" w:after="283"/>
              <w:jc w:val="left"/>
              <w:rPr>
                <w:sz w:val="4"/>
                <w:szCs w:val="4"/>
              </w:rPr>
            </w:pPr>
            <w:r>
              <w:rPr>
                <w:sz w:val="4"/>
                <w:szCs w:val="4"/>
              </w:rPr>
            </w:r>
          </w:p>
        </w:tc>
        <w:tc>
          <w:tcPr>
            <w:tcW w:w="1364" w:type="dxa"/>
            <w:tcBorders>
              <w:top w:val="single" w:sz="8" w:space="0" w:color="000000"/>
            </w:tcBorders>
            <w:shd w:fill="FFFF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113.2</w:t>
            </w:r>
          </w:p>
        </w:tc>
      </w:tr>
      <w:tr>
        <w:trPr/>
        <w:tc>
          <w:tcPr>
            <w:tcW w:w="59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Cash, cash equivalents and restricted cash—beginning of period</w:t>
            </w:r>
          </w:p>
        </w:tc>
        <w:tc>
          <w:tcPr>
            <w:tcW w:w="1288"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5,087.8</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364"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4,572.2</w:t>
            </w:r>
          </w:p>
        </w:tc>
      </w:tr>
      <w:tr>
        <w:trPr/>
        <w:tc>
          <w:tcPr>
            <w:tcW w:w="59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Cash, cash equivalents and restricted cash—end of period</w:t>
            </w:r>
          </w:p>
        </w:tc>
        <w:tc>
          <w:tcPr>
            <w:tcW w:w="1288"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$5,504.9</w:t>
            </w:r>
          </w:p>
        </w:tc>
        <w:tc>
          <w:tcPr>
            <w:tcW w:w="183" w:type="dxa"/>
            <w:tcBorders/>
            <w:shd w:fill="FFFFFF" w:val="clear"/>
            <w:vAlign w:val="center"/>
          </w:tcPr>
          <w:p>
            <w:pPr>
              <w:pStyle w:val="TableContents"/>
              <w:bidi w:val="0"/>
              <w:spacing w:before="0" w:after="283"/>
              <w:jc w:val="left"/>
              <w:rPr>
                <w:sz w:val="4"/>
                <w:szCs w:val="4"/>
              </w:rPr>
            </w:pPr>
            <w:r>
              <w:rPr>
                <w:sz w:val="4"/>
                <w:szCs w:val="4"/>
              </w:rPr>
            </w:r>
          </w:p>
        </w:tc>
        <w:tc>
          <w:tcPr>
            <w:tcW w:w="136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$4,685.4</w:t>
            </w:r>
          </w:p>
        </w:tc>
      </w:tr>
      <w:tr>
        <w:trPr/>
        <w:tc>
          <w:tcPr>
            <w:tcW w:w="5956" w:type="dxa"/>
            <w:tcBorders/>
            <w:shd w:fill="CCEEFF" w:val="clear"/>
            <w:vAlign w:val="center"/>
          </w:tcPr>
          <w:p>
            <w:pPr>
              <w:pStyle w:val="TableContents"/>
              <w:bidi w:val="0"/>
              <w:spacing w:before="0" w:after="283"/>
              <w:jc w:val="left"/>
              <w:rPr>
                <w:sz w:val="4"/>
                <w:szCs w:val="4"/>
              </w:rPr>
            </w:pPr>
            <w:r>
              <w:rPr>
                <w:sz w:val="4"/>
                <w:szCs w:val="4"/>
              </w:rPr>
            </w:r>
          </w:p>
        </w:tc>
        <w:tc>
          <w:tcPr>
            <w:tcW w:w="1288"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364"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Supplemental disclosure of cash flow information:</w:t>
            </w:r>
          </w:p>
        </w:tc>
        <w:tc>
          <w:tcPr>
            <w:tcW w:w="1288" w:type="dxa"/>
            <w:tcBorders/>
            <w:shd w:fill="FFFFFF" w:val="clear"/>
            <w:vAlign w:val="center"/>
          </w:tcPr>
          <w:p>
            <w:pPr>
              <w:pStyle w:val="TableContents"/>
              <w:bidi w:val="0"/>
              <w:spacing w:before="0" w:after="283"/>
              <w:jc w:val="left"/>
              <w:rPr>
                <w:sz w:val="4"/>
                <w:szCs w:val="4"/>
              </w:rPr>
            </w:pPr>
            <w:r>
              <w:rPr>
                <w:sz w:val="4"/>
                <w:szCs w:val="4"/>
              </w:rPr>
            </w:r>
          </w:p>
        </w:tc>
        <w:tc>
          <w:tcPr>
            <w:tcW w:w="183" w:type="dxa"/>
            <w:tcBorders/>
            <w:shd w:fill="FFFFFF" w:val="clear"/>
            <w:vAlign w:val="center"/>
          </w:tcPr>
          <w:p>
            <w:pPr>
              <w:pStyle w:val="TableContents"/>
              <w:bidi w:val="0"/>
              <w:spacing w:before="0" w:after="283"/>
              <w:jc w:val="left"/>
              <w:rPr>
                <w:sz w:val="4"/>
                <w:szCs w:val="4"/>
              </w:rPr>
            </w:pPr>
            <w:r>
              <w:rPr>
                <w:sz w:val="4"/>
                <w:szCs w:val="4"/>
              </w:rPr>
            </w:r>
          </w:p>
        </w:tc>
        <w:tc>
          <w:tcPr>
            <w:tcW w:w="1364" w:type="dxa"/>
            <w:tcBorders/>
            <w:shd w:fill="FFFFFF" w:val="clear"/>
            <w:vAlign w:val="center"/>
          </w:tcPr>
          <w:p>
            <w:pPr>
              <w:pStyle w:val="TableContents"/>
              <w:bidi w:val="0"/>
              <w:spacing w:before="0" w:after="283"/>
              <w:jc w:val="left"/>
              <w:rPr>
                <w:sz w:val="4"/>
                <w:szCs w:val="4"/>
              </w:rPr>
            </w:pPr>
            <w:r>
              <w:rPr>
                <w:sz w:val="4"/>
                <w:szCs w:val="4"/>
              </w:rPr>
            </w:r>
          </w:p>
        </w:tc>
      </w:tr>
      <w:tr>
        <w:trPr/>
        <w:tc>
          <w:tcPr>
            <w:tcW w:w="59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Cash paid for income taxes</w:t>
            </w:r>
          </w:p>
        </w:tc>
        <w:tc>
          <w:tcPr>
            <w:tcW w:w="1288"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$82.3</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364"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$184.4</w:t>
            </w:r>
          </w:p>
        </w:tc>
      </w:tr>
      <w:tr>
        <w:trPr/>
        <w:tc>
          <w:tcPr>
            <w:tcW w:w="59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Cash paid for interest</w:t>
            </w:r>
          </w:p>
        </w:tc>
        <w:tc>
          <w:tcPr>
            <w:tcW w:w="1288"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$3.2</w:t>
            </w:r>
          </w:p>
        </w:tc>
        <w:tc>
          <w:tcPr>
            <w:tcW w:w="183" w:type="dxa"/>
            <w:tcBorders/>
            <w:shd w:fill="FFFFFF" w:val="clear"/>
            <w:vAlign w:val="center"/>
          </w:tcPr>
          <w:p>
            <w:pPr>
              <w:pStyle w:val="TableContents"/>
              <w:bidi w:val="0"/>
              <w:spacing w:before="0" w:after="283"/>
              <w:jc w:val="left"/>
              <w:rPr>
                <w:sz w:val="4"/>
                <w:szCs w:val="4"/>
              </w:rPr>
            </w:pPr>
            <w:r>
              <w:rPr>
                <w:sz w:val="4"/>
                <w:szCs w:val="4"/>
              </w:rPr>
            </w:r>
          </w:p>
        </w:tc>
        <w:tc>
          <w:tcPr>
            <w:tcW w:w="1364"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$2.7</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accompanying notes are an integral part of these condensed consolidated financial statements.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A.Basis of Presentation and Accounting Policies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Basis of Presentation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accompanying condensed consolidated financial statements are unaudited and have been prepared by Vertex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Pharmaceuticals Incorporated (“Vertex,” “we,” “us” or “our”) in accordance with accounting principles generally accepted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United States of America (“U.S. GAAP”).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condensed consolidated financial statements reflect the operations of Vertex and our wholly-owned subsidiaries. All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material intercompany balances and transactions have been eliminated. We operate in one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segment, pharmaceuticals.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Certain information and footnote disclosures normally included in our Annual Report on Form 10-K for the fiscal year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ended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(the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Annual Report on Form 10-K”) have been condensed or omitted. These interim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financial statements, in the opinion of management, reflect all normal recurring adjustments necessary for a fair presentation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 the financial position and results of income for the interim periods ended March 31,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2025.</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results of operations for the interim period are not necessarily indicative of the results of operations to be expected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the full fiscal year. These interim financial statements should be read in conjunction with the audited financial statements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the year ended December 31, 2025, which are contained in our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Annual Report on Form 10-K.</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Use of Estimates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preparation of condensed consolidated financial statements in accordance with U.S. GAAP requires us to make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certain estimates and assumptions that affect the reported amounts of assets and liabilities and disclosure of contingent assets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liabilities at the date of our condensed consolidated financial statements, and the amounts of revenues and expenses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during the reported periods. We base our estimates on historical experience and various other assumptions, including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certain circumstances future projections that we believe to be reasonable under the circumstances. Actual results could differ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from those estimates. Changes in estimates are reflected in reported results in the period in which they become known.</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Recently Issued Accounting Standards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Disaggregation of Income Statement Expenses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2024, the Financial Accounting Standards Board (“FASB”) issued Accounting Standards Update (“ASU”) 2024-03,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Income Statement—Reporting Comprehensive Income—Expense Disaggregation Disclosures (Subtopic 220-40): </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Disaggregation of Income Statement Expenses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(“ASU 2024-03”), which requires public entities, among other items,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disclose in a tabular format, on an annual and interim basis, purchases of inventory, employee compensation, depreciation,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intangible asset amortization and depletion for each income statement line item that contains those expenses. ASU 2024-03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becomes effective for the annual period starting on January 1, 2027 and interim periods starting on January 1, 2028. We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 the process of analyzing the impact that the adoption of ASU 2024-03 will have on our disclosures.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Internal-Use Software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In 2025, the FASB issued ASU 2025-06, </w:t>
      </w:r>
      <w:r>
        <w:rPr>
          <w:rFonts w:ascii="Times New Roman;serif" w:hAnsi="Times New Roman;serif"/>
          <w:b w:val="false"/>
          <w:i/>
          <w:strike w:val="false"/>
          <w:dstrike w:val="false"/>
          <w:sz w:val="20"/>
          <w:u w:val="none"/>
          <w:effect w:val="none"/>
        </w:rPr>
        <w:t xml:space="preserve">Intangibles—Goodwill and Other—Internal-Use Software (Subtopic 350-40): </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 xml:space="preserve">Targeted Improvements to the Accounting for Internal-Use Software </w:t>
      </w:r>
      <w:r>
        <w:rPr>
          <w:rFonts w:ascii="Times New Roman;serif" w:hAnsi="Times New Roman;serif"/>
          <w:b w:val="false"/>
          <w:i w:val="false"/>
          <w:caps w:val="false"/>
          <w:smallCaps w:val="false"/>
          <w:strike w:val="false"/>
          <w:dstrike w:val="false"/>
          <w:sz w:val="20"/>
          <w:u w:val="none"/>
          <w:effect w:val="none"/>
        </w:rPr>
        <w:t xml:space="preserve">(“ASU 2025-06”), which eliminates consideration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software project development stages and replaces them with modernized recognition and measurement guidance designed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reflect current internal-use software development practices. ASU 2025-06 becomes effective for the annual and interim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periods starting on January 1, 2028. We are in the process of analyzing the impact that the adoption of ASU 2025-06 will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have on our consolidated financial statements and related disclosures.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Summary of Significant Accounting Policies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significant accounting policies are described in Note A, “Nature of Business and Accounting Policies,”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our 2025</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B.Collaboration, License and Other Arrangements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Acquired In-Process Research and Development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have entered into numerous business development agreements with third parties to collaborate on research,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development and commercialization programs, license technologies, or acquire assets. Our “Acquired in-process research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(unaudited)</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development expenses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(“AIPR&amp;D”) included $0.5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$19.8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the three months ended March 31,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2025, respectively, related to upfront, contingent milestone, or other payments pursuant to our business development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transactions.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 collaboration, licensing and asset acquisition agreements that had a significant impact on our financial statements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three months ended March 31,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or were new or materially revised during the three months ended March 31,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2026, are described below. Additional agreements are described in Note B, “Collaboration, License and Other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Arrangements,”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our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Annual Report on Form 10-K.</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In-license Agreements</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CRISPR Therapeutics AG</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have a joint development and commercialization agreement (the “CRISPR JDCA”) with CRISPR Therapeutics AG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its affiliates (“CRISPR”). Pursuant to the CRISPR JDCA, we lead global development, manufacturing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commercialization of CASGEVY for the treatment of hemoglobinopathies, including treatments for severe sickle cell disease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(“SCD”) and transfusion-dependent beta thalassemia, with support from CRISPR.</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 share with CRISPR 40%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net commercial profits or losses incurred with respect to CASGEVY, subject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certain adjustments, which is recorded to “Cost of sales.” The net commercial profits or losses equal the sum of the product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revenues, cost of sales and selling, general and administrative expenses that we recognized during the applicable period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related to the CRISPR JDCA. We also are reimbursed by CRISPR for its 40%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share of the research and development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activities conducted under the CRISPR JDCA, subject to certain adjustments, and we record this reimbursement from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CRISPR as a credit within “Research and development expenses.”</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the first quarter of 2025, we recorded a $12.5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credit to AIPR&amp;D from CRISPR, reflecting its share of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upfront payment paid to Orna Therapeutics in December 2024.</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During the three months ended March 31,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2025, the credits recognized in our condensed consolidated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statements of income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CRISPR’s share of CRISPR JDCA activities were as follows:</w:t>
      </w:r>
    </w:p>
    <w:tbl>
      <w:tblPr>
        <w:tblW w:w="7515" w:type="dxa"/>
        <w:jc w:val="left"/>
        <w:tblInd w:w="0" w:type="dxa"/>
        <w:tblLayout w:type="fixed"/>
        <w:tblCellMar>
          <w:top w:w="28" w:type="dxa"/>
          <w:left w:w="28" w:type="dxa"/>
          <w:bottom w:w="28" w:type="dxa"/>
          <w:right w:w="28" w:type="dxa"/>
        </w:tblCellMar>
      </w:tblPr>
      <w:tblGrid>
        <w:gridCol w:w="4681"/>
        <w:gridCol w:w="1249"/>
        <w:gridCol w:w="238"/>
        <w:gridCol w:w="1347"/>
      </w:tblGrid>
      <w:tr>
        <w:trPr/>
        <w:tc>
          <w:tcPr>
            <w:tcW w:w="468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r>
      <w:tr>
        <w:trPr/>
        <w:tc>
          <w:tcPr>
            <w:tcW w:w="4681" w:type="dxa"/>
            <w:tcBorders/>
            <w:vAlign w:val="center"/>
          </w:tcPr>
          <w:p>
            <w:pPr>
              <w:pStyle w:val="TableContents"/>
              <w:bidi w:val="0"/>
              <w:spacing w:before="0" w:after="283"/>
              <w:jc w:val="left"/>
              <w:rPr>
                <w:sz w:val="4"/>
                <w:szCs w:val="4"/>
              </w:rPr>
            </w:pPr>
            <w:r>
              <w:rPr>
                <w:sz w:val="4"/>
                <w:szCs w:val="4"/>
              </w:rPr>
            </w:r>
          </w:p>
        </w:tc>
        <w:tc>
          <w:tcPr>
            <w:tcW w:w="2834"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Three Months Ended March 31,</w:t>
            </w:r>
          </w:p>
        </w:tc>
      </w:tr>
      <w:tr>
        <w:trPr/>
        <w:tc>
          <w:tcPr>
            <w:tcW w:w="4681" w:type="dxa"/>
            <w:tcBorders/>
            <w:vAlign w:val="center"/>
          </w:tcPr>
          <w:p>
            <w:pPr>
              <w:pStyle w:val="TableContents"/>
              <w:bidi w:val="0"/>
              <w:spacing w:before="0" w:after="283"/>
              <w:jc w:val="left"/>
              <w:rPr>
                <w:sz w:val="4"/>
                <w:szCs w:val="4"/>
              </w:rPr>
            </w:pPr>
            <w:r>
              <w:rPr>
                <w:sz w:val="4"/>
                <w:szCs w:val="4"/>
              </w:rPr>
            </w:r>
          </w:p>
        </w:tc>
        <w:tc>
          <w:tcPr>
            <w:tcW w:w="1249"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23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4681" w:type="dxa"/>
            <w:tcBorders/>
            <w:vAlign w:val="center"/>
          </w:tcPr>
          <w:p>
            <w:pPr>
              <w:pStyle w:val="TableContents"/>
              <w:bidi w:val="0"/>
              <w:spacing w:before="0" w:after="283"/>
              <w:jc w:val="left"/>
              <w:rPr>
                <w:sz w:val="4"/>
                <w:szCs w:val="4"/>
              </w:rPr>
            </w:pPr>
            <w:r>
              <w:rPr>
                <w:sz w:val="4"/>
                <w:szCs w:val="4"/>
              </w:rPr>
            </w:r>
          </w:p>
        </w:tc>
        <w:tc>
          <w:tcPr>
            <w:tcW w:w="124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34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c>
          <w:tcPr>
            <w:tcW w:w="2834" w:type="dxa"/>
            <w:gridSpan w:val="3"/>
            <w:tcBorders/>
            <w:vAlign w:val="center"/>
          </w:tcPr>
          <w:p>
            <w:pPr>
              <w:pStyle w:val="TableContents"/>
              <w:bidi w:val="0"/>
              <w:spacing w:before="0" w:after="283"/>
              <w:jc w:val="left"/>
              <w:rPr>
                <w:sz w:val="4"/>
                <w:szCs w:val="4"/>
              </w:rPr>
            </w:pPr>
            <w:r>
              <w:rPr>
                <w:sz w:val="4"/>
                <w:szCs w:val="4"/>
              </w:rPr>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Cost of sales</w:t>
            </w:r>
          </w:p>
        </w:tc>
        <w:tc>
          <w:tcPr>
            <w:tcW w:w="124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$23.1</w:t>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134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$36.2</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Research and development expenses</w:t>
            </w:r>
          </w:p>
        </w:tc>
        <w:tc>
          <w:tcPr>
            <w:tcW w:w="124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$16.1</w:t>
            </w:r>
          </w:p>
        </w:tc>
        <w:tc>
          <w:tcPr>
            <w:tcW w:w="238" w:type="dxa"/>
            <w:tcBorders/>
            <w:shd w:fill="FFFFFF" w:val="clear"/>
            <w:vAlign w:val="center"/>
          </w:tcPr>
          <w:p>
            <w:pPr>
              <w:pStyle w:val="TableContents"/>
              <w:bidi w:val="0"/>
              <w:spacing w:before="0" w:after="283"/>
              <w:jc w:val="left"/>
              <w:rPr>
                <w:sz w:val="4"/>
                <w:szCs w:val="4"/>
              </w:rPr>
            </w:pPr>
            <w:r>
              <w:rPr>
                <w:sz w:val="4"/>
                <w:szCs w:val="4"/>
              </w:rPr>
            </w:r>
          </w:p>
        </w:tc>
        <w:tc>
          <w:tcPr>
            <w:tcW w:w="134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$16.0</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Acquired in-process research and development expenses</w:t>
            </w:r>
          </w:p>
        </w:tc>
        <w:tc>
          <w:tcPr>
            <w:tcW w:w="124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134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$12.5</w:t>
            </w:r>
          </w:p>
        </w:tc>
      </w:tr>
    </w:tbl>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Cystic Fibrosis Foundation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2004, we entered into an agreement with the Cystic Fibrosis Foundation (the “CFF”), as successor in interest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Cystic Fibrosis Foundation Therapeutics, Inc., to support research and development activities. Pursuant to the agreement,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amended, we have agreed to pay tiered royalties ranging from single digits to sub-teens on covered compounds first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synthesized and/or tested during a research term on or before February 28, 2014, including ivacaftor, lumacaftor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tezacaftor, and royalties ranging from low-single digits to mid-single digits on net sales of certain compounds first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synthesized and/or tested between March 1, 2014 and August 31, 2016, including elexacaftor. We do not have any royalty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obligations on compounds first synthesized and tested on or after September 1, 2016. For combination products, such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ORKAMBI, SYMDEKO/SYMKEVI, TRIKAFTA/KAFTRIO, and ALYFTREK, sales are allocated equally to each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active pharmaceutical ingredients in the combination product, and royalties are then paid for any royalty-bearing components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included in the combination. We record expenses related to these royalty obligations to “Cost of sales.”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C.Earnings Per Share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following table sets forth the computation of basic and diluted net income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per common share for the periods ended:</w:t>
      </w:r>
    </w:p>
    <w:tbl>
      <w:tblPr>
        <w:tblW w:w="8955" w:type="dxa"/>
        <w:jc w:val="left"/>
        <w:tblInd w:w="0" w:type="dxa"/>
        <w:tblLayout w:type="fixed"/>
        <w:tblCellMar>
          <w:top w:w="28" w:type="dxa"/>
          <w:left w:w="28" w:type="dxa"/>
          <w:bottom w:w="28" w:type="dxa"/>
          <w:right w:w="28" w:type="dxa"/>
        </w:tblCellMar>
      </w:tblPr>
      <w:tblGrid>
        <w:gridCol w:w="6121"/>
        <w:gridCol w:w="1414"/>
        <w:gridCol w:w="186"/>
        <w:gridCol w:w="1234"/>
      </w:tblGrid>
      <w:tr>
        <w:trPr/>
        <w:tc>
          <w:tcPr>
            <w:tcW w:w="612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6121" w:type="dxa"/>
            <w:tcBorders/>
            <w:vAlign w:val="center"/>
          </w:tcPr>
          <w:p>
            <w:pPr>
              <w:pStyle w:val="TableContents"/>
              <w:bidi w:val="0"/>
              <w:spacing w:before="0" w:after="283"/>
              <w:jc w:val="left"/>
              <w:rPr>
                <w:sz w:val="4"/>
                <w:szCs w:val="4"/>
              </w:rPr>
            </w:pPr>
            <w:r>
              <w:rPr>
                <w:sz w:val="4"/>
                <w:szCs w:val="4"/>
              </w:rPr>
            </w:r>
          </w:p>
        </w:tc>
        <w:tc>
          <w:tcPr>
            <w:tcW w:w="2834"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Three Months Ended March 31,</w:t>
            </w:r>
          </w:p>
        </w:tc>
      </w:tr>
      <w:tr>
        <w:trPr/>
        <w:tc>
          <w:tcPr>
            <w:tcW w:w="6121" w:type="dxa"/>
            <w:tcBorders/>
            <w:vAlign w:val="center"/>
          </w:tcPr>
          <w:p>
            <w:pPr>
              <w:pStyle w:val="TableContents"/>
              <w:bidi w:val="0"/>
              <w:spacing w:before="0" w:after="283"/>
              <w:jc w:val="left"/>
              <w:rPr>
                <w:sz w:val="4"/>
                <w:szCs w:val="4"/>
              </w:rPr>
            </w:pPr>
            <w:r>
              <w:rPr>
                <w:sz w:val="4"/>
                <w:szCs w:val="4"/>
              </w:rPr>
            </w:r>
          </w:p>
        </w:tc>
        <w:tc>
          <w:tcPr>
            <w:tcW w:w="1414"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6121" w:type="dxa"/>
            <w:tcBorders/>
            <w:vAlign w:val="center"/>
          </w:tcPr>
          <w:p>
            <w:pPr>
              <w:pStyle w:val="TableContents"/>
              <w:bidi w:val="0"/>
              <w:spacing w:before="0" w:after="283"/>
              <w:jc w:val="left"/>
              <w:rPr>
                <w:sz w:val="4"/>
                <w:szCs w:val="4"/>
              </w:rPr>
            </w:pPr>
            <w:r>
              <w:rPr>
                <w:sz w:val="4"/>
                <w:szCs w:val="4"/>
              </w:rPr>
            </w:r>
          </w:p>
        </w:tc>
        <w:tc>
          <w:tcPr>
            <w:tcW w:w="14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3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(in millions, except per share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amounts)</w:t>
            </w:r>
          </w:p>
        </w:tc>
        <w:tc>
          <w:tcPr>
            <w:tcW w:w="2834" w:type="dxa"/>
            <w:gridSpan w:val="3"/>
            <w:tcBorders/>
            <w:vAlign w:val="center"/>
          </w:tcPr>
          <w:p>
            <w:pPr>
              <w:pStyle w:val="TableContents"/>
              <w:bidi w:val="0"/>
              <w:spacing w:before="0" w:after="283"/>
              <w:jc w:val="left"/>
              <w:rPr>
                <w:sz w:val="4"/>
                <w:szCs w:val="4"/>
              </w:rPr>
            </w:pPr>
            <w:r>
              <w:rPr>
                <w:sz w:val="4"/>
                <w:szCs w:val="4"/>
              </w:rPr>
            </w:r>
          </w:p>
        </w:tc>
      </w:tr>
      <w:tr>
        <w:trPr/>
        <w:tc>
          <w:tcPr>
            <w:tcW w:w="612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Net </w:t>
            </w:r>
            <w:r>
              <w:rPr>
                <w:rFonts w:ascii="Times New Roman;serif" w:hAnsi="Times New Roman;serif"/>
                <w:b w:val="false"/>
                <w:i w:val="false"/>
                <w:caps w:val="false"/>
                <w:smallCaps w:val="false"/>
                <w:strike w:val="false"/>
                <w:dstrike w:val="false"/>
                <w:sz w:val="20"/>
                <w:u w:val="none"/>
                <w:effect w:val="none"/>
              </w:rPr>
              <w:t>income</w:t>
            </w:r>
          </w:p>
        </w:tc>
        <w:tc>
          <w:tcPr>
            <w:tcW w:w="141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$1,031.4</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23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$646.3</w:t>
            </w:r>
          </w:p>
        </w:tc>
      </w:tr>
      <w:tr>
        <w:trPr/>
        <w:tc>
          <w:tcPr>
            <w:tcW w:w="6121" w:type="dxa"/>
            <w:tcBorders/>
            <w:shd w:fill="FFFFFF" w:val="clear"/>
            <w:vAlign w:val="center"/>
          </w:tcPr>
          <w:p>
            <w:pPr>
              <w:pStyle w:val="TableContents"/>
              <w:bidi w:val="0"/>
              <w:spacing w:before="0" w:after="283"/>
              <w:jc w:val="left"/>
              <w:rPr>
                <w:sz w:val="4"/>
                <w:szCs w:val="4"/>
              </w:rPr>
            </w:pPr>
            <w:r>
              <w:rPr>
                <w:sz w:val="4"/>
                <w:szCs w:val="4"/>
              </w:rPr>
            </w:r>
          </w:p>
        </w:tc>
        <w:tc>
          <w:tcPr>
            <w:tcW w:w="1414" w:type="dxa"/>
            <w:tcBorders/>
            <w:shd w:fill="FFFFFF" w:val="clear"/>
            <w:vAlign w:val="center"/>
          </w:tcPr>
          <w:p>
            <w:pPr>
              <w:pStyle w:val="TableContents"/>
              <w:bidi w:val="0"/>
              <w:spacing w:before="0" w:after="283"/>
              <w:jc w:val="left"/>
              <w:rPr>
                <w:sz w:val="4"/>
                <w:szCs w:val="4"/>
              </w:rPr>
            </w:pPr>
            <w:r>
              <w:rPr>
                <w:sz w:val="4"/>
                <w:szCs w:val="4"/>
              </w:rPr>
            </w:r>
          </w:p>
        </w:tc>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1234" w:type="dxa"/>
            <w:tcBorders/>
            <w:shd w:fill="FFFFFF" w:val="clear"/>
            <w:vAlign w:val="center"/>
          </w:tcPr>
          <w:p>
            <w:pPr>
              <w:pStyle w:val="TableContents"/>
              <w:bidi w:val="0"/>
              <w:spacing w:before="0" w:after="283"/>
              <w:jc w:val="left"/>
              <w:rPr>
                <w:sz w:val="4"/>
                <w:szCs w:val="4"/>
              </w:rPr>
            </w:pPr>
            <w:r>
              <w:rPr>
                <w:sz w:val="4"/>
                <w:szCs w:val="4"/>
              </w:rPr>
            </w:r>
          </w:p>
        </w:tc>
      </w:tr>
      <w:tr>
        <w:trPr/>
        <w:tc>
          <w:tcPr>
            <w:tcW w:w="61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Basic weighted-average common shares outstanding</w:t>
            </w:r>
          </w:p>
        </w:tc>
        <w:tc>
          <w:tcPr>
            <w:tcW w:w="141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254.1</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23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256.9</w:t>
            </w:r>
          </w:p>
        </w:tc>
      </w:tr>
      <w:tr>
        <w:trPr/>
        <w:tc>
          <w:tcPr>
            <w:tcW w:w="61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Effect of potentially dilutive securities:</w:t>
            </w:r>
          </w:p>
        </w:tc>
        <w:tc>
          <w:tcPr>
            <w:tcW w:w="1414" w:type="dxa"/>
            <w:tcBorders/>
            <w:shd w:fill="FFFFFF" w:val="clear"/>
            <w:vAlign w:val="center"/>
          </w:tcPr>
          <w:p>
            <w:pPr>
              <w:pStyle w:val="TableContents"/>
              <w:bidi w:val="0"/>
              <w:spacing w:before="0" w:after="283"/>
              <w:jc w:val="left"/>
              <w:rPr>
                <w:sz w:val="4"/>
                <w:szCs w:val="4"/>
              </w:rPr>
            </w:pPr>
            <w:r>
              <w:rPr>
                <w:sz w:val="4"/>
                <w:szCs w:val="4"/>
              </w:rPr>
            </w:r>
          </w:p>
        </w:tc>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1234" w:type="dxa"/>
            <w:tcBorders/>
            <w:shd w:fill="FFFFFF" w:val="clear"/>
            <w:vAlign w:val="center"/>
          </w:tcPr>
          <w:p>
            <w:pPr>
              <w:pStyle w:val="TableContents"/>
              <w:bidi w:val="0"/>
              <w:spacing w:before="0" w:after="283"/>
              <w:jc w:val="left"/>
              <w:rPr>
                <w:sz w:val="4"/>
                <w:szCs w:val="4"/>
              </w:rPr>
            </w:pPr>
            <w:r>
              <w:rPr>
                <w:sz w:val="4"/>
                <w:szCs w:val="4"/>
              </w:rPr>
            </w:r>
          </w:p>
        </w:tc>
      </w:tr>
      <w:tr>
        <w:trPr/>
        <w:tc>
          <w:tcPr>
            <w:tcW w:w="61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Restricted stock units (including performance-based restricted stock units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(“PSUs”))</w:t>
            </w:r>
          </w:p>
        </w:tc>
        <w:tc>
          <w:tcPr>
            <w:tcW w:w="141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23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w:t>
            </w:r>
          </w:p>
        </w:tc>
      </w:tr>
      <w:tr>
        <w:trPr/>
        <w:tc>
          <w:tcPr>
            <w:tcW w:w="61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Stock options</w:t>
            </w:r>
          </w:p>
        </w:tc>
        <w:tc>
          <w:tcPr>
            <w:tcW w:w="1414"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0.7</w:t>
            </w:r>
          </w:p>
        </w:tc>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1234"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r>
      <w:tr>
        <w:trPr/>
        <w:tc>
          <w:tcPr>
            <w:tcW w:w="61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Diluted weighted-average common shares outstanding</w:t>
            </w:r>
          </w:p>
        </w:tc>
        <w:tc>
          <w:tcPr>
            <w:tcW w:w="141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256.3</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23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259.5</w:t>
            </w:r>
          </w:p>
        </w:tc>
      </w:tr>
      <w:tr>
        <w:trPr/>
        <w:tc>
          <w:tcPr>
            <w:tcW w:w="6121" w:type="dxa"/>
            <w:tcBorders/>
            <w:shd w:fill="FFFFFF" w:val="clear"/>
            <w:vAlign w:val="center"/>
          </w:tcPr>
          <w:p>
            <w:pPr>
              <w:pStyle w:val="TableContents"/>
              <w:bidi w:val="0"/>
              <w:spacing w:before="0" w:after="283"/>
              <w:jc w:val="left"/>
              <w:rPr>
                <w:sz w:val="4"/>
                <w:szCs w:val="4"/>
              </w:rPr>
            </w:pPr>
            <w:r>
              <w:rPr>
                <w:sz w:val="4"/>
                <w:szCs w:val="4"/>
              </w:rPr>
            </w:r>
          </w:p>
        </w:tc>
        <w:tc>
          <w:tcPr>
            <w:tcW w:w="1414"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1234"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Basic net </w:t>
            </w:r>
            <w:r>
              <w:rPr>
                <w:rFonts w:ascii="Times New Roman;serif" w:hAnsi="Times New Roman;serif"/>
                <w:b w:val="false"/>
                <w:i w:val="false"/>
                <w:caps w:val="false"/>
                <w:smallCaps w:val="false"/>
                <w:strike w:val="false"/>
                <w:dstrike w:val="false"/>
                <w:sz w:val="20"/>
                <w:u w:val="none"/>
                <w:effect w:val="none"/>
              </w:rPr>
              <w:t>income</w:t>
            </w:r>
            <w:r>
              <w:rPr>
                <w:caps w:val="false"/>
                <w:smallCaps w:val="false"/>
                <w:sz w:val="24"/>
              </w:rPr>
              <w:t xml:space="preserve"> </w:t>
            </w:r>
            <w:r>
              <w:rPr>
                <w:rFonts w:ascii="Times New Roman;serif" w:hAnsi="Times New Roman;serif"/>
                <w:b w:val="false"/>
                <w:i w:val="false"/>
                <w:caps w:val="false"/>
                <w:smallCaps w:val="false"/>
                <w:sz w:val="20"/>
              </w:rPr>
              <w:t>per common share</w:t>
            </w:r>
          </w:p>
        </w:tc>
        <w:tc>
          <w:tcPr>
            <w:tcW w:w="141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$4.06</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23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$2.52</w:t>
            </w:r>
          </w:p>
        </w:tc>
      </w:tr>
      <w:tr>
        <w:trPr/>
        <w:tc>
          <w:tcPr>
            <w:tcW w:w="612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Diluted net </w:t>
            </w:r>
            <w:r>
              <w:rPr>
                <w:rFonts w:ascii="Times New Roman;serif" w:hAnsi="Times New Roman;serif"/>
                <w:b w:val="false"/>
                <w:i w:val="false"/>
                <w:caps w:val="false"/>
                <w:smallCaps w:val="false"/>
                <w:strike w:val="false"/>
                <w:dstrike w:val="false"/>
                <w:sz w:val="20"/>
                <w:u w:val="none"/>
                <w:effect w:val="none"/>
              </w:rPr>
              <w:t>income</w:t>
            </w:r>
            <w:r>
              <w:rPr>
                <w:caps w:val="false"/>
                <w:smallCaps w:val="false"/>
                <w:sz w:val="24"/>
              </w:rPr>
              <w:t xml:space="preserve"> </w:t>
            </w:r>
            <w:r>
              <w:rPr>
                <w:rFonts w:ascii="Times New Roman;serif" w:hAnsi="Times New Roman;serif"/>
                <w:b w:val="false"/>
                <w:i w:val="false"/>
                <w:caps w:val="false"/>
                <w:smallCaps w:val="false"/>
                <w:sz w:val="20"/>
              </w:rPr>
              <w:t>per common share</w:t>
            </w:r>
          </w:p>
        </w:tc>
        <w:tc>
          <w:tcPr>
            <w:tcW w:w="141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$4.02</w:t>
            </w:r>
          </w:p>
        </w:tc>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123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$2.49</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During the three months ended March 31,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2025, the number of anti-dilutive securities that were excluded from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computation of our diluted net income per common share was not significant.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D.Fair Value Measurements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sets forth our financial assets and liabilities subject to fair value measurements by level within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fair value hierarchy, as described in Note A, “Nature of Business and Accounting Policies,”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our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Annual Report 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Form 10-K:</w:t>
      </w:r>
    </w:p>
    <w:tbl>
      <w:tblPr>
        <w:tblW w:w="9682" w:type="dxa"/>
        <w:jc w:val="left"/>
        <w:tblInd w:w="0" w:type="dxa"/>
        <w:tblLayout w:type="fixed"/>
        <w:tblCellMar>
          <w:top w:w="28" w:type="dxa"/>
          <w:left w:w="28" w:type="dxa"/>
          <w:bottom w:w="28" w:type="dxa"/>
          <w:right w:w="28" w:type="dxa"/>
        </w:tblCellMar>
      </w:tblPr>
      <w:tblGrid>
        <w:gridCol w:w="3016"/>
        <w:gridCol w:w="826"/>
        <w:gridCol w:w="109"/>
        <w:gridCol w:w="736"/>
        <w:gridCol w:w="109"/>
        <w:gridCol w:w="736"/>
        <w:gridCol w:w="109"/>
        <w:gridCol w:w="631"/>
        <w:gridCol w:w="109"/>
        <w:gridCol w:w="826"/>
        <w:gridCol w:w="109"/>
        <w:gridCol w:w="736"/>
        <w:gridCol w:w="109"/>
        <w:gridCol w:w="736"/>
        <w:gridCol w:w="109"/>
        <w:gridCol w:w="676"/>
      </w:tblGrid>
      <w:tr>
        <w:trPr/>
        <w:tc>
          <w:tcPr>
            <w:tcW w:w="301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sz w:val="4"/>
                <w:szCs w:val="4"/>
              </w:rPr>
            </w:pPr>
            <w:r>
              <w:rPr>
                <w:sz w:val="4"/>
                <w:szCs w:val="4"/>
              </w:rPr>
            </w:r>
          </w:p>
        </w:tc>
        <w:tc>
          <w:tcPr>
            <w:tcW w:w="3256"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As of March 31, 2026</w:t>
            </w:r>
          </w:p>
        </w:tc>
        <w:tc>
          <w:tcPr>
            <w:tcW w:w="109" w:type="dxa"/>
            <w:tcBorders/>
            <w:vAlign w:val="center"/>
          </w:tcPr>
          <w:p>
            <w:pPr>
              <w:pStyle w:val="TableContents"/>
              <w:bidi w:val="0"/>
              <w:spacing w:before="0" w:after="283"/>
              <w:jc w:val="left"/>
              <w:rPr>
                <w:sz w:val="4"/>
                <w:szCs w:val="4"/>
              </w:rPr>
            </w:pPr>
            <w:r>
              <w:rPr>
                <w:sz w:val="4"/>
                <w:szCs w:val="4"/>
              </w:rPr>
            </w:r>
          </w:p>
        </w:tc>
        <w:tc>
          <w:tcPr>
            <w:tcW w:w="3301"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As of December 31, 2025</w:t>
            </w:r>
          </w:p>
        </w:tc>
      </w:tr>
      <w:tr>
        <w:trPr/>
        <w:tc>
          <w:tcPr>
            <w:tcW w:w="3016"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 Hierarchy</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 Hierarchy</w:t>
            </w:r>
          </w:p>
        </w:tc>
      </w:tr>
      <w:tr>
        <w:trPr/>
        <w:tc>
          <w:tcPr>
            <w:tcW w:w="3016"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3</w:t>
            </w:r>
          </w:p>
        </w:tc>
      </w:tr>
      <w:tr>
        <w:trPr/>
        <w:tc>
          <w:tcPr>
            <w:tcW w:w="3016"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sz w:val="4"/>
                <w:szCs w:val="4"/>
              </w:rPr>
            </w:pPr>
            <w:r>
              <w:rPr>
                <w:sz w:val="4"/>
                <w:szCs w:val="4"/>
              </w:rPr>
            </w:r>
          </w:p>
        </w:tc>
        <w:tc>
          <w:tcPr>
            <w:tcW w:w="6666" w:type="dxa"/>
            <w:gridSpan w:val="15"/>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 millions)</w:t>
            </w:r>
          </w:p>
        </w:tc>
      </w:tr>
      <w:tr>
        <w:trPr/>
        <w:tc>
          <w:tcPr>
            <w:tcW w:w="9682" w:type="dxa"/>
            <w:gridSpan w:val="16"/>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Financial instruments carried at fair value (asset positions):</w:t>
            </w:r>
          </w:p>
        </w:tc>
      </w:tr>
      <w:tr>
        <w:trPr/>
        <w:tc>
          <w:tcPr>
            <w:tcW w:w="30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Cash equivalents</w:t>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$2,569.8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$1,312.8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$1,257.0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$2,779.1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$1,770.7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$1,008.4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r>
      <w:tr>
        <w:trPr/>
        <w:tc>
          <w:tcPr>
            <w:tcW w:w="30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Marketable securities:</w:t>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Corporate equity securities</w:t>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U.S. Treasury securities</w:t>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1,744.8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1,744.8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1,864.9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1,864.9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U.S. government agency securities</w:t>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208.2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208.2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Asset-backed securities</w:t>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1,293.6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1,293.6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1,357.0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1,357.0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Certificates of deposit</w:t>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Corporate debt securities</w:t>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4,170.5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4,170.5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3,693.9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3,693.9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Commercial paper</w:t>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29.6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29.6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Prepaid expenses and other current assets:</w:t>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Foreign currency forward contracts</w:t>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assets:</w:t>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Foreign currency forward contracts</w:t>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financial assets</w:t>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$10,149.0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$3,078.0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$7,071.0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$10,033.6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$3,652.2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$6,381.4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r>
      <w:tr>
        <w:trPr/>
        <w:tc>
          <w:tcPr>
            <w:tcW w:w="301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2" w:type="dxa"/>
            <w:gridSpan w:val="16"/>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Financial instruments carried at fair value (liability positions):</w:t>
            </w:r>
          </w:p>
        </w:tc>
      </w:tr>
      <w:tr>
        <w:trPr/>
        <w:tc>
          <w:tcPr>
            <w:tcW w:w="30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current liabilities:</w:t>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r>
      <w:tr>
        <w:trPr/>
        <w:tc>
          <w:tcPr>
            <w:tcW w:w="30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Foreign currency forward contracts</w:t>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r>
      <w:tr>
        <w:trPr/>
        <w:tc>
          <w:tcPr>
            <w:tcW w:w="30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long-term liabilities:</w:t>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r>
      <w:tr>
        <w:trPr/>
        <w:tc>
          <w:tcPr>
            <w:tcW w:w="30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Foreign currency forward contracts</w:t>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Contingent consideration</w:t>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(79.0)</w:t>
            </w:r>
          </w:p>
        </w:tc>
      </w:tr>
      <w:tr>
        <w:trPr/>
        <w:tc>
          <w:tcPr>
            <w:tcW w:w="30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financial liabilities</w:t>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$(79.0)</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Please refer to Note E, “Marketable Securities and Equity Investments,”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carrying amount and related unrealized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gains (losses) by type of investment. Our cash equivalents primarily include money market funds, commercial paper,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time deposits.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Fair Value of Corporate Equity Securities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 classify our investments in publicly traded corporate equity securities as “Marketable securities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on our condensed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consolidated balance sheets. Generally, our investments in the common stock of publicly traded companies are valued based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on Level 1 inputs because they have readily determinable fair values.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Please refer to Note E, “Marketable Securities and Equity Investments,”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further information on these investments.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Fair Value of Contingent Consideration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 Level 3 contingent consideration liabilities of $79.2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are related to $678.3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development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regulatory milestones potentially payable to former equity holders of a privately-held company we acquired in 2019. We base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estimates of the probability of achieving the milestones relevant to the fair value of contingent payments on industry data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attributable to gene therapies and our knowledge of the progress and viability of the associated Duchenne muscular dystrophy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programs. The discount rates used in the valuation model for contingent payments, which were between 4.4%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4.6%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March 31, 2026, represent a measure of credit risk and market risk associated with settling the liabilities. Significant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judgment is used in determining the appropriateness of these assumptions at each reporting period.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(unaudited)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represents a rollforward of the fair value of our contingent consideration liabilities:</w:t>
      </w:r>
    </w:p>
    <w:tbl>
      <w:tblPr>
        <w:tblW w:w="5747" w:type="dxa"/>
        <w:jc w:val="left"/>
        <w:tblInd w:w="0" w:type="dxa"/>
        <w:tblLayout w:type="fixed"/>
        <w:tblCellMar>
          <w:top w:w="28" w:type="dxa"/>
          <w:left w:w="28" w:type="dxa"/>
          <w:bottom w:w="28" w:type="dxa"/>
          <w:right w:w="28" w:type="dxa"/>
        </w:tblCellMar>
      </w:tblPr>
      <w:tblGrid>
        <w:gridCol w:w="3781"/>
        <w:gridCol w:w="1966"/>
      </w:tblGrid>
      <w:tr>
        <w:trPr/>
        <w:tc>
          <w:tcPr>
            <w:tcW w:w="3781"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3781" w:type="dxa"/>
            <w:tcBorders/>
            <w:vAlign w:val="center"/>
          </w:tcPr>
          <w:p>
            <w:pPr>
              <w:pStyle w:val="TableContents"/>
              <w:bidi w:val="0"/>
              <w:spacing w:before="0" w:after="283"/>
              <w:jc w:val="left"/>
              <w:rPr>
                <w:sz w:val="4"/>
                <w:szCs w:val="4"/>
              </w:rPr>
            </w:pPr>
            <w:r>
              <w:rPr>
                <w:sz w:val="4"/>
                <w:szCs w:val="4"/>
              </w:rPr>
            </w:r>
          </w:p>
        </w:tc>
        <w:tc>
          <w:tcPr>
            <w:tcW w:w="196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March 31, 2026</w:t>
            </w:r>
          </w:p>
        </w:tc>
      </w:tr>
      <w:tr>
        <w:trPr/>
        <w:tc>
          <w:tcPr>
            <w:tcW w:w="3781" w:type="dxa"/>
            <w:tcBorders/>
            <w:shd w:fill="FFFFFF" w:val="clear"/>
            <w:vAlign w:val="center"/>
          </w:tcPr>
          <w:p>
            <w:pPr>
              <w:pStyle w:val="TableContents"/>
              <w:bidi w:val="0"/>
              <w:spacing w:before="0" w:after="283"/>
              <w:jc w:val="left"/>
              <w:rPr>
                <w:sz w:val="4"/>
                <w:szCs w:val="4"/>
              </w:rPr>
            </w:pPr>
            <w:r>
              <w:rPr>
                <w:sz w:val="4"/>
                <w:szCs w:val="4"/>
              </w:rPr>
            </w:r>
          </w:p>
        </w:tc>
        <w:tc>
          <w:tcPr>
            <w:tcW w:w="196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37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Balance at December 31, 2025</w:t>
            </w:r>
          </w:p>
        </w:tc>
        <w:tc>
          <w:tcPr>
            <w:tcW w:w="19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$79.0</w:t>
            </w:r>
          </w:p>
        </w:tc>
      </w:tr>
      <w:tr>
        <w:trPr/>
        <w:tc>
          <w:tcPr>
            <w:tcW w:w="378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Increase</w:t>
            </w:r>
            <w:r>
              <w:rPr>
                <w:caps w:val="false"/>
                <w:smallCaps w:val="false"/>
                <w:sz w:val="24"/>
              </w:rPr>
              <w:t xml:space="preserve"> </w:t>
            </w:r>
            <w:r>
              <w:rPr>
                <w:rFonts w:ascii="Times New Roman;serif" w:hAnsi="Times New Roman;serif"/>
                <w:b w:val="false"/>
                <w:i w:val="false"/>
                <w:caps w:val="false"/>
                <w:smallCaps w:val="false"/>
                <w:sz w:val="20"/>
              </w:rPr>
              <w:t>in fair value of contingent payments</w:t>
            </w:r>
          </w:p>
        </w:tc>
        <w:tc>
          <w:tcPr>
            <w:tcW w:w="196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r>
      <w:tr>
        <w:trPr/>
        <w:tc>
          <w:tcPr>
            <w:tcW w:w="37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Balance at March 31, 2026</w:t>
            </w:r>
          </w:p>
        </w:tc>
        <w:tc>
          <w:tcPr>
            <w:tcW w:w="196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$79.2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E.Marketable Securities and Equity Investments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 summary of our cash equivalents and marketable debt and equity securities, which are recorded at fair value, is shown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below:</w:t>
      </w:r>
    </w:p>
    <w:tbl>
      <w:tblPr>
        <w:tblW w:w="10205" w:type="dxa"/>
        <w:jc w:val="left"/>
        <w:tblInd w:w="0" w:type="dxa"/>
        <w:tblLayout w:type="fixed"/>
        <w:tblCellMar>
          <w:top w:w="28" w:type="dxa"/>
          <w:left w:w="28" w:type="dxa"/>
          <w:bottom w:w="28" w:type="dxa"/>
          <w:right w:w="28" w:type="dxa"/>
        </w:tblCellMar>
      </w:tblPr>
      <w:tblGrid>
        <w:gridCol w:w="2240"/>
        <w:gridCol w:w="907"/>
        <w:gridCol w:w="109"/>
        <w:gridCol w:w="922"/>
        <w:gridCol w:w="109"/>
        <w:gridCol w:w="922"/>
        <w:gridCol w:w="109"/>
        <w:gridCol w:w="826"/>
        <w:gridCol w:w="109"/>
        <w:gridCol w:w="907"/>
        <w:gridCol w:w="109"/>
        <w:gridCol w:w="922"/>
        <w:gridCol w:w="109"/>
        <w:gridCol w:w="922"/>
        <w:gridCol w:w="109"/>
        <w:gridCol w:w="874"/>
      </w:tblGrid>
      <w:tr>
        <w:trPr/>
        <w:tc>
          <w:tcPr>
            <w:tcW w:w="224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2240" w:type="dxa"/>
            <w:tcBorders/>
            <w:vAlign w:val="center"/>
          </w:tcPr>
          <w:p>
            <w:pPr>
              <w:pStyle w:val="TableContents"/>
              <w:bidi w:val="0"/>
              <w:spacing w:before="0" w:after="283"/>
              <w:jc w:val="left"/>
              <w:rPr>
                <w:sz w:val="4"/>
                <w:szCs w:val="4"/>
              </w:rPr>
            </w:pPr>
            <w:r>
              <w:rPr>
                <w:sz w:val="4"/>
                <w:szCs w:val="4"/>
              </w:rPr>
            </w:r>
          </w:p>
        </w:tc>
        <w:tc>
          <w:tcPr>
            <w:tcW w:w="3904"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As of March 31, 2026</w:t>
            </w:r>
          </w:p>
        </w:tc>
        <w:tc>
          <w:tcPr>
            <w:tcW w:w="109" w:type="dxa"/>
            <w:tcBorders/>
            <w:vAlign w:val="center"/>
          </w:tcPr>
          <w:p>
            <w:pPr>
              <w:pStyle w:val="TableContents"/>
              <w:bidi w:val="0"/>
              <w:spacing w:before="0" w:after="283"/>
              <w:jc w:val="left"/>
              <w:rPr>
                <w:sz w:val="4"/>
                <w:szCs w:val="4"/>
              </w:rPr>
            </w:pPr>
            <w:r>
              <w:rPr>
                <w:sz w:val="4"/>
                <w:szCs w:val="4"/>
              </w:rPr>
            </w:r>
          </w:p>
        </w:tc>
        <w:tc>
          <w:tcPr>
            <w:tcW w:w="3952"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As of December 31, 2025</w:t>
            </w:r>
          </w:p>
        </w:tc>
      </w:tr>
      <w:tr>
        <w:trPr/>
        <w:tc>
          <w:tcPr>
            <w:tcW w:w="2240" w:type="dxa"/>
            <w:tcBorders/>
            <w:vAlign w:val="center"/>
          </w:tcPr>
          <w:p>
            <w:pPr>
              <w:pStyle w:val="TableContents"/>
              <w:bidi w:val="0"/>
              <w:spacing w:before="0" w:after="283"/>
              <w:jc w:val="left"/>
              <w:rPr>
                <w:sz w:val="4"/>
                <w:szCs w:val="4"/>
              </w:rPr>
            </w:pPr>
            <w:r>
              <w:rPr>
                <w:sz w:val="4"/>
                <w:szCs w:val="4"/>
              </w:rPr>
            </w:r>
          </w:p>
        </w:tc>
        <w:tc>
          <w:tcPr>
            <w:tcW w:w="907"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Amortized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Cost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Gross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Unrealized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Gains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Gross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Unrealized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Losses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Fair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Value</w:t>
            </w:r>
          </w:p>
        </w:tc>
        <w:tc>
          <w:tcPr>
            <w:tcW w:w="109" w:type="dxa"/>
            <w:tcBorders/>
            <w:vAlign w:val="center"/>
          </w:tcPr>
          <w:p>
            <w:pPr>
              <w:pStyle w:val="TableContents"/>
              <w:bidi w:val="0"/>
              <w:spacing w:before="0" w:after="283"/>
              <w:jc w:val="left"/>
              <w:rPr>
                <w:sz w:val="4"/>
                <w:szCs w:val="4"/>
              </w:rPr>
            </w:pPr>
            <w:r>
              <w:rPr>
                <w:sz w:val="4"/>
                <w:szCs w:val="4"/>
              </w:rPr>
            </w:r>
          </w:p>
        </w:tc>
        <w:tc>
          <w:tcPr>
            <w:tcW w:w="907"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Amortized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Cost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Gross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Unrealized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Gains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Gross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Unrealized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Losses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Fair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Value</w:t>
            </w:r>
          </w:p>
        </w:tc>
      </w:tr>
      <w:tr>
        <w:trPr/>
        <w:tc>
          <w:tcPr>
            <w:tcW w:w="2240" w:type="dxa"/>
            <w:tcBorders/>
            <w:vAlign w:val="center"/>
          </w:tcPr>
          <w:p>
            <w:pPr>
              <w:pStyle w:val="TableContents"/>
              <w:bidi w:val="0"/>
              <w:spacing w:before="0" w:after="283"/>
              <w:jc w:val="left"/>
              <w:rPr>
                <w:sz w:val="4"/>
                <w:szCs w:val="4"/>
              </w:rPr>
            </w:pPr>
            <w:r>
              <w:rPr>
                <w:sz w:val="4"/>
                <w:szCs w:val="4"/>
              </w:rPr>
            </w:r>
          </w:p>
        </w:tc>
        <w:tc>
          <w:tcPr>
            <w:tcW w:w="90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tcBorders/>
            <w:vAlign w:val="center"/>
          </w:tcPr>
          <w:p>
            <w:pPr>
              <w:pStyle w:val="TableContents"/>
              <w:bidi w:val="0"/>
              <w:spacing w:before="0" w:after="283"/>
              <w:jc w:val="left"/>
              <w:rPr>
                <w:sz w:val="4"/>
                <w:szCs w:val="4"/>
              </w:rPr>
            </w:pPr>
            <w:r>
              <w:rPr>
                <w:sz w:val="4"/>
                <w:szCs w:val="4"/>
              </w:rPr>
            </w:r>
          </w:p>
        </w:tc>
        <w:tc>
          <w:tcPr>
            <w:tcW w:w="7965" w:type="dxa"/>
            <w:gridSpan w:val="15"/>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 millions)</w:t>
            </w:r>
          </w:p>
        </w:tc>
      </w:tr>
      <w:tr>
        <w:trPr/>
        <w:tc>
          <w:tcPr>
            <w:tcW w:w="224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Cash equivalents</w:t>
            </w:r>
          </w:p>
        </w:tc>
        <w:tc>
          <w:tcPr>
            <w:tcW w:w="907"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$2,569.8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$2,569.8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7"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$2,779.1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$2,779.1</w:t>
            </w:r>
          </w:p>
        </w:tc>
      </w:tr>
      <w:tr>
        <w:trPr/>
        <w:tc>
          <w:tcPr>
            <w:tcW w:w="224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Marketable securities:</w:t>
            </w:r>
          </w:p>
        </w:tc>
        <w:tc>
          <w:tcPr>
            <w:tcW w:w="90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4" w:type="dxa"/>
            <w:tcBorders/>
            <w:shd w:fill="FFFFFF" w:val="clear"/>
            <w:vAlign w:val="center"/>
          </w:tcPr>
          <w:p>
            <w:pPr>
              <w:pStyle w:val="TableContents"/>
              <w:bidi w:val="0"/>
              <w:spacing w:before="0" w:after="283"/>
              <w:jc w:val="left"/>
              <w:rPr>
                <w:sz w:val="4"/>
                <w:szCs w:val="4"/>
              </w:rPr>
            </w:pPr>
            <w:r>
              <w:rPr>
                <w:sz w:val="4"/>
                <w:szCs w:val="4"/>
              </w:rPr>
            </w:r>
          </w:p>
        </w:tc>
      </w:tr>
      <w:tr>
        <w:trPr/>
        <w:tc>
          <w:tcPr>
            <w:tcW w:w="224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U.S. Treasury securities</w:t>
            </w:r>
          </w:p>
        </w:tc>
        <w:tc>
          <w:tcPr>
            <w:tcW w:w="907"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1,744.9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1,744.8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7"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1,852.9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1,864.9</w:t>
            </w:r>
          </w:p>
        </w:tc>
      </w:tr>
      <w:tr>
        <w:trPr/>
        <w:tc>
          <w:tcPr>
            <w:tcW w:w="224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U.S. government agency securities</w:t>
            </w:r>
          </w:p>
        </w:tc>
        <w:tc>
          <w:tcPr>
            <w:tcW w:w="907"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208.2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7"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4"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262.4</w:t>
            </w:r>
          </w:p>
        </w:tc>
      </w:tr>
      <w:tr>
        <w:trPr/>
        <w:tc>
          <w:tcPr>
            <w:tcW w:w="224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Asset-backed securities</w:t>
            </w:r>
          </w:p>
        </w:tc>
        <w:tc>
          <w:tcPr>
            <w:tcW w:w="907"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1,293.2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1,293.6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7"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1,351.1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1,357.0</w:t>
            </w:r>
          </w:p>
        </w:tc>
      </w:tr>
      <w:tr>
        <w:trPr/>
        <w:tc>
          <w:tcPr>
            <w:tcW w:w="224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Certificates of deposit</w:t>
            </w:r>
          </w:p>
        </w:tc>
        <w:tc>
          <w:tcPr>
            <w:tcW w:w="907"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7"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4"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26.2</w:t>
            </w:r>
          </w:p>
        </w:tc>
      </w:tr>
      <w:tr>
        <w:trPr/>
        <w:tc>
          <w:tcPr>
            <w:tcW w:w="224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Corporate debt securities</w:t>
            </w:r>
          </w:p>
        </w:tc>
        <w:tc>
          <w:tcPr>
            <w:tcW w:w="907"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4,167.5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4,170.5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7"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3,669.3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3,693.9</w:t>
            </w:r>
          </w:p>
        </w:tc>
      </w:tr>
      <w:tr>
        <w:trPr/>
        <w:tc>
          <w:tcPr>
            <w:tcW w:w="224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Commercial paper</w:t>
            </w:r>
          </w:p>
        </w:tc>
        <w:tc>
          <w:tcPr>
            <w:tcW w:w="907"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29.6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29.6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7"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4"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14.6</w:t>
            </w:r>
          </w:p>
        </w:tc>
      </w:tr>
      <w:tr>
        <w:trPr/>
        <w:tc>
          <w:tcPr>
            <w:tcW w:w="224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marketable available-for-</w:t>
            </w:r>
          </w:p>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sale debt securities</w:t>
            </w:r>
          </w:p>
        </w:tc>
        <w:tc>
          <w:tcPr>
            <w:tcW w:w="907"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7,479.6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7,483.3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7"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7,175.3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4"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7,219.0</w:t>
            </w:r>
          </w:p>
        </w:tc>
      </w:tr>
      <w:tr>
        <w:trPr/>
        <w:tc>
          <w:tcPr>
            <w:tcW w:w="224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Corporate equity securities </w:t>
            </w:r>
          </w:p>
        </w:tc>
        <w:tc>
          <w:tcPr>
            <w:tcW w:w="907"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7"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4"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16.6</w:t>
            </w:r>
          </w:p>
        </w:tc>
      </w:tr>
      <w:tr>
        <w:trPr/>
        <w:tc>
          <w:tcPr>
            <w:tcW w:w="224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marketable securities</w:t>
            </w:r>
          </w:p>
        </w:tc>
        <w:tc>
          <w:tcPr>
            <w:tcW w:w="907"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7,504.6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7,503.7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7"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7,200.3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4"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7,235.6</w:t>
            </w:r>
          </w:p>
        </w:tc>
      </w:tr>
      <w:tr>
        <w:trPr/>
        <w:tc>
          <w:tcPr>
            <w:tcW w:w="224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Total cash equivalents and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marketable securities</w:t>
            </w:r>
          </w:p>
        </w:tc>
        <w:tc>
          <w:tcPr>
            <w:tcW w:w="907"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$10,074.4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$10,073.5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7"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$9,979.4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$10,014.7</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Amounts in the table above at fair value were classified on our condensed consolidated balance sheets as follows:</w:t>
      </w:r>
    </w:p>
    <w:tbl>
      <w:tblPr>
        <w:tblW w:w="6982" w:type="dxa"/>
        <w:jc w:val="left"/>
        <w:tblInd w:w="0" w:type="dxa"/>
        <w:tblLayout w:type="fixed"/>
        <w:tblCellMar>
          <w:top w:w="28" w:type="dxa"/>
          <w:left w:w="28" w:type="dxa"/>
          <w:bottom w:w="28" w:type="dxa"/>
          <w:right w:w="28" w:type="dxa"/>
        </w:tblCellMar>
      </w:tblPr>
      <w:tblGrid>
        <w:gridCol w:w="2731"/>
        <w:gridCol w:w="1906"/>
        <w:gridCol w:w="109"/>
        <w:gridCol w:w="2236"/>
      </w:tblGrid>
      <w:tr>
        <w:trPr/>
        <w:tc>
          <w:tcPr>
            <w:tcW w:w="2731"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2731" w:type="dxa"/>
            <w:tcBorders/>
            <w:vAlign w:val="center"/>
          </w:tcPr>
          <w:p>
            <w:pPr>
              <w:pStyle w:val="TableContents"/>
              <w:bidi w:val="0"/>
              <w:spacing w:before="0" w:after="283"/>
              <w:jc w:val="left"/>
              <w:rPr>
                <w:sz w:val="4"/>
                <w:szCs w:val="4"/>
              </w:rPr>
            </w:pPr>
            <w:r>
              <w:rPr>
                <w:sz w:val="4"/>
                <w:szCs w:val="4"/>
              </w:rPr>
            </w:r>
          </w:p>
        </w:tc>
        <w:tc>
          <w:tcPr>
            <w:tcW w:w="190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March 31, 2026</w:t>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December 31, 2025</w:t>
            </w:r>
          </w:p>
        </w:tc>
      </w:tr>
      <w:tr>
        <w:trPr/>
        <w:tc>
          <w:tcPr>
            <w:tcW w:w="2731" w:type="dxa"/>
            <w:tcBorders/>
            <w:vAlign w:val="center"/>
          </w:tcPr>
          <w:p>
            <w:pPr>
              <w:pStyle w:val="TableContents"/>
              <w:bidi w:val="0"/>
              <w:spacing w:before="0" w:after="283"/>
              <w:jc w:val="left"/>
              <w:rPr>
                <w:sz w:val="4"/>
                <w:szCs w:val="4"/>
              </w:rPr>
            </w:pPr>
            <w:r>
              <w:rPr>
                <w:sz w:val="4"/>
                <w:szCs w:val="4"/>
              </w:rPr>
            </w:r>
          </w:p>
        </w:tc>
        <w:tc>
          <w:tcPr>
            <w:tcW w:w="19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tcBorders/>
            <w:vAlign w:val="center"/>
          </w:tcPr>
          <w:p>
            <w:pPr>
              <w:pStyle w:val="TableContents"/>
              <w:bidi w:val="0"/>
              <w:spacing w:before="0" w:after="283"/>
              <w:jc w:val="left"/>
              <w:rPr>
                <w:sz w:val="4"/>
                <w:szCs w:val="4"/>
              </w:rPr>
            </w:pPr>
            <w:r>
              <w:rPr>
                <w:sz w:val="4"/>
                <w:szCs w:val="4"/>
              </w:rPr>
            </w:r>
          </w:p>
        </w:tc>
        <w:tc>
          <w:tcPr>
            <w:tcW w:w="4251" w:type="dxa"/>
            <w:gridSpan w:val="3"/>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27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Cash and cash equivalents</w:t>
            </w:r>
          </w:p>
        </w:tc>
        <w:tc>
          <w:tcPr>
            <w:tcW w:w="19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$2,569.8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$2,779.1</w:t>
            </w:r>
          </w:p>
        </w:tc>
      </w:tr>
      <w:tr>
        <w:trPr/>
        <w:tc>
          <w:tcPr>
            <w:tcW w:w="27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Marketable securities</w:t>
            </w:r>
          </w:p>
        </w:tc>
        <w:tc>
          <w:tcPr>
            <w:tcW w:w="19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1,753.8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1,523.3</w:t>
            </w:r>
          </w:p>
        </w:tc>
      </w:tr>
      <w:tr>
        <w:trPr/>
        <w:tc>
          <w:tcPr>
            <w:tcW w:w="27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Long-term marketable securities</w:t>
            </w:r>
          </w:p>
        </w:tc>
        <w:tc>
          <w:tcPr>
            <w:tcW w:w="190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5,749.9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5,712.3</w:t>
            </w:r>
          </w:p>
        </w:tc>
      </w:tr>
      <w:tr>
        <w:trPr/>
        <w:tc>
          <w:tcPr>
            <w:tcW w:w="27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190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$10,073.5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$10,014.7</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Marketable available-for-sale debt securities by contractual maturity were as follows:</w:t>
      </w:r>
    </w:p>
    <w:tbl>
      <w:tblPr>
        <w:tblW w:w="7687" w:type="dxa"/>
        <w:jc w:val="left"/>
        <w:tblInd w:w="0" w:type="dxa"/>
        <w:tblLayout w:type="fixed"/>
        <w:tblCellMar>
          <w:top w:w="28" w:type="dxa"/>
          <w:left w:w="28" w:type="dxa"/>
          <w:bottom w:w="28" w:type="dxa"/>
          <w:right w:w="28" w:type="dxa"/>
        </w:tblCellMar>
      </w:tblPr>
      <w:tblGrid>
        <w:gridCol w:w="3436"/>
        <w:gridCol w:w="1906"/>
        <w:gridCol w:w="109"/>
        <w:gridCol w:w="2236"/>
      </w:tblGrid>
      <w:tr>
        <w:trPr/>
        <w:tc>
          <w:tcPr>
            <w:tcW w:w="343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283"/>
              <w:jc w:val="left"/>
              <w:rPr>
                <w:sz w:val="4"/>
                <w:szCs w:val="4"/>
              </w:rPr>
            </w:pPr>
            <w:r>
              <w:rPr>
                <w:sz w:val="4"/>
                <w:szCs w:val="4"/>
              </w:rPr>
            </w:r>
          </w:p>
        </w:tc>
        <w:tc>
          <w:tcPr>
            <w:tcW w:w="190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March 31, 2026</w:t>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December 31, 2025</w:t>
            </w:r>
          </w:p>
        </w:tc>
      </w:tr>
      <w:tr>
        <w:trPr/>
        <w:tc>
          <w:tcPr>
            <w:tcW w:w="3436" w:type="dxa"/>
            <w:tcBorders/>
            <w:vAlign w:val="center"/>
          </w:tcPr>
          <w:p>
            <w:pPr>
              <w:pStyle w:val="TableContents"/>
              <w:bidi w:val="0"/>
              <w:spacing w:before="0" w:after="283"/>
              <w:jc w:val="left"/>
              <w:rPr>
                <w:sz w:val="4"/>
                <w:szCs w:val="4"/>
              </w:rPr>
            </w:pPr>
            <w:r>
              <w:rPr>
                <w:sz w:val="4"/>
                <w:szCs w:val="4"/>
              </w:rPr>
            </w:r>
          </w:p>
        </w:tc>
        <w:tc>
          <w:tcPr>
            <w:tcW w:w="19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283"/>
              <w:jc w:val="left"/>
              <w:rPr>
                <w:sz w:val="4"/>
                <w:szCs w:val="4"/>
              </w:rPr>
            </w:pPr>
            <w:r>
              <w:rPr>
                <w:sz w:val="4"/>
                <w:szCs w:val="4"/>
              </w:rPr>
            </w:r>
          </w:p>
        </w:tc>
        <w:tc>
          <w:tcPr>
            <w:tcW w:w="4251" w:type="dxa"/>
            <w:gridSpan w:val="3"/>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3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Matures within one year</w:t>
            </w:r>
          </w:p>
        </w:tc>
        <w:tc>
          <w:tcPr>
            <w:tcW w:w="19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$1,733.4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$1,506.7</w:t>
            </w:r>
          </w:p>
        </w:tc>
      </w:tr>
      <w:tr>
        <w:trPr/>
        <w:tc>
          <w:tcPr>
            <w:tcW w:w="3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Matures after one year through five years</w:t>
            </w:r>
          </w:p>
        </w:tc>
        <w:tc>
          <w:tcPr>
            <w:tcW w:w="19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5,669.5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5,595.8</w:t>
            </w:r>
          </w:p>
        </w:tc>
      </w:tr>
      <w:tr>
        <w:trPr/>
        <w:tc>
          <w:tcPr>
            <w:tcW w:w="3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Matures after five years</w:t>
            </w:r>
          </w:p>
        </w:tc>
        <w:tc>
          <w:tcPr>
            <w:tcW w:w="190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116.5</w:t>
            </w:r>
          </w:p>
        </w:tc>
      </w:tr>
      <w:tr>
        <w:trPr/>
        <w:tc>
          <w:tcPr>
            <w:tcW w:w="3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190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$7,483.3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$7,219.0</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did not record any allowances for credit losses to adjust the fair value of our marketable available-for-sale debt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securities during the three months ended March 31,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2025. Additionally, we did not record any realized gains 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losses that were material to our condensed consolidated statements of income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during the three months ended March 31, 2026</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2025. As of March 31, 2026, we held marketable available-for-sale debt securities with a total fair value of $3.4 billion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that were in unrealized loss positions totaling $13.2 million. Included in this amount were marketable available-for sale debt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securities with a total fair value of $8.4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total unrealized loss of $0.1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that had been in unrealized loss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(unaudited)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positions for greater than twelve months. We intend to hold these investments until maturity and do not expect to incur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realized losses on these investments when they mature.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record changes in the fair value of our investments in corporate equity securities to “Other expense, net” in our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condensed consolidated statements of income. During the three months ended March 31,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2025, our net unrealized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gains (losses)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on corporate equity securities with readily determinable fair values held at the conclusion of each period were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as follows:</w:t>
      </w:r>
    </w:p>
    <w:tbl>
      <w:tblPr>
        <w:tblW w:w="5266" w:type="dxa"/>
        <w:jc w:val="left"/>
        <w:tblInd w:w="0" w:type="dxa"/>
        <w:tblLayout w:type="fixed"/>
        <w:tblCellMar>
          <w:top w:w="28" w:type="dxa"/>
          <w:left w:w="28" w:type="dxa"/>
          <w:bottom w:w="28" w:type="dxa"/>
          <w:right w:w="28" w:type="dxa"/>
        </w:tblCellMar>
      </w:tblPr>
      <w:tblGrid>
        <w:gridCol w:w="2431"/>
        <w:gridCol w:w="1088"/>
        <w:gridCol w:w="225"/>
        <w:gridCol w:w="1522"/>
      </w:tblGrid>
      <w:tr>
        <w:trPr/>
        <w:tc>
          <w:tcPr>
            <w:tcW w:w="243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283"/>
              <w:jc w:val="left"/>
              <w:rPr>
                <w:sz w:val="4"/>
                <w:szCs w:val="4"/>
              </w:rPr>
            </w:pPr>
            <w:r>
              <w:rPr>
                <w:sz w:val="4"/>
                <w:szCs w:val="4"/>
              </w:rPr>
            </w:r>
          </w:p>
        </w:tc>
        <w:tc>
          <w:tcPr>
            <w:tcW w:w="2835"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Three Months Ended March 31,</w:t>
            </w:r>
          </w:p>
        </w:tc>
      </w:tr>
      <w:tr>
        <w:trPr/>
        <w:tc>
          <w:tcPr>
            <w:tcW w:w="2431" w:type="dxa"/>
            <w:tcBorders/>
            <w:vAlign w:val="center"/>
          </w:tcPr>
          <w:p>
            <w:pPr>
              <w:pStyle w:val="TableContents"/>
              <w:bidi w:val="0"/>
              <w:spacing w:before="0" w:after="283"/>
              <w:jc w:val="left"/>
              <w:rPr>
                <w:sz w:val="4"/>
                <w:szCs w:val="4"/>
              </w:rPr>
            </w:pPr>
            <w:r>
              <w:rPr>
                <w:sz w:val="4"/>
                <w:szCs w:val="4"/>
              </w:rPr>
            </w:r>
          </w:p>
        </w:tc>
        <w:tc>
          <w:tcPr>
            <w:tcW w:w="1088"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22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2431" w:type="dxa"/>
            <w:tcBorders/>
            <w:vAlign w:val="center"/>
          </w:tcPr>
          <w:p>
            <w:pPr>
              <w:pStyle w:val="TableContents"/>
              <w:bidi w:val="0"/>
              <w:spacing w:before="0" w:after="283"/>
              <w:jc w:val="left"/>
              <w:rPr>
                <w:sz w:val="4"/>
                <w:szCs w:val="4"/>
              </w:rPr>
            </w:pPr>
            <w:r>
              <w:rPr>
                <w:sz w:val="4"/>
                <w:szCs w:val="4"/>
              </w:rPr>
            </w:r>
          </w:p>
        </w:tc>
        <w:tc>
          <w:tcPr>
            <w:tcW w:w="10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52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c>
          <w:tcPr>
            <w:tcW w:w="2835" w:type="dxa"/>
            <w:gridSpan w:val="3"/>
            <w:tcBorders/>
            <w:vAlign w:val="center"/>
          </w:tcPr>
          <w:p>
            <w:pPr>
              <w:pStyle w:val="TableContents"/>
              <w:bidi w:val="0"/>
              <w:spacing w:before="0" w:after="283"/>
              <w:jc w:val="left"/>
              <w:rPr>
                <w:sz w:val="4"/>
                <w:szCs w:val="4"/>
              </w:rPr>
            </w:pPr>
            <w:r>
              <w:rPr>
                <w:sz w:val="4"/>
                <w:szCs w:val="4"/>
              </w:rPr>
            </w:r>
          </w:p>
        </w:tc>
      </w:tr>
      <w:tr>
        <w:trPr/>
        <w:tc>
          <w:tcPr>
            <w:tcW w:w="24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Net unrealized gains (losses)</w:t>
            </w:r>
          </w:p>
        </w:tc>
        <w:tc>
          <w:tcPr>
            <w:tcW w:w="108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w:t>
            </w:r>
          </w:p>
        </w:tc>
        <w:tc>
          <w:tcPr>
            <w:tcW w:w="225" w:type="dxa"/>
            <w:tcBorders/>
            <w:shd w:fill="CCEEFF" w:val="clear"/>
            <w:vAlign w:val="center"/>
          </w:tcPr>
          <w:p>
            <w:pPr>
              <w:pStyle w:val="TableContents"/>
              <w:bidi w:val="0"/>
              <w:spacing w:before="0" w:after="283"/>
              <w:jc w:val="left"/>
              <w:rPr>
                <w:sz w:val="4"/>
                <w:szCs w:val="4"/>
              </w:rPr>
            </w:pPr>
            <w:r>
              <w:rPr>
                <w:sz w:val="4"/>
                <w:szCs w:val="4"/>
              </w:rPr>
            </w:r>
          </w:p>
        </w:tc>
        <w:tc>
          <w:tcPr>
            <w:tcW w:w="152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$(15.0)</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March 31,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December 31, 2025, the carrying value of our equity investments without readily determinable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fair values, which are recorded in “Other assets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on our condensed consolidated balance sheets was $81.5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F.Accumulated Other Comprehensive Income (Loss)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summarizes the changes in accumulated other comprehensive income (loss) (“AOCI”) by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component:</w:t>
      </w:r>
    </w:p>
    <w:tbl>
      <w:tblPr>
        <w:tblW w:w="9122" w:type="dxa"/>
        <w:jc w:val="left"/>
        <w:tblInd w:w="0" w:type="dxa"/>
        <w:tblLayout w:type="fixed"/>
        <w:tblCellMar>
          <w:top w:w="28" w:type="dxa"/>
          <w:left w:w="28" w:type="dxa"/>
          <w:bottom w:w="28" w:type="dxa"/>
          <w:right w:w="28" w:type="dxa"/>
        </w:tblCellMar>
      </w:tblPr>
      <w:tblGrid>
        <w:gridCol w:w="4456"/>
        <w:gridCol w:w="1156"/>
        <w:gridCol w:w="109"/>
        <w:gridCol w:w="1321"/>
        <w:gridCol w:w="109"/>
        <w:gridCol w:w="1126"/>
        <w:gridCol w:w="109"/>
        <w:gridCol w:w="736"/>
      </w:tblGrid>
      <w:tr>
        <w:trPr/>
        <w:tc>
          <w:tcPr>
            <w:tcW w:w="44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6"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Unrealized Holding Gains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(Losses), Net of Tax</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4456" w:type="dxa"/>
            <w:tcBorders/>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Foreign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Currency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Translation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Adjustment</w:t>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On Available-</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For-Sale Debt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Securities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On Foreign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Currency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Forward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Contracts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Total</w:t>
            </w:r>
          </w:p>
        </w:tc>
      </w:tr>
      <w:tr>
        <w:trPr/>
        <w:tc>
          <w:tcPr>
            <w:tcW w:w="4456" w:type="dxa"/>
            <w:tcBorders/>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tcBorders/>
            <w:vAlign w:val="center"/>
          </w:tcPr>
          <w:p>
            <w:pPr>
              <w:pStyle w:val="TableContents"/>
              <w:bidi w:val="0"/>
              <w:spacing w:before="0" w:after="283"/>
              <w:jc w:val="left"/>
              <w:rPr>
                <w:sz w:val="4"/>
                <w:szCs w:val="4"/>
              </w:rPr>
            </w:pPr>
            <w:r>
              <w:rPr>
                <w:sz w:val="4"/>
                <w:szCs w:val="4"/>
              </w:rPr>
            </w:r>
          </w:p>
        </w:tc>
        <w:tc>
          <w:tcPr>
            <w:tcW w:w="4666" w:type="dxa"/>
            <w:gridSpan w:val="7"/>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4456"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Balance at December 31, 2025</w:t>
            </w:r>
          </w:p>
        </w:tc>
        <w:tc>
          <w:tcPr>
            <w:tcW w:w="11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$(15.9)</w:t>
            </w:r>
          </w:p>
        </w:tc>
      </w:tr>
      <w:tr>
        <w:trPr/>
        <w:tc>
          <w:tcPr>
            <w:tcW w:w="4456" w:type="dxa"/>
            <w:tcBorders/>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Other comprehensive </w:t>
            </w:r>
            <w:r>
              <w:rPr>
                <w:rFonts w:ascii="Times New Roman;serif" w:hAnsi="Times New Roman;serif"/>
                <w:b w:val="false"/>
                <w:i w:val="false"/>
                <w:caps w:val="false"/>
                <w:smallCaps w:val="false"/>
                <w:strike w:val="false"/>
                <w:dstrike w:val="false"/>
                <w:sz w:val="20"/>
                <w:u w:val="none"/>
                <w:effect w:val="none"/>
              </w:rPr>
              <w:t>(loss) income</w:t>
            </w:r>
            <w:r>
              <w:rPr>
                <w:caps w:val="false"/>
                <w:smallCaps w:val="false"/>
                <w:sz w:val="24"/>
              </w:rPr>
              <w:t xml:space="preserve"> </w:t>
            </w:r>
            <w:r>
              <w:rPr>
                <w:rFonts w:ascii="Times New Roman;serif" w:hAnsi="Times New Roman;serif"/>
                <w:b w:val="false"/>
                <w:i w:val="false"/>
                <w:caps w:val="false"/>
                <w:smallCaps w:val="false"/>
                <w:sz w:val="20"/>
              </w:rPr>
              <w:t xml:space="preserve">before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reclassifications</w:t>
            </w:r>
          </w:p>
        </w:tc>
        <w:tc>
          <w:tcPr>
            <w:tcW w:w="11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22.7</w:t>
            </w:r>
          </w:p>
        </w:tc>
      </w:tr>
      <w:tr>
        <w:trPr/>
        <w:tc>
          <w:tcPr>
            <w:tcW w:w="44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Amounts reclassified from accumulated other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comprehensive income (loss)</w:t>
            </w:r>
          </w:p>
        </w:tc>
        <w:tc>
          <w:tcPr>
            <w:tcW w:w="115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18.0</w:t>
            </w:r>
          </w:p>
        </w:tc>
      </w:tr>
      <w:tr>
        <w:trPr/>
        <w:tc>
          <w:tcPr>
            <w:tcW w:w="4456" w:type="dxa"/>
            <w:tcBorders/>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Net current period other comprehensive </w:t>
            </w:r>
            <w:r>
              <w:rPr>
                <w:rFonts w:ascii="Times New Roman;serif" w:hAnsi="Times New Roman;serif"/>
                <w:b w:val="false"/>
                <w:i w:val="false"/>
                <w:caps w:val="false"/>
                <w:smallCaps w:val="false"/>
                <w:strike w:val="false"/>
                <w:dstrike w:val="false"/>
                <w:sz w:val="20"/>
                <w:u w:val="none"/>
                <w:effect w:val="none"/>
              </w:rPr>
              <w:t>(loss) income</w:t>
            </w:r>
          </w:p>
        </w:tc>
        <w:tc>
          <w:tcPr>
            <w:tcW w:w="115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84.9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40.7</w:t>
            </w:r>
          </w:p>
        </w:tc>
      </w:tr>
      <w:tr>
        <w:trPr/>
        <w:tc>
          <w:tcPr>
            <w:tcW w:w="4456"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Balance at March 31, 2026</w:t>
            </w:r>
          </w:p>
        </w:tc>
        <w:tc>
          <w:tcPr>
            <w:tcW w:w="115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$24.8</w:t>
            </w:r>
          </w:p>
        </w:tc>
      </w:tr>
      <w:tr>
        <w:trPr/>
        <w:tc>
          <w:tcPr>
            <w:tcW w:w="4456"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Balance at December 31, 2024</w:t>
            </w:r>
          </w:p>
        </w:tc>
        <w:tc>
          <w:tcPr>
            <w:tcW w:w="11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$127.8</w:t>
            </w:r>
          </w:p>
        </w:tc>
      </w:tr>
      <w:tr>
        <w:trPr/>
        <w:tc>
          <w:tcPr>
            <w:tcW w:w="44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comprehensive income before reclassifications</w:t>
            </w:r>
          </w:p>
        </w:tc>
        <w:tc>
          <w:tcPr>
            <w:tcW w:w="11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(39.1)</w:t>
            </w:r>
          </w:p>
        </w:tc>
      </w:tr>
      <w:tr>
        <w:trPr/>
        <w:tc>
          <w:tcPr>
            <w:tcW w:w="44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Amounts reclassified from accumulated other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comprehensive income (loss)</w:t>
            </w:r>
          </w:p>
        </w:tc>
        <w:tc>
          <w:tcPr>
            <w:tcW w:w="115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(20.6)</w:t>
            </w:r>
          </w:p>
        </w:tc>
      </w:tr>
      <w:tr>
        <w:trPr/>
        <w:tc>
          <w:tcPr>
            <w:tcW w:w="44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current period other comprehensive income (loss)</w:t>
            </w:r>
          </w:p>
        </w:tc>
        <w:tc>
          <w:tcPr>
            <w:tcW w:w="115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(59.7)</w:t>
            </w:r>
          </w:p>
        </w:tc>
      </w:tr>
      <w:tr>
        <w:trPr/>
        <w:tc>
          <w:tcPr>
            <w:tcW w:w="4456"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Balance at March 31, 2025</w:t>
            </w:r>
          </w:p>
        </w:tc>
        <w:tc>
          <w:tcPr>
            <w:tcW w:w="115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G.Hedging</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Foreign currency forward contracts - Designated as hedging instruments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maintain a hedging program intended to mitigate the effect of changes in foreign exchange rates for a portion of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forecasted product revenues denominated in certain foreign currencies. The program includes foreign currency forward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contracts that are designated as cash flow hedges under U.S. GAAP having contractual durations from one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36 months. We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recognize realized gains and losses for the effective portion of such contracts in “Product revenues, net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our condensed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consolidated statements of income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the same period that we recognize the product revenues that were impacted by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hedged foreign exchange rate changes.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formally document the relationship between foreign currency forward contracts (hedging instruments) and forecasted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product revenues (hedged items), as well as our risk management objective and strategy for undertaking various hedging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activities, which includes matching all foreign currency forward contracts that are designated as cash flow hedges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(unaudited)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forecasted transactions. Using regression analysis, we assess, both at the hedge’s inception and on an ongoing basis, whether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foreign currency forward contracts are highly effective in offsetting changes in cash flows of hedged items on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prospective and retrospective basis. As of March 31, 2026, all hedges were determined to be highly effective.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consider the impact of our counterparties’ credit risk on the fair value of the foreign currency forward contracts. As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 March 31, 2026</w:t>
      </w:r>
      <w:r>
        <w:rPr>
          <w:caps w:val="false"/>
          <w:smallCaps w:val="false"/>
          <w:strike w:val="false"/>
          <w:dstrike w:val="false"/>
          <w:sz w:val="24"/>
          <w:u w:val="none"/>
          <w:effect w:val="none"/>
        </w:rPr>
        <w:t> </w:t>
      </w:r>
      <w:r>
        <w:rPr>
          <w:rFonts w:ascii="Times New Roman;serif" w:hAnsi="Times New Roman;serif"/>
          <w:b w:val="false"/>
          <w:i w:val="false"/>
          <w:caps w:val="false"/>
          <w:smallCaps w:val="false"/>
          <w:strike w:val="false"/>
          <w:dstrike w:val="false"/>
          <w:sz w:val="20"/>
          <w:u w:val="none"/>
          <w:effect w:val="none"/>
        </w:rPr>
        <w:t xml:space="preserve">and December 31, 2025, credit risk did not change the fair value of our foreign currency forward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contracts.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summarizes the notional amount in U.S. dollars of our outstanding foreign currency forward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contracts designated as cash flow hedges under U.S. GAAP:</w:t>
      </w:r>
    </w:p>
    <w:tbl>
      <w:tblPr>
        <w:tblW w:w="7627" w:type="dxa"/>
        <w:jc w:val="left"/>
        <w:tblInd w:w="0" w:type="dxa"/>
        <w:tblLayout w:type="fixed"/>
        <w:tblCellMar>
          <w:top w:w="28" w:type="dxa"/>
          <w:left w:w="28" w:type="dxa"/>
          <w:bottom w:w="28" w:type="dxa"/>
          <w:right w:w="28" w:type="dxa"/>
        </w:tblCellMar>
      </w:tblPr>
      <w:tblGrid>
        <w:gridCol w:w="3376"/>
        <w:gridCol w:w="1906"/>
        <w:gridCol w:w="109"/>
        <w:gridCol w:w="2236"/>
      </w:tblGrid>
      <w:tr>
        <w:trPr/>
        <w:tc>
          <w:tcPr>
            <w:tcW w:w="337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3376" w:type="dxa"/>
            <w:tcBorders/>
            <w:vAlign w:val="center"/>
          </w:tcPr>
          <w:p>
            <w:pPr>
              <w:pStyle w:val="TableContents"/>
              <w:bidi w:val="0"/>
              <w:spacing w:before="0" w:after="283"/>
              <w:jc w:val="left"/>
              <w:rPr>
                <w:sz w:val="4"/>
                <w:szCs w:val="4"/>
              </w:rPr>
            </w:pPr>
            <w:r>
              <w:rPr>
                <w:sz w:val="4"/>
                <w:szCs w:val="4"/>
              </w:rPr>
            </w:r>
          </w:p>
        </w:tc>
        <w:tc>
          <w:tcPr>
            <w:tcW w:w="190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March 31, 2026</w:t>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December 31, 2025</w:t>
            </w:r>
          </w:p>
        </w:tc>
      </w:tr>
      <w:tr>
        <w:trPr/>
        <w:tc>
          <w:tcPr>
            <w:tcW w:w="3376" w:type="dxa"/>
            <w:tcBorders/>
            <w:shd w:fill="FFFFFF" w:val="clear"/>
            <w:vAlign w:val="center"/>
          </w:tcPr>
          <w:p>
            <w:pPr>
              <w:pStyle w:val="TableContents"/>
              <w:bidi w:val="0"/>
              <w:spacing w:before="0" w:after="283"/>
              <w:jc w:val="left"/>
              <w:rPr>
                <w:sz w:val="4"/>
                <w:szCs w:val="4"/>
              </w:rPr>
            </w:pPr>
            <w:r>
              <w:rPr>
                <w:sz w:val="4"/>
                <w:szCs w:val="4"/>
              </w:rPr>
            </w:r>
          </w:p>
        </w:tc>
        <w:tc>
          <w:tcPr>
            <w:tcW w:w="19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Foreign Currency</w:t>
            </w:r>
          </w:p>
        </w:tc>
        <w:tc>
          <w:tcPr>
            <w:tcW w:w="4251" w:type="dxa"/>
            <w:gridSpan w:val="3"/>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33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Euro</w:t>
            </w:r>
          </w:p>
        </w:tc>
        <w:tc>
          <w:tcPr>
            <w:tcW w:w="19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$4,112.0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$4,677.9</w:t>
            </w:r>
          </w:p>
        </w:tc>
      </w:tr>
      <w:tr>
        <w:trPr/>
        <w:tc>
          <w:tcPr>
            <w:tcW w:w="33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Canadian dollar</w:t>
            </w:r>
          </w:p>
        </w:tc>
        <w:tc>
          <w:tcPr>
            <w:tcW w:w="19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445.2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516.1</w:t>
            </w:r>
          </w:p>
        </w:tc>
      </w:tr>
      <w:tr>
        <w:trPr/>
        <w:tc>
          <w:tcPr>
            <w:tcW w:w="33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British pound sterling</w:t>
            </w:r>
          </w:p>
        </w:tc>
        <w:tc>
          <w:tcPr>
            <w:tcW w:w="19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492.6</w:t>
            </w:r>
          </w:p>
        </w:tc>
      </w:tr>
      <w:tr>
        <w:trPr/>
        <w:tc>
          <w:tcPr>
            <w:tcW w:w="33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Australian dollar</w:t>
            </w:r>
          </w:p>
        </w:tc>
        <w:tc>
          <w:tcPr>
            <w:tcW w:w="19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267.5</w:t>
            </w:r>
          </w:p>
        </w:tc>
      </w:tr>
      <w:tr>
        <w:trPr/>
        <w:tc>
          <w:tcPr>
            <w:tcW w:w="33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Swiss franc</w:t>
            </w:r>
          </w:p>
        </w:tc>
        <w:tc>
          <w:tcPr>
            <w:tcW w:w="190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126.0</w:t>
            </w:r>
          </w:p>
        </w:tc>
      </w:tr>
      <w:tr>
        <w:trPr/>
        <w:tc>
          <w:tcPr>
            <w:tcW w:w="33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foreign currency forward contracts</w:t>
            </w:r>
          </w:p>
        </w:tc>
        <w:tc>
          <w:tcPr>
            <w:tcW w:w="190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$5,321.6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$6,080.1</w:t>
            </w:r>
          </w:p>
        </w:tc>
      </w:tr>
    </w:tbl>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Foreign currency forward contracts - Not designated as hedging instruments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enter into foreign currency forward contracts, typically with contractual maturities of approximately one month,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which are designed to mitigate the effect of changes in foreign exchange rates on monetary assets and liabilities, including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intercompany balances. These contracts are not designated as hedging instruments under U.S. GAAP. We recognize realized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gains and losses for such contracts in “Other expense, net” in our condensed consolidated statements of income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each period.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March 31,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December 31, 2025, the notional amount of our outstanding foreign currency forward contracts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where hedge accounting under U.S. GAAP was not applied was $868.0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$612.6 million, respectively.</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During the three months ended March 31,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2025, we recognized the following related to foreign currency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forward contracts in our condensed consolidated statements of income:</w:t>
      </w:r>
    </w:p>
    <w:tbl>
      <w:tblPr>
        <w:tblW w:w="8536" w:type="dxa"/>
        <w:jc w:val="left"/>
        <w:tblInd w:w="0" w:type="dxa"/>
        <w:tblLayout w:type="fixed"/>
        <w:tblCellMar>
          <w:top w:w="28" w:type="dxa"/>
          <w:left w:w="28" w:type="dxa"/>
          <w:bottom w:w="28" w:type="dxa"/>
          <w:right w:w="28" w:type="dxa"/>
        </w:tblCellMar>
      </w:tblPr>
      <w:tblGrid>
        <w:gridCol w:w="5701"/>
        <w:gridCol w:w="1297"/>
        <w:gridCol w:w="171"/>
        <w:gridCol w:w="1367"/>
      </w:tblGrid>
      <w:tr>
        <w:trPr/>
        <w:tc>
          <w:tcPr>
            <w:tcW w:w="570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r>
      <w:tr>
        <w:trPr/>
        <w:tc>
          <w:tcPr>
            <w:tcW w:w="5701" w:type="dxa"/>
            <w:tcBorders/>
            <w:vAlign w:val="center"/>
          </w:tcPr>
          <w:p>
            <w:pPr>
              <w:pStyle w:val="TableContents"/>
              <w:bidi w:val="0"/>
              <w:spacing w:before="0" w:after="283"/>
              <w:jc w:val="left"/>
              <w:rPr>
                <w:sz w:val="4"/>
                <w:szCs w:val="4"/>
              </w:rPr>
            </w:pPr>
            <w:r>
              <w:rPr>
                <w:sz w:val="4"/>
                <w:szCs w:val="4"/>
              </w:rPr>
            </w:r>
          </w:p>
        </w:tc>
        <w:tc>
          <w:tcPr>
            <w:tcW w:w="2835"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Three Months Ended March 31,</w:t>
            </w:r>
          </w:p>
        </w:tc>
      </w:tr>
      <w:tr>
        <w:trPr/>
        <w:tc>
          <w:tcPr>
            <w:tcW w:w="5701" w:type="dxa"/>
            <w:tcBorders/>
            <w:vAlign w:val="center"/>
          </w:tcPr>
          <w:p>
            <w:pPr>
              <w:pStyle w:val="TableContents"/>
              <w:bidi w:val="0"/>
              <w:spacing w:before="0" w:after="283"/>
              <w:jc w:val="left"/>
              <w:rPr>
                <w:sz w:val="4"/>
                <w:szCs w:val="4"/>
              </w:rPr>
            </w:pPr>
            <w:r>
              <w:rPr>
                <w:sz w:val="4"/>
                <w:szCs w:val="4"/>
              </w:rPr>
            </w:r>
          </w:p>
        </w:tc>
        <w:tc>
          <w:tcPr>
            <w:tcW w:w="129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5701" w:type="dxa"/>
            <w:tcBorders/>
            <w:vAlign w:val="center"/>
          </w:tcPr>
          <w:p>
            <w:pPr>
              <w:pStyle w:val="TableContents"/>
              <w:bidi w:val="0"/>
              <w:spacing w:before="0" w:after="283"/>
              <w:jc w:val="left"/>
              <w:rPr>
                <w:sz w:val="4"/>
                <w:szCs w:val="4"/>
              </w:rPr>
            </w:pPr>
            <w:r>
              <w:rPr>
                <w:sz w:val="4"/>
                <w:szCs w:val="4"/>
              </w:rPr>
            </w:r>
          </w:p>
        </w:tc>
        <w:tc>
          <w:tcPr>
            <w:tcW w:w="129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6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c>
          <w:tcPr>
            <w:tcW w:w="2835" w:type="dxa"/>
            <w:gridSpan w:val="3"/>
            <w:tcBorders/>
            <w:vAlign w:val="center"/>
          </w:tcPr>
          <w:p>
            <w:pPr>
              <w:pStyle w:val="TableContents"/>
              <w:bidi w:val="0"/>
              <w:spacing w:before="0" w:after="283"/>
              <w:jc w:val="left"/>
              <w:rPr>
                <w:sz w:val="4"/>
                <w:szCs w:val="4"/>
              </w:rPr>
            </w:pPr>
            <w:r>
              <w:rPr>
                <w:sz w:val="4"/>
                <w:szCs w:val="4"/>
              </w:rPr>
            </w:r>
          </w:p>
        </w:tc>
      </w:tr>
      <w:tr>
        <w:trPr/>
        <w:tc>
          <w:tcPr>
            <w:tcW w:w="5701" w:type="dxa"/>
            <w:tcBorders/>
            <w:shd w:fill="CCEEFF" w:val="cle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Designated as hedging instruments - Reclassified from AOCI</w:t>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shd w:fill="CCEEFF" w:val="clear"/>
            <w:vAlign w:val="center"/>
          </w:tcPr>
          <w:p>
            <w:pPr>
              <w:pStyle w:val="TableContents"/>
              <w:bidi w:val="0"/>
              <w:spacing w:before="0" w:after="283"/>
              <w:jc w:val="left"/>
              <w:rPr>
                <w:sz w:val="4"/>
                <w:szCs w:val="4"/>
              </w:rPr>
            </w:pPr>
            <w:r>
              <w:rPr>
                <w:sz w:val="4"/>
                <w:szCs w:val="4"/>
              </w:rPr>
            </w:r>
          </w:p>
        </w:tc>
      </w:tr>
      <w:tr>
        <w:trPr/>
        <w:tc>
          <w:tcPr>
            <w:tcW w:w="57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Product revenues, net</w:t>
            </w:r>
          </w:p>
        </w:tc>
        <w:tc>
          <w:tcPr>
            <w:tcW w:w="129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$(25.5)</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$24.1</w:t>
            </w:r>
          </w:p>
        </w:tc>
      </w:tr>
      <w:tr>
        <w:trPr/>
        <w:tc>
          <w:tcPr>
            <w:tcW w:w="5701" w:type="dxa"/>
            <w:tcBorders/>
            <w:shd w:fill="CCEEFF" w:val="cle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Not designated as hedging instruments</w:t>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shd w:fill="CCEEFF" w:val="clear"/>
            <w:vAlign w:val="center"/>
          </w:tcPr>
          <w:p>
            <w:pPr>
              <w:pStyle w:val="TableContents"/>
              <w:bidi w:val="0"/>
              <w:spacing w:before="0" w:after="283"/>
              <w:jc w:val="left"/>
              <w:rPr>
                <w:sz w:val="4"/>
                <w:szCs w:val="4"/>
              </w:rPr>
            </w:pPr>
            <w:r>
              <w:rPr>
                <w:sz w:val="4"/>
                <w:szCs w:val="4"/>
              </w:rPr>
            </w:r>
          </w:p>
        </w:tc>
      </w:tr>
      <w:tr>
        <w:trPr/>
        <w:tc>
          <w:tcPr>
            <w:tcW w:w="570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Other </w:t>
            </w:r>
            <w:r>
              <w:rPr>
                <w:rFonts w:ascii="Times New Roman;serif" w:hAnsi="Times New Roman;serif"/>
                <w:b w:val="false"/>
                <w:i w:val="false"/>
                <w:caps w:val="false"/>
                <w:smallCaps w:val="false"/>
                <w:strike w:val="false"/>
                <w:dstrike w:val="false"/>
                <w:sz w:val="20"/>
                <w:u w:val="none"/>
                <w:effect w:val="none"/>
              </w:rPr>
              <w:t>expense</w:t>
            </w:r>
            <w:r>
              <w:rPr>
                <w:rFonts w:ascii="Times New Roman;serif" w:hAnsi="Times New Roman;serif"/>
                <w:b w:val="false"/>
                <w:i w:val="false"/>
                <w:caps w:val="false"/>
                <w:smallCaps w:val="false"/>
                <w:sz w:val="20"/>
              </w:rPr>
              <w:t>, net</w:t>
            </w:r>
          </w:p>
        </w:tc>
        <w:tc>
          <w:tcPr>
            <w:tcW w:w="129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r>
      <w:tr>
        <w:trPr/>
        <w:tc>
          <w:tcPr>
            <w:tcW w:w="570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r>
      <w:tr>
        <w:trPr/>
        <w:tc>
          <w:tcPr>
            <w:tcW w:w="570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sz w:val="20"/>
              </w:rPr>
              <w:t xml:space="preserve">Total reported in the Condensed Consolidated Statements of </w:t>
            </w:r>
            <w:r>
              <w:rPr>
                <w:rFonts w:ascii="Times New Roman;serif" w:hAnsi="Times New Roman;serif"/>
                <w:b w:val="false"/>
                <w:i/>
                <w:strike w:val="false"/>
                <w:dstrike w:val="false"/>
                <w:sz w:val="20"/>
                <w:u w:val="none"/>
                <w:effect w:val="none"/>
              </w:rPr>
              <w:t>Income</w:t>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shd w:fill="CCEEFF" w:val="clear"/>
            <w:vAlign w:val="center"/>
          </w:tcPr>
          <w:p>
            <w:pPr>
              <w:pStyle w:val="TableContents"/>
              <w:bidi w:val="0"/>
              <w:spacing w:before="0" w:after="283"/>
              <w:jc w:val="left"/>
              <w:rPr>
                <w:sz w:val="4"/>
                <w:szCs w:val="4"/>
              </w:rPr>
            </w:pPr>
            <w:r>
              <w:rPr>
                <w:sz w:val="4"/>
                <w:szCs w:val="4"/>
              </w:rPr>
            </w:r>
          </w:p>
        </w:tc>
      </w:tr>
      <w:tr>
        <w:trPr/>
        <w:tc>
          <w:tcPr>
            <w:tcW w:w="57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Product revenues, net</w:t>
            </w:r>
          </w:p>
        </w:tc>
        <w:tc>
          <w:tcPr>
            <w:tcW w:w="129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$2,986.9</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$2,760.2</w:t>
            </w:r>
          </w:p>
        </w:tc>
      </w:tr>
      <w:tr>
        <w:trPr/>
        <w:tc>
          <w:tcPr>
            <w:tcW w:w="570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Other </w:t>
            </w:r>
            <w:r>
              <w:rPr>
                <w:rFonts w:ascii="Times New Roman;serif" w:hAnsi="Times New Roman;serif"/>
                <w:b w:val="false"/>
                <w:i w:val="false"/>
                <w:caps w:val="false"/>
                <w:smallCaps w:val="false"/>
                <w:strike w:val="false"/>
                <w:dstrike w:val="false"/>
                <w:sz w:val="20"/>
                <w:u w:val="none"/>
                <w:effect w:val="none"/>
              </w:rPr>
              <w:t>expense</w:t>
            </w:r>
            <w:r>
              <w:rPr>
                <w:rFonts w:ascii="Times New Roman;serif" w:hAnsi="Times New Roman;serif"/>
                <w:b w:val="false"/>
                <w:i w:val="false"/>
                <w:caps w:val="false"/>
                <w:smallCaps w:val="false"/>
                <w:sz w:val="20"/>
              </w:rPr>
              <w:t>, net</w:t>
            </w:r>
          </w:p>
        </w:tc>
        <w:tc>
          <w:tcPr>
            <w:tcW w:w="129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$(17.6)</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summarizes the fair value of our outstanding foreign currency forward contracts designated as cash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flow hedges under U.S. GAAP included on our condensed consolidated balance sheets:</w:t>
      </w:r>
    </w:p>
    <w:tbl>
      <w:tblPr>
        <w:tblW w:w="8086" w:type="dxa"/>
        <w:jc w:val="left"/>
        <w:tblInd w:w="0" w:type="dxa"/>
        <w:tblLayout w:type="fixed"/>
        <w:tblCellMar>
          <w:top w:w="28" w:type="dxa"/>
          <w:left w:w="28" w:type="dxa"/>
          <w:bottom w:w="28" w:type="dxa"/>
          <w:right w:w="28" w:type="dxa"/>
        </w:tblCellMar>
      </w:tblPr>
      <w:tblGrid>
        <w:gridCol w:w="3451"/>
        <w:gridCol w:w="109"/>
        <w:gridCol w:w="1021"/>
        <w:gridCol w:w="109"/>
        <w:gridCol w:w="2221"/>
        <w:gridCol w:w="109"/>
        <w:gridCol w:w="1066"/>
      </w:tblGrid>
      <w:tr>
        <w:trPr/>
        <w:tc>
          <w:tcPr>
            <w:tcW w:w="3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8086" w:type="dxa"/>
            <w:gridSpan w:val="7"/>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March 31, 2026</w:t>
            </w:r>
          </w:p>
        </w:tc>
      </w:tr>
      <w:tr>
        <w:trPr/>
        <w:tc>
          <w:tcPr>
            <w:tcW w:w="4581"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Assets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Liabilities</w:t>
            </w:r>
          </w:p>
        </w:tc>
      </w:tr>
      <w:tr>
        <w:trPr/>
        <w:tc>
          <w:tcPr>
            <w:tcW w:w="345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Classification</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222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Classification</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Fair Value</w:t>
            </w:r>
          </w:p>
        </w:tc>
      </w:tr>
      <w:tr>
        <w:trPr/>
        <w:tc>
          <w:tcPr>
            <w:tcW w:w="34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6" w:type="dxa"/>
            <w:gridSpan w:val="7"/>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34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Prepaid expenses and other 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$(50.1)</w:t>
            </w:r>
          </w:p>
        </w:tc>
      </w:tr>
      <w:tr>
        <w:trPr/>
        <w:tc>
          <w:tcPr>
            <w:tcW w:w="34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long-term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(28.1)</w:t>
            </w:r>
          </w:p>
        </w:tc>
      </w:tr>
      <w:tr>
        <w:trPr/>
        <w:tc>
          <w:tcPr>
            <w:tcW w:w="34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$(78.2)</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(unaudited)</w:t>
      </w:r>
    </w:p>
    <w:tbl>
      <w:tblPr>
        <w:tblW w:w="8086" w:type="dxa"/>
        <w:jc w:val="left"/>
        <w:tblInd w:w="0" w:type="dxa"/>
        <w:tblLayout w:type="fixed"/>
        <w:tblCellMar>
          <w:top w:w="28" w:type="dxa"/>
          <w:left w:w="28" w:type="dxa"/>
          <w:bottom w:w="28" w:type="dxa"/>
          <w:right w:w="28" w:type="dxa"/>
        </w:tblCellMar>
      </w:tblPr>
      <w:tblGrid>
        <w:gridCol w:w="3451"/>
        <w:gridCol w:w="109"/>
        <w:gridCol w:w="1021"/>
        <w:gridCol w:w="109"/>
        <w:gridCol w:w="2221"/>
        <w:gridCol w:w="109"/>
        <w:gridCol w:w="1066"/>
      </w:tblGrid>
      <w:tr>
        <w:trPr/>
        <w:tc>
          <w:tcPr>
            <w:tcW w:w="3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8086" w:type="dxa"/>
            <w:gridSpan w:val="7"/>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December 31, 2025</w:t>
            </w:r>
          </w:p>
        </w:tc>
      </w:tr>
      <w:tr>
        <w:trPr/>
        <w:tc>
          <w:tcPr>
            <w:tcW w:w="4581"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Assets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Liabilities</w:t>
            </w:r>
          </w:p>
        </w:tc>
      </w:tr>
      <w:tr>
        <w:trPr/>
        <w:tc>
          <w:tcPr>
            <w:tcW w:w="345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Classification</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222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Classification</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Fair Value</w:t>
            </w:r>
          </w:p>
        </w:tc>
      </w:tr>
      <w:tr>
        <w:trPr/>
        <w:tc>
          <w:tcPr>
            <w:tcW w:w="34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6" w:type="dxa"/>
            <w:gridSpan w:val="7"/>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34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Prepaid expenses and other 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$(79.4)</w:t>
            </w:r>
          </w:p>
        </w:tc>
      </w:tr>
      <w:tr>
        <w:trPr/>
        <w:tc>
          <w:tcPr>
            <w:tcW w:w="34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long-term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(51.0)</w:t>
            </w:r>
          </w:p>
        </w:tc>
      </w:tr>
      <w:tr>
        <w:trPr/>
        <w:tc>
          <w:tcPr>
            <w:tcW w:w="34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$(130.4)</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March 31, 2026, we expect the amounts that are related to foreign currency forward contracts designated as cash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flow hedges under U.S. GAAP recorded in “Prepaid expenses and other current assets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“Other current liabilities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be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reclassified to earnings within twelve months.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present the fair value of our foreign currency forward contracts on a gross basis within our condensed consolidated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balance sheets. The following table summarizes the potential effect of offsetting derivatives by type of financial instrument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designated as cash flow hedges under U.S. GAAP on our condensed consolidated balance sheets:</w:t>
      </w:r>
    </w:p>
    <w:tbl>
      <w:tblPr>
        <w:tblW w:w="8647" w:type="dxa"/>
        <w:jc w:val="left"/>
        <w:tblInd w:w="0" w:type="dxa"/>
        <w:tblLayout w:type="fixed"/>
        <w:tblCellMar>
          <w:top w:w="28" w:type="dxa"/>
          <w:left w:w="28" w:type="dxa"/>
          <w:bottom w:w="28" w:type="dxa"/>
          <w:right w:w="28" w:type="dxa"/>
        </w:tblCellMar>
      </w:tblPr>
      <w:tblGrid>
        <w:gridCol w:w="3166"/>
        <w:gridCol w:w="1081"/>
        <w:gridCol w:w="109"/>
        <w:gridCol w:w="901"/>
        <w:gridCol w:w="109"/>
        <w:gridCol w:w="931"/>
        <w:gridCol w:w="109"/>
        <w:gridCol w:w="946"/>
        <w:gridCol w:w="109"/>
        <w:gridCol w:w="1186"/>
      </w:tblGrid>
      <w:tr>
        <w:trPr/>
        <w:tc>
          <w:tcPr>
            <w:tcW w:w="31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283"/>
              <w:jc w:val="left"/>
              <w:rPr>
                <w:sz w:val="4"/>
                <w:szCs w:val="4"/>
              </w:rPr>
            </w:pPr>
            <w:r>
              <w:rPr>
                <w:sz w:val="4"/>
                <w:szCs w:val="4"/>
              </w:rPr>
            </w:r>
          </w:p>
        </w:tc>
        <w:tc>
          <w:tcPr>
            <w:tcW w:w="5481" w:type="dxa"/>
            <w:gridSpan w:val="9"/>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March 31, 2026</w:t>
            </w:r>
          </w:p>
        </w:tc>
      </w:tr>
      <w:tr>
        <w:trPr/>
        <w:tc>
          <w:tcPr>
            <w:tcW w:w="3166" w:type="dxa"/>
            <w:tcBorders/>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Gross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Amounts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Recognized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Gross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Amounts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Offset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Gross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Amounts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Presented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Gross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Amounts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Not Offset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Legal Offset</w:t>
            </w:r>
          </w:p>
        </w:tc>
      </w:tr>
      <w:tr>
        <w:trPr/>
        <w:tc>
          <w:tcPr>
            <w:tcW w:w="3166" w:type="dxa"/>
            <w:tcBorders/>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Foreign currency forward contracts</w:t>
            </w:r>
          </w:p>
        </w:tc>
        <w:tc>
          <w:tcPr>
            <w:tcW w:w="5481" w:type="dxa"/>
            <w:gridSpan w:val="9"/>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31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assets</w:t>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31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liabilities</w:t>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w:t>
            </w:r>
          </w:p>
        </w:tc>
      </w:tr>
    </w:tbl>
    <w:tbl>
      <w:tblPr>
        <w:tblW w:w="8647" w:type="dxa"/>
        <w:jc w:val="left"/>
        <w:tblInd w:w="0" w:type="dxa"/>
        <w:tblLayout w:type="fixed"/>
        <w:tblCellMar>
          <w:top w:w="28" w:type="dxa"/>
          <w:left w:w="28" w:type="dxa"/>
          <w:bottom w:w="28" w:type="dxa"/>
          <w:right w:w="28" w:type="dxa"/>
        </w:tblCellMar>
      </w:tblPr>
      <w:tblGrid>
        <w:gridCol w:w="3166"/>
        <w:gridCol w:w="1081"/>
        <w:gridCol w:w="109"/>
        <w:gridCol w:w="901"/>
        <w:gridCol w:w="109"/>
        <w:gridCol w:w="931"/>
        <w:gridCol w:w="109"/>
        <w:gridCol w:w="946"/>
        <w:gridCol w:w="109"/>
        <w:gridCol w:w="1186"/>
      </w:tblGrid>
      <w:tr>
        <w:trPr/>
        <w:tc>
          <w:tcPr>
            <w:tcW w:w="31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283"/>
              <w:jc w:val="left"/>
              <w:rPr>
                <w:sz w:val="4"/>
                <w:szCs w:val="4"/>
              </w:rPr>
            </w:pPr>
            <w:r>
              <w:rPr>
                <w:sz w:val="4"/>
                <w:szCs w:val="4"/>
              </w:rPr>
            </w:r>
          </w:p>
        </w:tc>
        <w:tc>
          <w:tcPr>
            <w:tcW w:w="5481" w:type="dxa"/>
            <w:gridSpan w:val="9"/>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December 31, 2025</w:t>
            </w:r>
          </w:p>
        </w:tc>
      </w:tr>
      <w:tr>
        <w:trPr/>
        <w:tc>
          <w:tcPr>
            <w:tcW w:w="3166" w:type="dxa"/>
            <w:tcBorders/>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Gross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Amounts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Recognized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Gross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Amounts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Offset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Gross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Amounts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Presented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Gross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Amounts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Not Offset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Legal Offset</w:t>
            </w:r>
          </w:p>
        </w:tc>
      </w:tr>
      <w:tr>
        <w:trPr/>
        <w:tc>
          <w:tcPr>
            <w:tcW w:w="3166" w:type="dxa"/>
            <w:tcBorders/>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Foreign currency forward contracts</w:t>
            </w:r>
          </w:p>
        </w:tc>
        <w:tc>
          <w:tcPr>
            <w:tcW w:w="5481" w:type="dxa"/>
            <w:gridSpan w:val="9"/>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31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assets</w:t>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31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liabilities</w:t>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(111.5)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H.Inventories</w:t>
      </w:r>
    </w:p>
    <w:p>
      <w:pPr>
        <w:pStyle w:val="TextBody"/>
        <w:bidi w:val="0"/>
        <w:spacing w:lineRule="atLeast" w:line="20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Inventories” consisted of the following:</w:t>
      </w:r>
    </w:p>
    <w:tbl>
      <w:tblPr>
        <w:tblW w:w="5707" w:type="dxa"/>
        <w:jc w:val="left"/>
        <w:tblInd w:w="0" w:type="dxa"/>
        <w:tblLayout w:type="fixed"/>
        <w:tblCellMar>
          <w:top w:w="28" w:type="dxa"/>
          <w:left w:w="28" w:type="dxa"/>
          <w:bottom w:w="28" w:type="dxa"/>
          <w:right w:w="28" w:type="dxa"/>
        </w:tblCellMar>
      </w:tblPr>
      <w:tblGrid>
        <w:gridCol w:w="1456"/>
        <w:gridCol w:w="1906"/>
        <w:gridCol w:w="109"/>
        <w:gridCol w:w="2236"/>
      </w:tblGrid>
      <w:tr>
        <w:trPr/>
        <w:tc>
          <w:tcPr>
            <w:tcW w:w="145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1456" w:type="dxa"/>
            <w:tcBorders/>
            <w:vAlign w:val="center"/>
          </w:tcPr>
          <w:p>
            <w:pPr>
              <w:pStyle w:val="TableContents"/>
              <w:bidi w:val="0"/>
              <w:spacing w:before="0" w:after="283"/>
              <w:jc w:val="left"/>
              <w:rPr>
                <w:sz w:val="4"/>
                <w:szCs w:val="4"/>
              </w:rPr>
            </w:pPr>
            <w:r>
              <w:rPr>
                <w:sz w:val="4"/>
                <w:szCs w:val="4"/>
              </w:rPr>
            </w:r>
          </w:p>
        </w:tc>
        <w:tc>
          <w:tcPr>
            <w:tcW w:w="190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March 31, 2026</w:t>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December 31, 2025</w:t>
            </w:r>
          </w:p>
        </w:tc>
      </w:tr>
      <w:tr>
        <w:trPr/>
        <w:tc>
          <w:tcPr>
            <w:tcW w:w="1456" w:type="dxa"/>
            <w:tcBorders/>
            <w:vAlign w:val="center"/>
          </w:tcPr>
          <w:p>
            <w:pPr>
              <w:pStyle w:val="TableContents"/>
              <w:bidi w:val="0"/>
              <w:spacing w:before="0" w:after="283"/>
              <w:jc w:val="left"/>
              <w:rPr>
                <w:sz w:val="4"/>
                <w:szCs w:val="4"/>
              </w:rPr>
            </w:pPr>
            <w:r>
              <w:rPr>
                <w:sz w:val="4"/>
                <w:szCs w:val="4"/>
              </w:rPr>
            </w:r>
          </w:p>
        </w:tc>
        <w:tc>
          <w:tcPr>
            <w:tcW w:w="19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tcBorders/>
            <w:vAlign w:val="center"/>
          </w:tcPr>
          <w:p>
            <w:pPr>
              <w:pStyle w:val="TableContents"/>
              <w:bidi w:val="0"/>
              <w:spacing w:before="0" w:after="283"/>
              <w:jc w:val="left"/>
              <w:rPr>
                <w:sz w:val="4"/>
                <w:szCs w:val="4"/>
              </w:rPr>
            </w:pPr>
            <w:r>
              <w:rPr>
                <w:sz w:val="4"/>
                <w:szCs w:val="4"/>
              </w:rPr>
            </w:r>
          </w:p>
        </w:tc>
        <w:tc>
          <w:tcPr>
            <w:tcW w:w="4251" w:type="dxa"/>
            <w:gridSpan w:val="3"/>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14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Raw materials</w:t>
            </w:r>
          </w:p>
        </w:tc>
        <w:tc>
          <w:tcPr>
            <w:tcW w:w="19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$259.8</w:t>
            </w:r>
          </w:p>
        </w:tc>
      </w:tr>
      <w:tr>
        <w:trPr/>
        <w:tc>
          <w:tcPr>
            <w:tcW w:w="14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Work-in-process</w:t>
            </w:r>
          </w:p>
        </w:tc>
        <w:tc>
          <w:tcPr>
            <w:tcW w:w="19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1,243.4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1,196.9</w:t>
            </w:r>
          </w:p>
        </w:tc>
      </w:tr>
      <w:tr>
        <w:trPr/>
        <w:tc>
          <w:tcPr>
            <w:tcW w:w="14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Finished goods</w:t>
            </w:r>
          </w:p>
        </w:tc>
        <w:tc>
          <w:tcPr>
            <w:tcW w:w="190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230.1</w:t>
            </w:r>
          </w:p>
        </w:tc>
      </w:tr>
      <w:tr>
        <w:trPr/>
        <w:tc>
          <w:tcPr>
            <w:tcW w:w="14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190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$1,766.7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$1,686.8</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I.Intangible Assets</w:t>
      </w:r>
    </w:p>
    <w:p>
      <w:pPr>
        <w:pStyle w:val="TextBody"/>
        <w:bidi w:val="0"/>
        <w:spacing w:lineRule="atLeast" w:line="20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Other intangible assets, net” consisted of the following:</w:t>
      </w:r>
    </w:p>
    <w:tbl>
      <w:tblPr>
        <w:tblW w:w="9887" w:type="dxa"/>
        <w:jc w:val="left"/>
        <w:tblInd w:w="0" w:type="dxa"/>
        <w:tblLayout w:type="fixed"/>
        <w:tblCellMar>
          <w:top w:w="28" w:type="dxa"/>
          <w:left w:w="28" w:type="dxa"/>
          <w:bottom w:w="28" w:type="dxa"/>
          <w:right w:w="28" w:type="dxa"/>
        </w:tblCellMar>
      </w:tblPr>
      <w:tblGrid>
        <w:gridCol w:w="2281"/>
        <w:gridCol w:w="1141"/>
        <w:gridCol w:w="109"/>
        <w:gridCol w:w="856"/>
        <w:gridCol w:w="109"/>
        <w:gridCol w:w="1171"/>
        <w:gridCol w:w="109"/>
        <w:gridCol w:w="856"/>
        <w:gridCol w:w="109"/>
        <w:gridCol w:w="856"/>
        <w:gridCol w:w="109"/>
        <w:gridCol w:w="1171"/>
        <w:gridCol w:w="109"/>
        <w:gridCol w:w="901"/>
      </w:tblGrid>
      <w:tr>
        <w:trPr/>
        <w:tc>
          <w:tcPr>
            <w:tcW w:w="228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1" w:type="dxa"/>
            <w:gridSpan w:val="5"/>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As of March 31, 2026</w:t>
            </w:r>
          </w:p>
        </w:tc>
        <w:tc>
          <w:tcPr>
            <w:tcW w:w="109" w:type="dxa"/>
            <w:tcBorders/>
            <w:vAlign w:val="center"/>
          </w:tcPr>
          <w:p>
            <w:pPr>
              <w:pStyle w:val="TableContents"/>
              <w:bidi w:val="0"/>
              <w:spacing w:before="0" w:after="283"/>
              <w:jc w:val="left"/>
              <w:rPr>
                <w:sz w:val="4"/>
                <w:szCs w:val="4"/>
              </w:rPr>
            </w:pPr>
            <w:r>
              <w:rPr>
                <w:sz w:val="4"/>
                <w:szCs w:val="4"/>
              </w:rPr>
            </w:r>
          </w:p>
        </w:tc>
        <w:tc>
          <w:tcPr>
            <w:tcW w:w="3146" w:type="dxa"/>
            <w:gridSpan w:val="5"/>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As of December 31, 2025</w:t>
            </w:r>
          </w:p>
        </w:tc>
      </w:tr>
      <w:tr>
        <w:trPr/>
        <w:tc>
          <w:tcPr>
            <w:tcW w:w="2281" w:type="dxa"/>
            <w:tcBorders/>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Estimated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Useful Lives</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Gross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Carrying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Amount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Accumulated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Amortization</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Net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Carrying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Amount</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Gross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Carrying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Amount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Accumulated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Amortization</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Net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Carrying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Amount</w:t>
            </w:r>
          </w:p>
        </w:tc>
      </w:tr>
      <w:tr>
        <w:trPr/>
        <w:tc>
          <w:tcPr>
            <w:tcW w:w="2281" w:type="dxa"/>
            <w:tcBorders/>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6" w:type="dxa"/>
            <w:gridSpan w:val="11"/>
            <w:tcBorders/>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(in millions, except useful lives)</w:t>
            </w:r>
          </w:p>
        </w:tc>
      </w:tr>
      <w:tr>
        <w:trPr/>
        <w:tc>
          <w:tcPr>
            <w:tcW w:w="22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In-process research and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development</w:t>
            </w:r>
          </w:p>
        </w:tc>
        <w:tc>
          <w:tcPr>
            <w:tcW w:w="114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Indefinite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$224.6</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$224.6</w:t>
            </w:r>
          </w:p>
        </w:tc>
      </w:tr>
      <w:tr>
        <w:trPr/>
        <w:tc>
          <w:tcPr>
            <w:tcW w:w="228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Finite-lived intangible assets -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marketed products</w:t>
            </w:r>
          </w:p>
        </w:tc>
        <w:tc>
          <w:tcPr>
            <w:tcW w:w="1141" w:type="dxa"/>
            <w:tcBorders/>
            <w:shd w:fill="FFFF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10</w:t>
            </w:r>
            <w:r>
              <w:rPr>
                <w:caps w:val="false"/>
                <w:smallCaps w:val="false"/>
                <w:sz w:val="24"/>
              </w:rPr>
              <w:t xml:space="preserve"> </w:t>
            </w:r>
            <w:r>
              <w:rPr>
                <w:rFonts w:ascii="Times New Roman;serif" w:hAnsi="Times New Roman;serif"/>
                <w:b w:val="false"/>
                <w:i w:val="false"/>
                <w:caps w:val="false"/>
                <w:smallCaps w:val="false"/>
                <w:sz w:val="18"/>
              </w:rPr>
              <w:t xml:space="preserve">to </w:t>
            </w:r>
            <w:r>
              <w:rPr>
                <w:rFonts w:ascii="Times New Roman;serif" w:hAnsi="Times New Roman;serif"/>
                <w:b w:val="false"/>
                <w:i w:val="false"/>
                <w:caps w:val="false"/>
                <w:smallCaps w:val="false"/>
                <w:strike w:val="false"/>
                <w:dstrike w:val="false"/>
                <w:sz w:val="18"/>
                <w:u w:val="none"/>
                <w:effect w:val="none"/>
              </w:rPr>
              <w:t>12</w:t>
            </w:r>
            <w:r>
              <w:rPr>
                <w:caps w:val="false"/>
                <w:smallCaps w:val="false"/>
                <w:sz w:val="24"/>
              </w:rPr>
              <w:t xml:space="preserve"> </w:t>
            </w:r>
            <w:r>
              <w:rPr>
                <w:rFonts w:ascii="Times New Roman;serif" w:hAnsi="Times New Roman;serif"/>
                <w:b w:val="false"/>
                <w:i w:val="false"/>
                <w:caps w:val="false"/>
                <w:smallCaps w:val="false"/>
                <w:sz w:val="18"/>
              </w:rPr>
              <w:t>years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238.0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(47.1)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190.9</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238.0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195.9</w:t>
            </w:r>
          </w:p>
        </w:tc>
      </w:tr>
      <w:tr>
        <w:trPr/>
        <w:tc>
          <w:tcPr>
            <w:tcW w:w="22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Finite-lived intangible assets -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assembled workforce</w:t>
            </w:r>
          </w:p>
        </w:tc>
        <w:tc>
          <w:tcPr>
            <w:tcW w:w="1141" w:type="dxa"/>
            <w:tcBorders/>
            <w:shd w:fill="CCEE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3</w:t>
            </w:r>
            <w:r>
              <w:rPr>
                <w:caps w:val="false"/>
                <w:smallCaps w:val="false"/>
                <w:sz w:val="24"/>
              </w:rPr>
              <w:t xml:space="preserve"> </w:t>
            </w:r>
            <w:r>
              <w:rPr>
                <w:rFonts w:ascii="Times New Roman;serif" w:hAnsi="Times New Roman;serif"/>
                <w:b w:val="false"/>
                <w:i w:val="false"/>
                <w:caps w:val="false"/>
                <w:smallCaps w:val="false"/>
                <w:sz w:val="18"/>
              </w:rPr>
              <w:t>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3.0</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3.7</w:t>
            </w:r>
          </w:p>
        </w:tc>
      </w:tr>
      <w:tr>
        <w:trPr/>
        <w:tc>
          <w:tcPr>
            <w:tcW w:w="228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Total other intangible assets,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net</w:t>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$470.3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$(51.8)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$418.5</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$470.3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$424.2</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March 2025, based on results from a Phase 1/2 clinical trial evaluating our VX-264 clinical program in patients with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type 1 diabetes (“T1D”), we concluded that VX-264 will not be advancing further in clinical development. Based on this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event, we performed an interim impairment test on the fair value of our VX-264 indefinite-lived in-process research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development asset that we acquired from Semma Therapeutics, Inc. in 2019. As a result, using the multi period earnings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method of the income approach, we recorded a full intangible asset impairment charge of $379.0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the first quarter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2025. As of March 31, 2026, our remaining indefinite-lived in-process research and development assets were associated with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our T1D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J.Stock-based Compensation Expense and Share Repurchase Programs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Stock-based compensation expense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During the three months ended March 31,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2025, we recognized the following stock-based compensation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expense:</w:t>
      </w:r>
    </w:p>
    <w:tbl>
      <w:tblPr>
        <w:tblW w:w="9495" w:type="dxa"/>
        <w:jc w:val="left"/>
        <w:tblInd w:w="0" w:type="dxa"/>
        <w:tblLayout w:type="fixed"/>
        <w:tblCellMar>
          <w:top w:w="28" w:type="dxa"/>
          <w:left w:w="28" w:type="dxa"/>
          <w:bottom w:w="28" w:type="dxa"/>
          <w:right w:w="28" w:type="dxa"/>
        </w:tblCellMar>
      </w:tblPr>
      <w:tblGrid>
        <w:gridCol w:w="6661"/>
        <w:gridCol w:w="1272"/>
        <w:gridCol w:w="205"/>
        <w:gridCol w:w="1357"/>
      </w:tblGrid>
      <w:tr>
        <w:trPr/>
        <w:tc>
          <w:tcPr>
            <w:tcW w:w="666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6661" w:type="dxa"/>
            <w:tcBorders/>
            <w:vAlign w:val="center"/>
          </w:tcPr>
          <w:p>
            <w:pPr>
              <w:pStyle w:val="TableContents"/>
              <w:bidi w:val="0"/>
              <w:spacing w:before="0" w:after="283"/>
              <w:jc w:val="left"/>
              <w:rPr>
                <w:sz w:val="4"/>
                <w:szCs w:val="4"/>
              </w:rPr>
            </w:pPr>
            <w:r>
              <w:rPr>
                <w:sz w:val="4"/>
                <w:szCs w:val="4"/>
              </w:rPr>
            </w:r>
          </w:p>
        </w:tc>
        <w:tc>
          <w:tcPr>
            <w:tcW w:w="2834"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Three Months Ended March 31,</w:t>
            </w:r>
          </w:p>
        </w:tc>
      </w:tr>
      <w:tr>
        <w:trPr/>
        <w:tc>
          <w:tcPr>
            <w:tcW w:w="6661" w:type="dxa"/>
            <w:tcBorders/>
            <w:vAlign w:val="center"/>
          </w:tcPr>
          <w:p>
            <w:pPr>
              <w:pStyle w:val="TableContents"/>
              <w:bidi w:val="0"/>
              <w:spacing w:before="0" w:after="283"/>
              <w:jc w:val="left"/>
              <w:rPr>
                <w:sz w:val="4"/>
                <w:szCs w:val="4"/>
              </w:rPr>
            </w:pPr>
            <w:r>
              <w:rPr>
                <w:sz w:val="4"/>
                <w:szCs w:val="4"/>
              </w:rPr>
            </w:r>
          </w:p>
        </w:tc>
        <w:tc>
          <w:tcPr>
            <w:tcW w:w="1272"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2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6661" w:type="dxa"/>
            <w:tcBorders/>
            <w:vAlign w:val="center"/>
          </w:tcPr>
          <w:p>
            <w:pPr>
              <w:pStyle w:val="TableContents"/>
              <w:bidi w:val="0"/>
              <w:spacing w:before="0" w:after="283"/>
              <w:jc w:val="left"/>
              <w:rPr>
                <w:sz w:val="4"/>
                <w:szCs w:val="4"/>
              </w:rPr>
            </w:pPr>
            <w:r>
              <w:rPr>
                <w:sz w:val="4"/>
                <w:szCs w:val="4"/>
              </w:rPr>
            </w:r>
          </w:p>
        </w:tc>
        <w:tc>
          <w:tcPr>
            <w:tcW w:w="12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35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c>
          <w:tcPr>
            <w:tcW w:w="2834" w:type="dxa"/>
            <w:gridSpan w:val="3"/>
            <w:tcBorders/>
            <w:vAlign w:val="center"/>
          </w:tcPr>
          <w:p>
            <w:pPr>
              <w:pStyle w:val="TableContents"/>
              <w:bidi w:val="0"/>
              <w:spacing w:before="0" w:after="283"/>
              <w:jc w:val="left"/>
              <w:rPr>
                <w:sz w:val="4"/>
                <w:szCs w:val="4"/>
              </w:rPr>
            </w:pPr>
            <w:r>
              <w:rPr>
                <w:sz w:val="4"/>
                <w:szCs w:val="4"/>
              </w:rPr>
            </w:r>
          </w:p>
        </w:tc>
      </w:tr>
      <w:tr>
        <w:trPr/>
        <w:tc>
          <w:tcPr>
            <w:tcW w:w="66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Stock-based compensation expense by type of award:</w:t>
            </w:r>
          </w:p>
        </w:tc>
        <w:tc>
          <w:tcPr>
            <w:tcW w:w="1272" w:type="dxa"/>
            <w:tcBorders/>
            <w:shd w:fill="CCEEFF" w:val="clear"/>
            <w:vAlign w:val="center"/>
          </w:tcPr>
          <w:p>
            <w:pPr>
              <w:pStyle w:val="TableContents"/>
              <w:bidi w:val="0"/>
              <w:spacing w:before="0" w:after="283"/>
              <w:jc w:val="left"/>
              <w:rPr>
                <w:sz w:val="4"/>
                <w:szCs w:val="4"/>
              </w:rPr>
            </w:pPr>
            <w:r>
              <w:rPr>
                <w:sz w:val="4"/>
                <w:szCs w:val="4"/>
              </w:rPr>
            </w:r>
          </w:p>
        </w:tc>
        <w:tc>
          <w:tcPr>
            <w:tcW w:w="205" w:type="dxa"/>
            <w:tcBorders/>
            <w:shd w:fill="CCEEFF" w:val="clear"/>
            <w:vAlign w:val="center"/>
          </w:tcPr>
          <w:p>
            <w:pPr>
              <w:pStyle w:val="TableContents"/>
              <w:bidi w:val="0"/>
              <w:spacing w:before="0" w:after="283"/>
              <w:jc w:val="left"/>
              <w:rPr>
                <w:sz w:val="4"/>
                <w:szCs w:val="4"/>
              </w:rPr>
            </w:pPr>
            <w:r>
              <w:rPr>
                <w:sz w:val="4"/>
                <w:szCs w:val="4"/>
              </w:rPr>
            </w:r>
          </w:p>
        </w:tc>
        <w:tc>
          <w:tcPr>
            <w:tcW w:w="1357" w:type="dxa"/>
            <w:tcBorders/>
            <w:shd w:fill="CCEEFF" w:val="clear"/>
            <w:vAlign w:val="center"/>
          </w:tcPr>
          <w:p>
            <w:pPr>
              <w:pStyle w:val="TableContents"/>
              <w:bidi w:val="0"/>
              <w:spacing w:before="0" w:after="283"/>
              <w:jc w:val="left"/>
              <w:rPr>
                <w:sz w:val="4"/>
                <w:szCs w:val="4"/>
              </w:rPr>
            </w:pPr>
            <w:r>
              <w:rPr>
                <w:sz w:val="4"/>
                <w:szCs w:val="4"/>
              </w:rPr>
            </w:r>
          </w:p>
        </w:tc>
      </w:tr>
      <w:tr>
        <w:trPr/>
        <w:tc>
          <w:tcPr>
            <w:tcW w:w="66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Restricted stock units (including PSUs)</w:t>
            </w:r>
          </w:p>
        </w:tc>
        <w:tc>
          <w:tcPr>
            <w:tcW w:w="127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$166.5</w:t>
            </w:r>
          </w:p>
        </w:tc>
        <w:tc>
          <w:tcPr>
            <w:tcW w:w="205" w:type="dxa"/>
            <w:tcBorders/>
            <w:shd w:fill="FFFFFF" w:val="clear"/>
            <w:vAlign w:val="center"/>
          </w:tcPr>
          <w:p>
            <w:pPr>
              <w:pStyle w:val="TableContents"/>
              <w:bidi w:val="0"/>
              <w:spacing w:before="0" w:after="283"/>
              <w:jc w:val="left"/>
              <w:rPr>
                <w:sz w:val="4"/>
                <w:szCs w:val="4"/>
              </w:rPr>
            </w:pPr>
            <w:r>
              <w:rPr>
                <w:sz w:val="4"/>
                <w:szCs w:val="4"/>
              </w:rPr>
            </w:r>
          </w:p>
        </w:tc>
        <w:tc>
          <w:tcPr>
            <w:tcW w:w="135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$163.4</w:t>
            </w:r>
          </w:p>
        </w:tc>
      </w:tr>
      <w:tr>
        <w:trPr/>
        <w:tc>
          <w:tcPr>
            <w:tcW w:w="66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ESPP share issuances</w:t>
            </w:r>
          </w:p>
        </w:tc>
        <w:tc>
          <w:tcPr>
            <w:tcW w:w="127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w:t>
            </w:r>
          </w:p>
        </w:tc>
        <w:tc>
          <w:tcPr>
            <w:tcW w:w="205" w:type="dxa"/>
            <w:tcBorders/>
            <w:shd w:fill="CCEEFF" w:val="clear"/>
            <w:vAlign w:val="center"/>
          </w:tcPr>
          <w:p>
            <w:pPr>
              <w:pStyle w:val="TableContents"/>
              <w:bidi w:val="0"/>
              <w:spacing w:before="0" w:after="283"/>
              <w:jc w:val="left"/>
              <w:rPr>
                <w:sz w:val="4"/>
                <w:szCs w:val="4"/>
              </w:rPr>
            </w:pPr>
            <w:r>
              <w:rPr>
                <w:sz w:val="4"/>
                <w:szCs w:val="4"/>
              </w:rPr>
            </w:r>
          </w:p>
        </w:tc>
        <w:tc>
          <w:tcPr>
            <w:tcW w:w="135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w:t>
            </w:r>
          </w:p>
        </w:tc>
      </w:tr>
      <w:tr>
        <w:trPr/>
        <w:tc>
          <w:tcPr>
            <w:tcW w:w="66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Stock-based compensation expense related to inventories</w:t>
            </w:r>
          </w:p>
        </w:tc>
        <w:tc>
          <w:tcPr>
            <w:tcW w:w="1272"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205" w:type="dxa"/>
            <w:tcBorders/>
            <w:shd w:fill="FFFFFF" w:val="clear"/>
            <w:vAlign w:val="center"/>
          </w:tcPr>
          <w:p>
            <w:pPr>
              <w:pStyle w:val="TableContents"/>
              <w:bidi w:val="0"/>
              <w:spacing w:before="0" w:after="283"/>
              <w:jc w:val="left"/>
              <w:rPr>
                <w:sz w:val="4"/>
                <w:szCs w:val="4"/>
              </w:rPr>
            </w:pPr>
            <w:r>
              <w:rPr>
                <w:sz w:val="4"/>
                <w:szCs w:val="4"/>
              </w:rPr>
            </w:r>
          </w:p>
        </w:tc>
        <w:tc>
          <w:tcPr>
            <w:tcW w:w="1357"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r>
      <w:tr>
        <w:trPr/>
        <w:tc>
          <w:tcPr>
            <w:tcW w:w="66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stock-based compensation expense included in “Total costs and expenses”</w:t>
            </w:r>
          </w:p>
        </w:tc>
        <w:tc>
          <w:tcPr>
            <w:tcW w:w="1272"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$166.4</w:t>
            </w:r>
          </w:p>
        </w:tc>
        <w:tc>
          <w:tcPr>
            <w:tcW w:w="205" w:type="dxa"/>
            <w:tcBorders/>
            <w:shd w:fill="CCEEFF" w:val="clear"/>
            <w:vAlign w:val="center"/>
          </w:tcPr>
          <w:p>
            <w:pPr>
              <w:pStyle w:val="TableContents"/>
              <w:bidi w:val="0"/>
              <w:spacing w:before="0" w:after="283"/>
              <w:jc w:val="left"/>
              <w:rPr>
                <w:sz w:val="4"/>
                <w:szCs w:val="4"/>
              </w:rPr>
            </w:pPr>
            <w:r>
              <w:rPr>
                <w:sz w:val="4"/>
                <w:szCs w:val="4"/>
              </w:rPr>
            </w:r>
          </w:p>
        </w:tc>
        <w:tc>
          <w:tcPr>
            <w:tcW w:w="1357"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$166.1</w:t>
            </w:r>
          </w:p>
        </w:tc>
      </w:tr>
      <w:tr>
        <w:trPr/>
        <w:tc>
          <w:tcPr>
            <w:tcW w:w="6661" w:type="dxa"/>
            <w:tcBorders/>
            <w:shd w:fill="FFFFFF" w:val="clear"/>
            <w:vAlign w:val="center"/>
          </w:tcPr>
          <w:p>
            <w:pPr>
              <w:pStyle w:val="TableContents"/>
              <w:bidi w:val="0"/>
              <w:spacing w:before="0" w:after="283"/>
              <w:jc w:val="left"/>
              <w:rPr>
                <w:sz w:val="4"/>
                <w:szCs w:val="4"/>
              </w:rPr>
            </w:pPr>
            <w:r>
              <w:rPr>
                <w:sz w:val="4"/>
                <w:szCs w:val="4"/>
              </w:rPr>
            </w:r>
          </w:p>
        </w:tc>
        <w:tc>
          <w:tcPr>
            <w:tcW w:w="1272"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vAlign w:val="center"/>
          </w:tcPr>
          <w:p>
            <w:pPr>
              <w:pStyle w:val="TableContents"/>
              <w:bidi w:val="0"/>
              <w:spacing w:before="0" w:after="283"/>
              <w:jc w:val="left"/>
              <w:rPr>
                <w:sz w:val="4"/>
                <w:szCs w:val="4"/>
              </w:rPr>
            </w:pPr>
            <w:r>
              <w:rPr>
                <w:sz w:val="4"/>
                <w:szCs w:val="4"/>
              </w:rPr>
            </w:r>
          </w:p>
        </w:tc>
        <w:tc>
          <w:tcPr>
            <w:tcW w:w="1357"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Stock-based compensation expense by line item:</w:t>
            </w:r>
          </w:p>
        </w:tc>
        <w:tc>
          <w:tcPr>
            <w:tcW w:w="1272" w:type="dxa"/>
            <w:tcBorders/>
            <w:shd w:fill="CCEEFF" w:val="clear"/>
            <w:vAlign w:val="center"/>
          </w:tcPr>
          <w:p>
            <w:pPr>
              <w:pStyle w:val="TableContents"/>
              <w:bidi w:val="0"/>
              <w:spacing w:before="0" w:after="283"/>
              <w:jc w:val="left"/>
              <w:rPr>
                <w:sz w:val="4"/>
                <w:szCs w:val="4"/>
              </w:rPr>
            </w:pPr>
            <w:r>
              <w:rPr>
                <w:sz w:val="4"/>
                <w:szCs w:val="4"/>
              </w:rPr>
            </w:r>
          </w:p>
        </w:tc>
        <w:tc>
          <w:tcPr>
            <w:tcW w:w="205" w:type="dxa"/>
            <w:tcBorders/>
            <w:shd w:fill="CCEEFF" w:val="clear"/>
            <w:vAlign w:val="center"/>
          </w:tcPr>
          <w:p>
            <w:pPr>
              <w:pStyle w:val="TableContents"/>
              <w:bidi w:val="0"/>
              <w:spacing w:before="0" w:after="283"/>
              <w:jc w:val="left"/>
              <w:rPr>
                <w:sz w:val="4"/>
                <w:szCs w:val="4"/>
              </w:rPr>
            </w:pPr>
            <w:r>
              <w:rPr>
                <w:sz w:val="4"/>
                <w:szCs w:val="4"/>
              </w:rPr>
            </w:r>
          </w:p>
        </w:tc>
        <w:tc>
          <w:tcPr>
            <w:tcW w:w="1357" w:type="dxa"/>
            <w:tcBorders/>
            <w:shd w:fill="CCEEFF" w:val="clear"/>
            <w:vAlign w:val="center"/>
          </w:tcPr>
          <w:p>
            <w:pPr>
              <w:pStyle w:val="TableContents"/>
              <w:bidi w:val="0"/>
              <w:spacing w:before="0" w:after="283"/>
              <w:jc w:val="left"/>
              <w:rPr>
                <w:sz w:val="4"/>
                <w:szCs w:val="4"/>
              </w:rPr>
            </w:pPr>
            <w:r>
              <w:rPr>
                <w:sz w:val="4"/>
                <w:szCs w:val="4"/>
              </w:rPr>
            </w:r>
          </w:p>
        </w:tc>
      </w:tr>
      <w:tr>
        <w:trPr/>
        <w:tc>
          <w:tcPr>
            <w:tcW w:w="66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Cost of sales</w:t>
            </w:r>
          </w:p>
        </w:tc>
        <w:tc>
          <w:tcPr>
            <w:tcW w:w="127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w:t>
            </w:r>
          </w:p>
        </w:tc>
        <w:tc>
          <w:tcPr>
            <w:tcW w:w="205" w:type="dxa"/>
            <w:tcBorders/>
            <w:shd w:fill="FFFFFF" w:val="clear"/>
            <w:vAlign w:val="center"/>
          </w:tcPr>
          <w:p>
            <w:pPr>
              <w:pStyle w:val="TableContents"/>
              <w:bidi w:val="0"/>
              <w:spacing w:before="0" w:after="283"/>
              <w:jc w:val="left"/>
              <w:rPr>
                <w:sz w:val="4"/>
                <w:szCs w:val="4"/>
              </w:rPr>
            </w:pPr>
            <w:r>
              <w:rPr>
                <w:sz w:val="4"/>
                <w:szCs w:val="4"/>
              </w:rPr>
            </w:r>
          </w:p>
        </w:tc>
        <w:tc>
          <w:tcPr>
            <w:tcW w:w="135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w:t>
            </w:r>
          </w:p>
        </w:tc>
      </w:tr>
      <w:tr>
        <w:trPr/>
        <w:tc>
          <w:tcPr>
            <w:tcW w:w="66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Research and development expenses</w:t>
            </w:r>
          </w:p>
        </w:tc>
        <w:tc>
          <w:tcPr>
            <w:tcW w:w="127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101.7</w:t>
            </w:r>
          </w:p>
        </w:tc>
        <w:tc>
          <w:tcPr>
            <w:tcW w:w="205" w:type="dxa"/>
            <w:tcBorders/>
            <w:shd w:fill="CCEEFF" w:val="clear"/>
            <w:vAlign w:val="center"/>
          </w:tcPr>
          <w:p>
            <w:pPr>
              <w:pStyle w:val="TableContents"/>
              <w:bidi w:val="0"/>
              <w:spacing w:before="0" w:after="283"/>
              <w:jc w:val="left"/>
              <w:rPr>
                <w:sz w:val="4"/>
                <w:szCs w:val="4"/>
              </w:rPr>
            </w:pPr>
            <w:r>
              <w:rPr>
                <w:sz w:val="4"/>
                <w:szCs w:val="4"/>
              </w:rPr>
            </w:r>
          </w:p>
        </w:tc>
        <w:tc>
          <w:tcPr>
            <w:tcW w:w="135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100.1</w:t>
            </w:r>
          </w:p>
        </w:tc>
      </w:tr>
      <w:tr>
        <w:trPr/>
        <w:tc>
          <w:tcPr>
            <w:tcW w:w="66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Selling, general and administrative expenses</w:t>
            </w:r>
          </w:p>
        </w:tc>
        <w:tc>
          <w:tcPr>
            <w:tcW w:w="1272"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61.5</w:t>
            </w:r>
          </w:p>
        </w:tc>
        <w:tc>
          <w:tcPr>
            <w:tcW w:w="205" w:type="dxa"/>
            <w:tcBorders/>
            <w:shd w:fill="FFFFFF" w:val="clear"/>
            <w:vAlign w:val="center"/>
          </w:tcPr>
          <w:p>
            <w:pPr>
              <w:pStyle w:val="TableContents"/>
              <w:bidi w:val="0"/>
              <w:spacing w:before="0" w:after="283"/>
              <w:jc w:val="left"/>
              <w:rPr>
                <w:sz w:val="4"/>
                <w:szCs w:val="4"/>
              </w:rPr>
            </w:pPr>
            <w:r>
              <w:rPr>
                <w:sz w:val="4"/>
                <w:szCs w:val="4"/>
              </w:rPr>
            </w:r>
          </w:p>
        </w:tc>
        <w:tc>
          <w:tcPr>
            <w:tcW w:w="1357"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63.4</w:t>
            </w:r>
          </w:p>
        </w:tc>
      </w:tr>
      <w:tr>
        <w:trPr/>
        <w:tc>
          <w:tcPr>
            <w:tcW w:w="66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stock-based compensation expense included in “Total costs and expenses”</w:t>
            </w:r>
          </w:p>
        </w:tc>
        <w:tc>
          <w:tcPr>
            <w:tcW w:w="127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166.4</w:t>
            </w:r>
          </w:p>
        </w:tc>
        <w:tc>
          <w:tcPr>
            <w:tcW w:w="205" w:type="dxa"/>
            <w:tcBorders/>
            <w:shd w:fill="CCEEFF" w:val="clear"/>
            <w:vAlign w:val="center"/>
          </w:tcPr>
          <w:p>
            <w:pPr>
              <w:pStyle w:val="TableContents"/>
              <w:bidi w:val="0"/>
              <w:spacing w:before="0" w:after="283"/>
              <w:jc w:val="left"/>
              <w:rPr>
                <w:sz w:val="4"/>
                <w:szCs w:val="4"/>
              </w:rPr>
            </w:pPr>
            <w:r>
              <w:rPr>
                <w:sz w:val="4"/>
                <w:szCs w:val="4"/>
              </w:rPr>
            </w:r>
          </w:p>
        </w:tc>
        <w:tc>
          <w:tcPr>
            <w:tcW w:w="1357"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166.1</w:t>
            </w:r>
          </w:p>
        </w:tc>
      </w:tr>
      <w:tr>
        <w:trPr/>
        <w:tc>
          <w:tcPr>
            <w:tcW w:w="66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Income tax effect</w:t>
            </w:r>
          </w:p>
        </w:tc>
        <w:tc>
          <w:tcPr>
            <w:tcW w:w="1272"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(35.3)</w:t>
            </w:r>
          </w:p>
        </w:tc>
        <w:tc>
          <w:tcPr>
            <w:tcW w:w="205" w:type="dxa"/>
            <w:tcBorders/>
            <w:shd w:fill="FFFFFF" w:val="clear"/>
            <w:vAlign w:val="center"/>
          </w:tcPr>
          <w:p>
            <w:pPr>
              <w:pStyle w:val="TableContents"/>
              <w:bidi w:val="0"/>
              <w:spacing w:before="0" w:after="283"/>
              <w:jc w:val="left"/>
              <w:rPr>
                <w:sz w:val="4"/>
                <w:szCs w:val="4"/>
              </w:rPr>
            </w:pPr>
            <w:r>
              <w:rPr>
                <w:sz w:val="4"/>
                <w:szCs w:val="4"/>
              </w:rPr>
            </w:r>
          </w:p>
        </w:tc>
        <w:tc>
          <w:tcPr>
            <w:tcW w:w="1357"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(75.2)</w:t>
            </w:r>
          </w:p>
        </w:tc>
      </w:tr>
      <w:tr>
        <w:trPr/>
        <w:tc>
          <w:tcPr>
            <w:tcW w:w="66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stock-based compensation expense, net of tax</w:t>
            </w:r>
          </w:p>
        </w:tc>
        <w:tc>
          <w:tcPr>
            <w:tcW w:w="1272"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$131.1</w:t>
            </w:r>
          </w:p>
        </w:tc>
        <w:tc>
          <w:tcPr>
            <w:tcW w:w="205" w:type="dxa"/>
            <w:tcBorders/>
            <w:shd w:fill="CCEEFF" w:val="clear"/>
            <w:vAlign w:val="center"/>
          </w:tcPr>
          <w:p>
            <w:pPr>
              <w:pStyle w:val="TableContents"/>
              <w:bidi w:val="0"/>
              <w:spacing w:before="0" w:after="283"/>
              <w:jc w:val="left"/>
              <w:rPr>
                <w:sz w:val="4"/>
                <w:szCs w:val="4"/>
              </w:rPr>
            </w:pPr>
            <w:r>
              <w:rPr>
                <w:sz w:val="4"/>
                <w:szCs w:val="4"/>
              </w:rPr>
            </w:r>
          </w:p>
        </w:tc>
        <w:tc>
          <w:tcPr>
            <w:tcW w:w="1357"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$90.9</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(unaudited)</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Share repurchase program</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February 2023, our Board of Directors authorized a share repurchase program (the “2023 Share Repurchase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Program”), pursuant to which we were authorized to repurchase up to $3.0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our common stock. As of September 30,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2025, we had repurchased the full amount authorized under the 2023 Share Repurchase Program.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May 2025, our Board of Directors authorized an additional share repurchase program (the “2025 Share Repurchase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Program”), pursuant to which we are authorized to repurchase up to $4.0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our common stock. The 2025 Share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Repurchase Program does not have an expiration date and can be discontinued at any time.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During the three months ended March 31,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2025, we repurchased 0.7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0.9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shares of our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common stock under our share repurchase programs, respectively, for aggregate repurchases of $344.5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$416.9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 respectively. As of March 31, 2026, we had $3.0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remaining available under the 2025 Share Repurchase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K.Income Taxes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 are subject to U.S. federal, state, and foreign income taxes. During the three months ended March 31,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2025,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 recorded the following provisions for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income taxes and effective tax rates as compared to our income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before provision for</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income taxes.</w:t>
      </w:r>
    </w:p>
    <w:tbl>
      <w:tblPr>
        <w:tblW w:w="6345" w:type="dxa"/>
        <w:jc w:val="left"/>
        <w:tblInd w:w="0" w:type="dxa"/>
        <w:tblLayout w:type="fixed"/>
        <w:tblCellMar>
          <w:top w:w="28" w:type="dxa"/>
          <w:left w:w="28" w:type="dxa"/>
          <w:bottom w:w="28" w:type="dxa"/>
          <w:right w:w="28" w:type="dxa"/>
        </w:tblCellMar>
      </w:tblPr>
      <w:tblGrid>
        <w:gridCol w:w="3511"/>
        <w:gridCol w:w="1414"/>
        <w:gridCol w:w="186"/>
        <w:gridCol w:w="1234"/>
      </w:tblGrid>
      <w:tr>
        <w:trPr/>
        <w:tc>
          <w:tcPr>
            <w:tcW w:w="351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3511" w:type="dxa"/>
            <w:tcBorders/>
            <w:vAlign w:val="center"/>
          </w:tcPr>
          <w:p>
            <w:pPr>
              <w:pStyle w:val="TableContents"/>
              <w:bidi w:val="0"/>
              <w:spacing w:before="0" w:after="283"/>
              <w:jc w:val="left"/>
              <w:rPr>
                <w:sz w:val="4"/>
                <w:szCs w:val="4"/>
              </w:rPr>
            </w:pPr>
            <w:r>
              <w:rPr>
                <w:sz w:val="4"/>
                <w:szCs w:val="4"/>
              </w:rPr>
            </w:r>
          </w:p>
        </w:tc>
        <w:tc>
          <w:tcPr>
            <w:tcW w:w="2834"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Three Months Ended March 31,</w:t>
            </w:r>
          </w:p>
        </w:tc>
      </w:tr>
      <w:tr>
        <w:trPr/>
        <w:tc>
          <w:tcPr>
            <w:tcW w:w="3511" w:type="dxa"/>
            <w:tcBorders/>
            <w:vAlign w:val="center"/>
          </w:tcPr>
          <w:p>
            <w:pPr>
              <w:pStyle w:val="TableContents"/>
              <w:bidi w:val="0"/>
              <w:spacing w:before="0" w:after="283"/>
              <w:jc w:val="left"/>
              <w:rPr>
                <w:sz w:val="4"/>
                <w:szCs w:val="4"/>
              </w:rPr>
            </w:pPr>
            <w:r>
              <w:rPr>
                <w:sz w:val="4"/>
                <w:szCs w:val="4"/>
              </w:rPr>
            </w:r>
          </w:p>
        </w:tc>
        <w:tc>
          <w:tcPr>
            <w:tcW w:w="1414"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3511" w:type="dxa"/>
            <w:tcBorders/>
            <w:vAlign w:val="center"/>
          </w:tcPr>
          <w:p>
            <w:pPr>
              <w:pStyle w:val="TableContents"/>
              <w:bidi w:val="0"/>
              <w:spacing w:before="0" w:after="283"/>
              <w:jc w:val="left"/>
              <w:rPr>
                <w:sz w:val="4"/>
                <w:szCs w:val="4"/>
              </w:rPr>
            </w:pPr>
            <w:r>
              <w:rPr>
                <w:sz w:val="4"/>
                <w:szCs w:val="4"/>
              </w:rPr>
            </w:r>
          </w:p>
        </w:tc>
        <w:tc>
          <w:tcPr>
            <w:tcW w:w="14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3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 except percentages)</w:t>
            </w:r>
          </w:p>
        </w:tc>
        <w:tc>
          <w:tcPr>
            <w:tcW w:w="2834" w:type="dxa"/>
            <w:gridSpan w:val="3"/>
            <w:tcBorders/>
            <w:vAlign w:val="center"/>
          </w:tcPr>
          <w:p>
            <w:pPr>
              <w:pStyle w:val="TableContents"/>
              <w:bidi w:val="0"/>
              <w:spacing w:before="0" w:after="283"/>
              <w:jc w:val="left"/>
              <w:rPr>
                <w:sz w:val="4"/>
                <w:szCs w:val="4"/>
              </w:rPr>
            </w:pPr>
            <w:r>
              <w:rPr>
                <w:sz w:val="4"/>
                <w:szCs w:val="4"/>
              </w:rPr>
            </w:r>
          </w:p>
        </w:tc>
      </w:tr>
      <w:tr>
        <w:trPr/>
        <w:tc>
          <w:tcPr>
            <w:tcW w:w="351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Income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before provision for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income taxes</w:t>
            </w:r>
          </w:p>
        </w:tc>
        <w:tc>
          <w:tcPr>
            <w:tcW w:w="141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$1,252.9</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23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$730.4</w:t>
            </w:r>
          </w:p>
        </w:tc>
      </w:tr>
      <w:tr>
        <w:trPr/>
        <w:tc>
          <w:tcPr>
            <w:tcW w:w="351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Provision for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income taxes</w:t>
            </w:r>
          </w:p>
        </w:tc>
        <w:tc>
          <w:tcPr>
            <w:tcW w:w="141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$221.5</w:t>
            </w:r>
          </w:p>
        </w:tc>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123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$84.1</w:t>
            </w:r>
          </w:p>
        </w:tc>
      </w:tr>
    </w:tbl>
    <w:tbl>
      <w:tblPr>
        <w:tblW w:w="2917" w:type="dxa"/>
        <w:jc w:val="left"/>
        <w:tblInd w:w="0" w:type="dxa"/>
        <w:tblLayout w:type="fixed"/>
        <w:tblCellMar>
          <w:top w:w="28" w:type="dxa"/>
          <w:left w:w="28" w:type="dxa"/>
          <w:bottom w:w="28" w:type="dxa"/>
          <w:right w:w="28" w:type="dxa"/>
        </w:tblCellMar>
      </w:tblPr>
      <w:tblGrid>
        <w:gridCol w:w="1501"/>
        <w:gridCol w:w="631"/>
        <w:gridCol w:w="109"/>
        <w:gridCol w:w="676"/>
      </w:tblGrid>
      <w:tr>
        <w:trPr/>
        <w:tc>
          <w:tcPr>
            <w:tcW w:w="150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15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Effective tax rate</w:t>
            </w:r>
          </w:p>
        </w:tc>
        <w:tc>
          <w:tcPr>
            <w:tcW w:w="6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11.5%</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 effective tax rates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three months ended March 31,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were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lower than the U.S. statutory rate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primarily due to excess tax benefits related to stock-based compensation.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have reviewed the tax positions taken, or to be taken, in our tax returns for all tax years currently open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examination by a taxing authority. As of March 31,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December 31, 2025, we had $420.3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$436.6 million,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respectively, of net unrecognized tax benefits, which would affect our tax rate if recognized.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file U.S. federal income tax returns and income tax returns in various state, local and foreign jurisdictions. We have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various income tax audits ongoing at any time throughout the world. Except for jurisdictions where we have net operating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losses or tax credit carryforwards, we are no longer subject to any tax assessment from tax authorities for years prior to 2014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jurisdictions that have a material impact on our consolidated financial statements. Due to the nature of the adjustments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from a settlement with the United Kingdom’s HM Revenue &amp; Customs in 2023, we have asserted our rights under the U.S./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U.K. Income Tax Convention pursuant to the mutual agreement procedures for the relief of double taxation for these matters.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December 2022, European Union member states reached an agreement to implement the minimum tax component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(“Pillar Two”) of the Organization for Economic Co-operation and Development’s (the “OECD’s”), global international tax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reform initiative with effective dates of January 1, 2024 and 2025. On January 5, 2026, the OECD announced that a ‘side-by-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side’ agreement was reached with member countries creating safe harbors to exempt U.S. multi-nationals from certain taxes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under the Pillar Two regime by recognizing the U.S. tax system as a compatible domestic minimum tax regime. Our exposure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other countries’ minimum tax regimes was limited before these changes, but the side-by-side agreement allows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certainty as our structure may change in the future.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July 2025, the U.S. enacted H.R.1, which includes significant provisions modifying the U.S. tax framework, including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ability for companies to immediately deduct research and development expenditures for 2025 and provisions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deducting previously capitalized amounts. H.R.1 does not have a material impact on our U.S. taxes for the first quarter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2026, but we expect further guidance to be issued.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We will review guidance when issued for impacts on future years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disclose any impacts if needed at that time. These legislative changes could have an impact on our future effective tax rates,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tax liabilities, and cash taxes.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L.Commitments and Contingencies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2022 Credit Facility</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July 2022, Vertex and certain of its subsidiaries entered into a $500.0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unsecured revolving facility (the “Credit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Agreement”) with Bank of America, N.A., as administrative agent and the lenders referred to therein (the “Lenders”), which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matures on July 1, 2027. The Credit Agreement was not drawn upon at closing and we have not drawn upon it to date.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Amounts drawn pursuant to the Credit Agreement, if any, will be used for general corporate purposes. Subject to satisfaction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certain conditions, we may request that the borrowing capacity for the Credit Agreement be increased by an additional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$500.0 million. Additionally, the Credit Agreement provides a sublimit of $100.0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letters of credit.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Any amounts borrowed under the Credit Agreement will bear interest, at our option, at either a base rate or a Secured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Overnight Financing Rate (“SOFR”), in each case plus an applicable margin. Under the Credit Agreement, the applicable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margins on base rate loans range from 0.000%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0.500%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the applicable margins on SOFR loans range from 1.000%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1.500%, in each case based on our consolidated leverage ratio (the ratio of our total consolidated funded indebtedness to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consolidated EBITDA for the most recently completed four fiscal quarter period).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Any amounts borrowed pursuant to the Credit Agreement are guaranteed by certain of our existing and future domestic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subsidiaries, subject to certain exceptions.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Credit Agreement contains customary representations and warranties and affirmative and negative covenants,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including a financial covenant to maintain subject to certain limited exceptions, a consolidated leverage ratio of 3.50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1.00,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subject to an increase to 4.00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1.00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following a material acquisition. As of March 31, 2026, we were in compliance with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covenants described above. The Credit Agreement also contains customary events of default. In the case of a continuing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event of default, the administrative agent would be entitled to exercise various remedies, including the acceleration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amounts due under outstanding loans.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Direct costs related to the Credit Agreement are recorded over its term and are not material to our financial statements.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Guaranties and Indemnifications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permitted under Massachusetts law, our Articles of Organization and By-laws provide that we will indemnify certain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our officers and directors for certain claims asserted against them in connection with their service as an officer or director.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maximum potential amount of future payments that we could be required to make under these indemnification provisions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is unlimited. However, we have purchased directors’ and officers’ liability insurance policies that could reduce our monetary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exposure and enable us to recover a portion of any future amounts paid. 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indemnification claims currently are outstanding,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and we believe the estimated fair value of these indemnification arrangements is minimal.</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customarily agree in the ordinary course of our business to indemnification provisions in agreements with clinical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trial investigators and sites in our product development programs, sponsored research agreements with academic and not-for-</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profit institutions, various comparable agreements involving parties performing services for us, and our real estate leases. We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also customarily agree to certain indemnification provisions in our drug discovery, development and commercialization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collaboration agreements. With respect to our clinical trials and sponsored research agreements, these indemnification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provisions typically apply to any claim asserted against the investigator or the investigator’s institution relating to personal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injury or property damage, violations of law or certain breaches of our contractual obligations arising out of the research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clinical testing of our compounds or product candidates. With respect to lease agreements, the indemnification provisions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typically apply to claims asserted against the landlord relating to personal injury or property damage caused by us,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violations of law by us or to certain breaches of our contractual obligations. The indemnification provisions appearing in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collaboration agreements are similar to those for the other agreements discussed above, but in addition provide some limited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indemnification for our collaborator in the event of third-party claims alleging infringement of intellectual property rights.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each of the cases above, the indemnification obligation generally survives the termination of the agreement for some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extended period, although we believe the obligation typically has the most relevance during the contract term and for a short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period of time thereafter. The maximum potential amount of future payments that we could be required to make under these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provisions is generally unlimited. We have purchased insurance policies covering personal injury, property damage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general liability that reduce our exposure for indemnification and would enable us in many cases to recover all or a portion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any future amounts paid. We have never paid any material amounts to defend lawsuits or settle claims related to these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indemnification provisions. Accordingly, we believe the estimated fair value of these indemnification arrangements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minimal.</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(unaudited)</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Legal Matters and Other Contingencies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described in Note B, “Collaboration, License and Other Arrangements,”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we have an agreement with the CFF (the </w:t>
      </w:r>
    </w:p>
    <w:p>
      <w:pPr>
        <w:pStyle w:val="TextBody"/>
        <w:bidi w:val="0"/>
        <w:spacing w:lineRule="atLeast" w:line="20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CFF Agreement”) pursuant to which we owe third-party royalties payable on net sales of certain CF products, including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ALYFTREK. Since inception, our ALYFTREK net product revenues total $1.3 billion. Based on the CFF Agreement,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position is that the royalty burden associated with ALYFTREK is 4%. On October 10, 2025, Royalty Pharma plc (“RP”),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third party to whom the CFF assigned its rights (and the CFF, which remains a party to the CFF Agreement), initiated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confidential arbitration alleging the royalty burden on ALYFTREK is approximately 8%. RP is seeking a declaratory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judgment regarding the royalty burden on ALYFTREK as well as alleged unpaid royalties and other alleged damages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available under the CFF Agreement or applicable law, costs, expenses, attorneys’ fees, and interest. We believe RP’s position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is contrary to the plain terms of the CFF Agreement and intend to vigorously defend our position under the CFF Agreement.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a quarterly basis, we evaluate developments with claims, whether asserted or unasserted, and legal proceedings that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could result in a loss contingency accrual, or an increase or decrease to a previously accrued loss contingency. There were no</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material loss contingencies accrued as of March 31,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 December 31, 2025.</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also have certain contingent liabilities that arise in the ordinary course of our business activities. We accrue for such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contingent liabilities when it is probable that future expenditures will be made and such expenditures can be reasonably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estimated. Other than our contingent consideration liabilities discussed in Note D, “Fair Value Measurements,”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there were no</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significant contingent liabilities accrued as of March 31,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M.Segment Information</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Revenues by Product</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Product revenues, net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consisted of the following:</w:t>
      </w:r>
    </w:p>
    <w:tbl>
      <w:tblPr>
        <w:tblW w:w="5461" w:type="dxa"/>
        <w:jc w:val="left"/>
        <w:tblInd w:w="0" w:type="dxa"/>
        <w:tblLayout w:type="fixed"/>
        <w:tblCellMar>
          <w:top w:w="28" w:type="dxa"/>
          <w:left w:w="28" w:type="dxa"/>
          <w:bottom w:w="28" w:type="dxa"/>
          <w:right w:w="28" w:type="dxa"/>
        </w:tblCellMar>
      </w:tblPr>
      <w:tblGrid>
        <w:gridCol w:w="2626"/>
        <w:gridCol w:w="1297"/>
        <w:gridCol w:w="171"/>
        <w:gridCol w:w="1367"/>
      </w:tblGrid>
      <w:tr>
        <w:trPr/>
        <w:tc>
          <w:tcPr>
            <w:tcW w:w="262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r>
      <w:tr>
        <w:trPr/>
        <w:tc>
          <w:tcPr>
            <w:tcW w:w="2626" w:type="dxa"/>
            <w:tcBorders/>
            <w:vAlign w:val="center"/>
          </w:tcPr>
          <w:p>
            <w:pPr>
              <w:pStyle w:val="TableContents"/>
              <w:bidi w:val="0"/>
              <w:spacing w:before="0" w:after="283"/>
              <w:jc w:val="left"/>
              <w:rPr>
                <w:sz w:val="4"/>
                <w:szCs w:val="4"/>
              </w:rPr>
            </w:pPr>
            <w:r>
              <w:rPr>
                <w:sz w:val="4"/>
                <w:szCs w:val="4"/>
              </w:rPr>
            </w:r>
          </w:p>
        </w:tc>
        <w:tc>
          <w:tcPr>
            <w:tcW w:w="2835"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Three Months Ended March 31,</w:t>
            </w:r>
          </w:p>
        </w:tc>
      </w:tr>
      <w:tr>
        <w:trPr/>
        <w:tc>
          <w:tcPr>
            <w:tcW w:w="2626" w:type="dxa"/>
            <w:tcBorders/>
            <w:vAlign w:val="center"/>
          </w:tcPr>
          <w:p>
            <w:pPr>
              <w:pStyle w:val="TableContents"/>
              <w:bidi w:val="0"/>
              <w:spacing w:before="0" w:after="283"/>
              <w:jc w:val="left"/>
              <w:rPr>
                <w:sz w:val="4"/>
                <w:szCs w:val="4"/>
              </w:rPr>
            </w:pPr>
            <w:r>
              <w:rPr>
                <w:sz w:val="4"/>
                <w:szCs w:val="4"/>
              </w:rPr>
            </w:r>
          </w:p>
        </w:tc>
        <w:tc>
          <w:tcPr>
            <w:tcW w:w="129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2626" w:type="dxa"/>
            <w:tcBorders/>
            <w:vAlign w:val="center"/>
          </w:tcPr>
          <w:p>
            <w:pPr>
              <w:pStyle w:val="TableContents"/>
              <w:bidi w:val="0"/>
              <w:spacing w:before="0" w:after="283"/>
              <w:jc w:val="left"/>
              <w:rPr>
                <w:sz w:val="4"/>
                <w:szCs w:val="4"/>
              </w:rPr>
            </w:pPr>
            <w:r>
              <w:rPr>
                <w:sz w:val="4"/>
                <w:szCs w:val="4"/>
              </w:rPr>
            </w:r>
          </w:p>
        </w:tc>
        <w:tc>
          <w:tcPr>
            <w:tcW w:w="129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6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c>
          <w:tcPr>
            <w:tcW w:w="2835" w:type="dxa"/>
            <w:gridSpan w:val="3"/>
            <w:tcBorders/>
            <w:vAlign w:val="center"/>
          </w:tcPr>
          <w:p>
            <w:pPr>
              <w:pStyle w:val="TableContents"/>
              <w:bidi w:val="0"/>
              <w:spacing w:before="0" w:after="283"/>
              <w:jc w:val="left"/>
              <w:rPr>
                <w:sz w:val="4"/>
                <w:szCs w:val="4"/>
              </w:rPr>
            </w:pPr>
            <w:r>
              <w:rPr>
                <w:sz w:val="4"/>
                <w:szCs w:val="4"/>
              </w:rPr>
            </w:r>
          </w:p>
        </w:tc>
      </w:tr>
      <w:tr>
        <w:trPr/>
        <w:tc>
          <w:tcPr>
            <w:tcW w:w="26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TRIKAFTA/KAFTRIO</w:t>
            </w:r>
          </w:p>
        </w:tc>
        <w:tc>
          <w:tcPr>
            <w:tcW w:w="129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$2,354.7</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$2,535.5</w:t>
            </w:r>
          </w:p>
        </w:tc>
      </w:tr>
      <w:tr>
        <w:trPr/>
        <w:tc>
          <w:tcPr>
            <w:tcW w:w="26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ALYFTREK</w:t>
            </w:r>
          </w:p>
        </w:tc>
        <w:tc>
          <w:tcPr>
            <w:tcW w:w="129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424.4</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53.9</w:t>
            </w:r>
          </w:p>
        </w:tc>
      </w:tr>
      <w:tr>
        <w:trPr/>
        <w:tc>
          <w:tcPr>
            <w:tcW w:w="262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Other CF product revenues</w:t>
            </w:r>
            <w:r>
              <w:rPr>
                <w:caps w:val="false"/>
                <w:smallCaps w:val="false"/>
              </w:rPr>
              <w:t xml:space="preserve"> </w:t>
            </w:r>
            <w:r>
              <w:rPr>
                <w:rFonts w:ascii="Times New Roman;serif" w:hAnsi="Times New Roman;serif"/>
                <w:b w:val="false"/>
                <w:i w:val="false"/>
                <w:caps w:val="false"/>
                <w:smallCaps w:val="false"/>
                <w:sz w:val="13"/>
              </w:rPr>
              <w:t>(1)</w:t>
            </w:r>
          </w:p>
        </w:tc>
        <w:tc>
          <w:tcPr>
            <w:tcW w:w="1297"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135.9</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155.3</w:t>
            </w:r>
          </w:p>
        </w:tc>
      </w:tr>
      <w:tr>
        <w:trPr/>
        <w:tc>
          <w:tcPr>
            <w:tcW w:w="26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CF product revenues, net</w:t>
            </w:r>
          </w:p>
        </w:tc>
        <w:tc>
          <w:tcPr>
            <w:tcW w:w="1297"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2,915.0</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2,744.7</w:t>
            </w:r>
          </w:p>
        </w:tc>
      </w:tr>
      <w:tr>
        <w:trPr/>
        <w:tc>
          <w:tcPr>
            <w:tcW w:w="26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CASGEVY</w:t>
            </w:r>
          </w:p>
        </w:tc>
        <w:tc>
          <w:tcPr>
            <w:tcW w:w="129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42.9</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14.2</w:t>
            </w:r>
          </w:p>
        </w:tc>
      </w:tr>
      <w:tr>
        <w:trPr/>
        <w:tc>
          <w:tcPr>
            <w:tcW w:w="26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JOURNAVX</w:t>
            </w:r>
          </w:p>
        </w:tc>
        <w:tc>
          <w:tcPr>
            <w:tcW w:w="1297"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29.0</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r>
      <w:tr>
        <w:trPr/>
        <w:tc>
          <w:tcPr>
            <w:tcW w:w="26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product revenues, net</w:t>
            </w:r>
          </w:p>
        </w:tc>
        <w:tc>
          <w:tcPr>
            <w:tcW w:w="1297"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$2,986.9</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$2,760.2</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297"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4"/>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13"/>
              </w:rPr>
              <w:t xml:space="preserve">(1) </w:t>
            </w:r>
            <w:r>
              <w:rPr>
                <w:rFonts w:ascii="Times New Roman;serif" w:hAnsi="Times New Roman;serif"/>
                <w:b w:val="false"/>
                <w:i w:val="false"/>
                <w:caps w:val="false"/>
                <w:smallCaps w:val="false"/>
                <w:sz w:val="16"/>
              </w:rPr>
              <w:t>Include KALYDECO, ORKAMBI, and SYMDEKO/SYMKEVI.</w:t>
            </w:r>
          </w:p>
        </w:tc>
      </w:tr>
    </w:tbl>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Revenues by Geographic Location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Product revenues, net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are allocated based on the location of the customer. “Other revenues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are allocated based on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location of the Vertex entity associated with such revenues. Our “Total revenues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consisted of the following:</w:t>
      </w:r>
    </w:p>
    <w:tbl>
      <w:tblPr>
        <w:tblW w:w="6436" w:type="dxa"/>
        <w:jc w:val="left"/>
        <w:tblInd w:w="0" w:type="dxa"/>
        <w:tblLayout w:type="fixed"/>
        <w:tblCellMar>
          <w:top w:w="28" w:type="dxa"/>
          <w:left w:w="28" w:type="dxa"/>
          <w:bottom w:w="28" w:type="dxa"/>
          <w:right w:w="28" w:type="dxa"/>
        </w:tblCellMar>
      </w:tblPr>
      <w:tblGrid>
        <w:gridCol w:w="3601"/>
        <w:gridCol w:w="1297"/>
        <w:gridCol w:w="171"/>
        <w:gridCol w:w="1367"/>
      </w:tblGrid>
      <w:tr>
        <w:trPr/>
        <w:tc>
          <w:tcPr>
            <w:tcW w:w="360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r>
      <w:tr>
        <w:trPr/>
        <w:tc>
          <w:tcPr>
            <w:tcW w:w="3601" w:type="dxa"/>
            <w:tcBorders/>
            <w:vAlign w:val="center"/>
          </w:tcPr>
          <w:p>
            <w:pPr>
              <w:pStyle w:val="TableContents"/>
              <w:bidi w:val="0"/>
              <w:spacing w:before="0" w:after="283"/>
              <w:jc w:val="left"/>
              <w:rPr>
                <w:sz w:val="4"/>
                <w:szCs w:val="4"/>
              </w:rPr>
            </w:pPr>
            <w:r>
              <w:rPr>
                <w:sz w:val="4"/>
                <w:szCs w:val="4"/>
              </w:rPr>
            </w:r>
          </w:p>
        </w:tc>
        <w:tc>
          <w:tcPr>
            <w:tcW w:w="2835"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Three Months Ended March 31,</w:t>
            </w:r>
          </w:p>
        </w:tc>
      </w:tr>
      <w:tr>
        <w:trPr/>
        <w:tc>
          <w:tcPr>
            <w:tcW w:w="3601" w:type="dxa"/>
            <w:tcBorders/>
            <w:vAlign w:val="center"/>
          </w:tcPr>
          <w:p>
            <w:pPr>
              <w:pStyle w:val="TableContents"/>
              <w:bidi w:val="0"/>
              <w:spacing w:before="0" w:after="283"/>
              <w:jc w:val="left"/>
              <w:rPr>
                <w:sz w:val="4"/>
                <w:szCs w:val="4"/>
              </w:rPr>
            </w:pPr>
            <w:r>
              <w:rPr>
                <w:sz w:val="4"/>
                <w:szCs w:val="4"/>
              </w:rPr>
            </w:r>
          </w:p>
        </w:tc>
        <w:tc>
          <w:tcPr>
            <w:tcW w:w="129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3601" w:type="dxa"/>
            <w:tcBorders/>
            <w:vAlign w:val="center"/>
          </w:tcPr>
          <w:p>
            <w:pPr>
              <w:pStyle w:val="TableContents"/>
              <w:bidi w:val="0"/>
              <w:spacing w:before="0" w:after="283"/>
              <w:jc w:val="left"/>
              <w:rPr>
                <w:sz w:val="4"/>
                <w:szCs w:val="4"/>
              </w:rPr>
            </w:pPr>
            <w:r>
              <w:rPr>
                <w:sz w:val="4"/>
                <w:szCs w:val="4"/>
              </w:rPr>
            </w:r>
          </w:p>
        </w:tc>
        <w:tc>
          <w:tcPr>
            <w:tcW w:w="129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6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c>
          <w:tcPr>
            <w:tcW w:w="2835" w:type="dxa"/>
            <w:gridSpan w:val="3"/>
            <w:tcBorders/>
            <w:vAlign w:val="center"/>
          </w:tcPr>
          <w:p>
            <w:pPr>
              <w:pStyle w:val="TableContents"/>
              <w:bidi w:val="0"/>
              <w:spacing w:before="0" w:after="283"/>
              <w:jc w:val="left"/>
              <w:rPr>
                <w:sz w:val="4"/>
                <w:szCs w:val="4"/>
              </w:rPr>
            </w:pPr>
            <w:r>
              <w:rPr>
                <w:sz w:val="4"/>
                <w:szCs w:val="4"/>
              </w:rPr>
            </w:r>
          </w:p>
        </w:tc>
      </w:tr>
      <w:tr>
        <w:trPr/>
        <w:tc>
          <w:tcPr>
            <w:tcW w:w="36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United States</w:t>
            </w:r>
          </w:p>
        </w:tc>
        <w:tc>
          <w:tcPr>
            <w:tcW w:w="129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$1,775.9</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$1,663.5</w:t>
            </w:r>
          </w:p>
        </w:tc>
      </w:tr>
      <w:tr>
        <w:trPr/>
        <w:tc>
          <w:tcPr>
            <w:tcW w:w="36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Outside of the United States</w:t>
            </w:r>
          </w:p>
        </w:tc>
        <w:tc>
          <w:tcPr>
            <w:tcW w:w="1297" w:type="dxa"/>
            <w:tcBorders/>
            <w:shd w:fill="FFFFFF" w:val="clear"/>
            <w:vAlign w:val="center"/>
          </w:tcPr>
          <w:p>
            <w:pPr>
              <w:pStyle w:val="TableContents"/>
              <w:bidi w:val="0"/>
              <w:spacing w:before="0" w:after="283"/>
              <w:jc w:val="left"/>
              <w:rPr>
                <w:sz w:val="4"/>
                <w:szCs w:val="4"/>
              </w:rPr>
            </w:pPr>
            <w:r>
              <w:rPr>
                <w:sz w:val="4"/>
                <w:szCs w:val="4"/>
              </w:rPr>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sz w:val="4"/>
                <w:szCs w:val="4"/>
              </w:rPr>
            </w:pPr>
            <w:r>
              <w:rPr>
                <w:sz w:val="4"/>
                <w:szCs w:val="4"/>
              </w:rPr>
            </w:r>
          </w:p>
        </w:tc>
      </w:tr>
      <w:tr>
        <w:trPr/>
        <w:tc>
          <w:tcPr>
            <w:tcW w:w="36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Europe</w:t>
            </w:r>
          </w:p>
        </w:tc>
        <w:tc>
          <w:tcPr>
            <w:tcW w:w="129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950.0</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826.6</w:t>
            </w:r>
          </w:p>
        </w:tc>
      </w:tr>
      <w:tr>
        <w:trPr/>
        <w:tc>
          <w:tcPr>
            <w:tcW w:w="36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t>
            </w:r>
          </w:p>
        </w:tc>
        <w:tc>
          <w:tcPr>
            <w:tcW w:w="1297"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261.0</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280.1</w:t>
            </w:r>
          </w:p>
        </w:tc>
      </w:tr>
      <w:tr>
        <w:trPr/>
        <w:tc>
          <w:tcPr>
            <w:tcW w:w="36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revenues outside of the United States</w:t>
            </w:r>
          </w:p>
        </w:tc>
        <w:tc>
          <w:tcPr>
            <w:tcW w:w="1297"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1,211.0</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1,106.7</w:t>
            </w:r>
          </w:p>
        </w:tc>
      </w:tr>
      <w:tr>
        <w:trPr/>
        <w:tc>
          <w:tcPr>
            <w:tcW w:w="36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revenues</w:t>
            </w:r>
          </w:p>
        </w:tc>
        <w:tc>
          <w:tcPr>
            <w:tcW w:w="1297"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$2,986.9</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$2,770.2</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 did not have any “Other revenues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the three months ended March 31, 2026. In the three months ended March 31,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2025, our “Other revenues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$10.0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were attributed to the 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(unaudited)</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Significant Segment Expenses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Significant segment expenses are set forth in the following table:</w:t>
      </w:r>
    </w:p>
    <w:tbl>
      <w:tblPr>
        <w:tblW w:w="7516" w:type="dxa"/>
        <w:jc w:val="left"/>
        <w:tblInd w:w="0" w:type="dxa"/>
        <w:tblLayout w:type="fixed"/>
        <w:tblCellMar>
          <w:top w:w="28" w:type="dxa"/>
          <w:left w:w="28" w:type="dxa"/>
          <w:bottom w:w="28" w:type="dxa"/>
          <w:right w:w="28" w:type="dxa"/>
        </w:tblCellMar>
      </w:tblPr>
      <w:tblGrid>
        <w:gridCol w:w="4681"/>
        <w:gridCol w:w="1297"/>
        <w:gridCol w:w="171"/>
        <w:gridCol w:w="1367"/>
      </w:tblGrid>
      <w:tr>
        <w:trPr/>
        <w:tc>
          <w:tcPr>
            <w:tcW w:w="468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r>
      <w:tr>
        <w:trPr/>
        <w:tc>
          <w:tcPr>
            <w:tcW w:w="4681" w:type="dxa"/>
            <w:tcBorders/>
            <w:vAlign w:val="center"/>
          </w:tcPr>
          <w:p>
            <w:pPr>
              <w:pStyle w:val="TableContents"/>
              <w:bidi w:val="0"/>
              <w:spacing w:before="0" w:after="283"/>
              <w:jc w:val="left"/>
              <w:rPr>
                <w:sz w:val="4"/>
                <w:szCs w:val="4"/>
              </w:rPr>
            </w:pPr>
            <w:r>
              <w:rPr>
                <w:sz w:val="4"/>
                <w:szCs w:val="4"/>
              </w:rPr>
            </w:r>
          </w:p>
        </w:tc>
        <w:tc>
          <w:tcPr>
            <w:tcW w:w="2835"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Three Months Ended March 31,</w:t>
            </w:r>
          </w:p>
        </w:tc>
      </w:tr>
      <w:tr>
        <w:trPr/>
        <w:tc>
          <w:tcPr>
            <w:tcW w:w="4681" w:type="dxa"/>
            <w:tcBorders/>
            <w:vAlign w:val="center"/>
          </w:tcPr>
          <w:p>
            <w:pPr>
              <w:pStyle w:val="TableContents"/>
              <w:bidi w:val="0"/>
              <w:spacing w:before="0" w:after="283"/>
              <w:jc w:val="left"/>
              <w:rPr>
                <w:sz w:val="4"/>
                <w:szCs w:val="4"/>
              </w:rPr>
            </w:pPr>
            <w:r>
              <w:rPr>
                <w:sz w:val="4"/>
                <w:szCs w:val="4"/>
              </w:rPr>
            </w:r>
          </w:p>
        </w:tc>
        <w:tc>
          <w:tcPr>
            <w:tcW w:w="129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4681" w:type="dxa"/>
            <w:tcBorders/>
            <w:vAlign w:val="center"/>
          </w:tcPr>
          <w:p>
            <w:pPr>
              <w:pStyle w:val="TableContents"/>
              <w:bidi w:val="0"/>
              <w:spacing w:before="0" w:after="283"/>
              <w:jc w:val="left"/>
              <w:rPr>
                <w:sz w:val="4"/>
                <w:szCs w:val="4"/>
              </w:rPr>
            </w:pPr>
            <w:r>
              <w:rPr>
                <w:sz w:val="4"/>
                <w:szCs w:val="4"/>
              </w:rPr>
            </w:r>
          </w:p>
        </w:tc>
        <w:tc>
          <w:tcPr>
            <w:tcW w:w="129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6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c>
          <w:tcPr>
            <w:tcW w:w="2835" w:type="dxa"/>
            <w:gridSpan w:val="3"/>
            <w:tcBorders/>
            <w:vAlign w:val="center"/>
          </w:tcPr>
          <w:p>
            <w:pPr>
              <w:pStyle w:val="TableContents"/>
              <w:bidi w:val="0"/>
              <w:spacing w:before="0" w:after="283"/>
              <w:jc w:val="left"/>
              <w:rPr>
                <w:sz w:val="4"/>
                <w:szCs w:val="4"/>
              </w:rPr>
            </w:pPr>
            <w:r>
              <w:rPr>
                <w:sz w:val="4"/>
                <w:szCs w:val="4"/>
              </w:rPr>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revenues</w:t>
            </w:r>
          </w:p>
        </w:tc>
        <w:tc>
          <w:tcPr>
            <w:tcW w:w="129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$2,986.9</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$2,770.2</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Costs and expenses:</w:t>
            </w:r>
          </w:p>
        </w:tc>
        <w:tc>
          <w:tcPr>
            <w:tcW w:w="1297" w:type="dxa"/>
            <w:tcBorders/>
            <w:shd w:fill="FFFFFF" w:val="clear"/>
            <w:vAlign w:val="center"/>
          </w:tcPr>
          <w:p>
            <w:pPr>
              <w:pStyle w:val="TableContents"/>
              <w:bidi w:val="0"/>
              <w:spacing w:before="0" w:after="283"/>
              <w:jc w:val="left"/>
              <w:rPr>
                <w:sz w:val="4"/>
                <w:szCs w:val="4"/>
              </w:rPr>
            </w:pPr>
            <w:r>
              <w:rPr>
                <w:sz w:val="4"/>
                <w:szCs w:val="4"/>
              </w:rPr>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sz w:val="4"/>
                <w:szCs w:val="4"/>
              </w:rPr>
            </w:pPr>
            <w:r>
              <w:rPr>
                <w:sz w:val="4"/>
                <w:szCs w:val="4"/>
              </w:rPr>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Cost of sales - products</w:t>
            </w:r>
          </w:p>
        </w:tc>
        <w:tc>
          <w:tcPr>
            <w:tcW w:w="129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160.2</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130.6</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Cost of sales - royalty</w:t>
            </w:r>
          </w:p>
        </w:tc>
        <w:tc>
          <w:tcPr>
            <w:tcW w:w="129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232.6</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232.4</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Research expenses</w:t>
            </w:r>
          </w:p>
        </w:tc>
        <w:tc>
          <w:tcPr>
            <w:tcW w:w="129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205.0</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206.1</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Development expenses</w:t>
            </w:r>
          </w:p>
        </w:tc>
        <w:tc>
          <w:tcPr>
            <w:tcW w:w="129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756.6</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773.6</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Acquired in-process research and development expenses</w:t>
            </w:r>
          </w:p>
        </w:tc>
        <w:tc>
          <w:tcPr>
            <w:tcW w:w="129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19.8</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Selling and other commercial expenses</w:t>
            </w:r>
          </w:p>
        </w:tc>
        <w:tc>
          <w:tcPr>
            <w:tcW w:w="129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313.6</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241.1</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General and administrative expenses</w:t>
            </w:r>
          </w:p>
        </w:tc>
        <w:tc>
          <w:tcPr>
            <w:tcW w:w="129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180.1</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155.3</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Intangible asset impairment charge</w:t>
            </w:r>
          </w:p>
        </w:tc>
        <w:tc>
          <w:tcPr>
            <w:tcW w:w="1297"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379.0</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 income, net</w:t>
            </w:r>
          </w:p>
        </w:tc>
        <w:tc>
          <w:tcPr>
            <w:tcW w:w="129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(114.8)</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(117.9)</w:t>
            </w:r>
          </w:p>
        </w:tc>
      </w:tr>
      <w:tr>
        <w:trPr/>
        <w:tc>
          <w:tcPr>
            <w:tcW w:w="468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Other segment items </w:t>
            </w:r>
            <w:r>
              <w:rPr>
                <w:rFonts w:ascii="Times New Roman;serif" w:hAnsi="Times New Roman;serif"/>
                <w:b w:val="false"/>
                <w:i w:val="false"/>
                <w:caps w:val="false"/>
                <w:smallCaps w:val="false"/>
                <w:sz w:val="13"/>
              </w:rPr>
              <w:t>(1)</w:t>
            </w:r>
          </w:p>
        </w:tc>
        <w:tc>
          <w:tcPr>
            <w:tcW w:w="129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19.8</w:t>
            </w:r>
          </w:p>
        </w:tc>
      </w:tr>
      <w:tr>
        <w:trPr/>
        <w:tc>
          <w:tcPr>
            <w:tcW w:w="468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Provision for</w:t>
            </w:r>
            <w:r>
              <w:rPr>
                <w:caps w:val="false"/>
                <w:smallCaps w:val="false"/>
                <w:sz w:val="24"/>
              </w:rPr>
              <w:t xml:space="preserve"> </w:t>
            </w:r>
            <w:r>
              <w:rPr>
                <w:rFonts w:ascii="Times New Roman;serif" w:hAnsi="Times New Roman;serif"/>
                <w:b w:val="false"/>
                <w:i w:val="false"/>
                <w:caps w:val="false"/>
                <w:smallCaps w:val="false"/>
                <w:sz w:val="20"/>
              </w:rPr>
              <w:t>income taxes</w:t>
            </w:r>
          </w:p>
        </w:tc>
        <w:tc>
          <w:tcPr>
            <w:tcW w:w="1297"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221.5</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67"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84.1</w:t>
            </w:r>
          </w:p>
        </w:tc>
      </w:tr>
      <w:tr>
        <w:trPr/>
        <w:tc>
          <w:tcPr>
            <w:tcW w:w="468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Net </w:t>
            </w:r>
            <w:r>
              <w:rPr>
                <w:rFonts w:ascii="Times New Roman;serif" w:hAnsi="Times New Roman;serif"/>
                <w:b w:val="false"/>
                <w:i w:val="false"/>
                <w:caps w:val="false"/>
                <w:smallCaps w:val="false"/>
                <w:strike w:val="false"/>
                <w:dstrike w:val="false"/>
                <w:sz w:val="20"/>
                <w:u w:val="none"/>
                <w:effect w:val="none"/>
              </w:rPr>
              <w:t>income</w:t>
            </w:r>
          </w:p>
        </w:tc>
        <w:tc>
          <w:tcPr>
            <w:tcW w:w="1297"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$1,031.4</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$646.3</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(1)Other segment items included in “Net income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primarily include changes in the fair value of contingent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consideration and changes in the fair value of equity investments.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Additional Segment Information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During the three months ended March 31,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2025, we recorded total depreciation and amortization expense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$55.9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$48.4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N.Additional Balance Sheet &amp; Cash Flow Information</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Contract Liabilities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 had contract liabilities of $218.7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$171.8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March 31,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December 31, 2025,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respectively, primarily related to annual contracts with government-owned and supported customers in international markets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that limit the amount of annual reimbursement we can receive for our CF products. Upon exceeding the annual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reimbursement amount provided by the customer’s contract with us, our CF products are provided free of charge, which is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material right. These contracts include upfront payments and fees. If we estimate that we will exceed the annual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reimbursement amount under a contract, we defer a portion of the consideration received for shipments made up to the annual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reimbursement limit as a portion of “Other current liabilities.” Once the reimbursement limit has been reached, we recognize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deferred amount as revenue when we ship the free products. Our CF product revenue contracts include performance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obligations that are one year or less.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contract liabilities at the end of each fiscal year relate to contracts with CF annual reimbursement limits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international markets in which the annual period associated with the contract is not the same as our fiscal year. In these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markets, we recognize revenues related to performance obligations satisfied in previous years; however, these revenues do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not relate to any performance obligations that were satisfied more than 12 months prior to the beginning of the current year.</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Operating Lease Assets and Liabilities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2023, we entered into a strategic agreement with Lonza to support the manufacture of T1D cell therapy product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candidates. As part of this agreement, we have partnered with Lonza to build a 130,000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square foot dedicated new facility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New Hampshire, which will be operated by Lonza (the “Lonza Facility</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 and is an embedded lease for accounting purposes.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lease commencement for the Lonza Facility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occurred during the first quarter of 2026, upon which we recorded a right-of-</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use asset and corresponding lease liability of $95.8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within each of “Operating lease assets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“Long-term operating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lease liabilities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on our condensed consolidated balance sheet. In accordance with our policy for embedded leases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(unaudited)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contract manufacturing organizations, we account for the lease component separately from the variable non-lease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components, which we expense as incurred. Payments will continue through the tenth anniversary of the Lonza Facility</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regulatory approval for commercial production. The lease will automatically renew for additional one-year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periods, unless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either we or Lonza provides written notice of intent to not renew. We utilize the initial period as our lease term.</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 obtained $148.2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$5.2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right-of-use operating lease assets in exchange for a similar amount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lease obligations, including the Lonza Facility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amounts described above, during the three months ended March 31,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2025, respectively. These represent non-cash operating activities associated with our condensed consolidated statement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cash flows.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Cash, Cash Equivalents and Restricted Cash Presented in Condensed Consolidated Statements of Cash Flows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cash, cash equivalents and restricted cash at the beginning and ending of each period presented in our condensed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consolidated statements of cash flows consisted of the following:</w:t>
      </w:r>
    </w:p>
    <w:tbl>
      <w:tblPr>
        <w:tblW w:w="9257" w:type="dxa"/>
        <w:jc w:val="left"/>
        <w:tblInd w:w="0" w:type="dxa"/>
        <w:tblLayout w:type="fixed"/>
        <w:tblCellMar>
          <w:top w:w="28" w:type="dxa"/>
          <w:left w:w="28" w:type="dxa"/>
          <w:bottom w:w="28" w:type="dxa"/>
          <w:right w:w="28" w:type="dxa"/>
        </w:tblCellMar>
      </w:tblPr>
      <w:tblGrid>
        <w:gridCol w:w="4771"/>
        <w:gridCol w:w="1231"/>
        <w:gridCol w:w="109"/>
        <w:gridCol w:w="826"/>
        <w:gridCol w:w="109"/>
        <w:gridCol w:w="1231"/>
        <w:gridCol w:w="109"/>
        <w:gridCol w:w="871"/>
      </w:tblGrid>
      <w:tr>
        <w:trPr/>
        <w:tc>
          <w:tcPr>
            <w:tcW w:w="477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4771" w:type="dxa"/>
            <w:tcBorders/>
            <w:vAlign w:val="center"/>
          </w:tcPr>
          <w:p>
            <w:pPr>
              <w:pStyle w:val="TableContents"/>
              <w:bidi w:val="0"/>
              <w:spacing w:before="0" w:after="283"/>
              <w:jc w:val="left"/>
              <w:rPr>
                <w:sz w:val="4"/>
                <w:szCs w:val="4"/>
              </w:rPr>
            </w:pPr>
            <w:r>
              <w:rPr>
                <w:sz w:val="4"/>
                <w:szCs w:val="4"/>
              </w:rPr>
            </w:r>
          </w:p>
        </w:tc>
        <w:tc>
          <w:tcPr>
            <w:tcW w:w="4486" w:type="dxa"/>
            <w:gridSpan w:val="7"/>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Three Months Ended March 31,</w:t>
            </w:r>
          </w:p>
        </w:tc>
      </w:tr>
      <w:tr>
        <w:trPr/>
        <w:tc>
          <w:tcPr>
            <w:tcW w:w="4771" w:type="dxa"/>
            <w:tcBorders/>
            <w:vAlign w:val="center"/>
          </w:tcPr>
          <w:p>
            <w:pPr>
              <w:pStyle w:val="TableContents"/>
              <w:bidi w:val="0"/>
              <w:spacing w:before="0" w:after="283"/>
              <w:jc w:val="left"/>
              <w:rPr>
                <w:sz w:val="4"/>
                <w:szCs w:val="4"/>
              </w:rPr>
            </w:pPr>
            <w:r>
              <w:rPr>
                <w:sz w:val="4"/>
                <w:szCs w:val="4"/>
              </w:rPr>
            </w:r>
          </w:p>
        </w:tc>
        <w:tc>
          <w:tcPr>
            <w:tcW w:w="216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4771" w:type="dxa"/>
            <w:tcBorders/>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Beginning of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period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End of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period</w:t>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Beginning of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period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End of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period</w:t>
            </w:r>
          </w:p>
        </w:tc>
      </w:tr>
      <w:tr>
        <w:trPr/>
        <w:tc>
          <w:tcPr>
            <w:tcW w:w="4771" w:type="dxa"/>
            <w:tcBorders/>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1" w:type="dxa"/>
            <w:tcBorders/>
            <w:vAlign w:val="center"/>
          </w:tcPr>
          <w:p>
            <w:pPr>
              <w:pStyle w:val="TableContents"/>
              <w:bidi w:val="0"/>
              <w:spacing w:before="0" w:after="283"/>
              <w:jc w:val="left"/>
              <w:rPr>
                <w:sz w:val="4"/>
                <w:szCs w:val="4"/>
              </w:rPr>
            </w:pPr>
            <w:r>
              <w:rPr>
                <w:sz w:val="4"/>
                <w:szCs w:val="4"/>
              </w:rPr>
            </w:r>
          </w:p>
        </w:tc>
        <w:tc>
          <w:tcPr>
            <w:tcW w:w="4486" w:type="dxa"/>
            <w:gridSpan w:val="7"/>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47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Cash and cash equivalents</w:t>
            </w:r>
          </w:p>
        </w:tc>
        <w:tc>
          <w:tcPr>
            <w:tcW w:w="12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$5,084.8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$5,492.9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$4,569.6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$4,674.7</w:t>
            </w:r>
          </w:p>
        </w:tc>
      </w:tr>
      <w:tr>
        <w:trPr/>
        <w:tc>
          <w:tcPr>
            <w:tcW w:w="47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expenses and other current assets</w:t>
            </w:r>
          </w:p>
        </w:tc>
        <w:tc>
          <w:tcPr>
            <w:tcW w:w="12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w:t>
            </w:r>
          </w:p>
        </w:tc>
      </w:tr>
      <w:tr>
        <w:trPr/>
        <w:tc>
          <w:tcPr>
            <w:tcW w:w="47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Cash, cash equivalents and restricted cash per condensed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consolidated statement of cash flows</w:t>
            </w:r>
          </w:p>
        </w:tc>
        <w:tc>
          <w:tcPr>
            <w:tcW w:w="12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$5,087.8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$5,504.9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$4,572.2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$4,685.4</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OVERVIEW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a global biotechnology company that invests in scientific innovation to create transformative medicines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people with serious diseases, with a focus on specialty markets. We have seven approved medicines: five that treat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underlying cause of cystic fibrosis (“CF”), a life-threatening genetic disease, one that treats severe sickle cell disease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(“SCD”) and transfusion dependent beta thalassemia (“TDT”), life shortening inherited blood disorders, and one that treats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moderate-to-severe acute pain. We are also preparing for the anticipated launch of povetacicept, a potential treatment for IgA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nephropathy (“IgAN”). Our clinical-stage pipeline spans a range of programs targeting CF, SCD, beta thalassemia,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neuropathic pain, type 1 diabetes, IgA nephropathy, primary membranous nephropathy and other autoimmune diseases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cytopenias, APOL1-mediated kidney disease, autosomal dominant polycystic kidney disease and myotonic dystrophy type 1,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reflecting our commitment to addressing significant unmet medical needs globally.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Financial Highlights</w:t>
      </w:r>
    </w:p>
    <w:tbl>
      <w:tblPr>
        <w:tblW w:w="10037" w:type="dxa"/>
        <w:jc w:val="left"/>
        <w:tblInd w:w="0" w:type="dxa"/>
        <w:tblLayout w:type="fixed"/>
        <w:tblCellMar>
          <w:top w:w="28" w:type="dxa"/>
          <w:left w:w="28" w:type="dxa"/>
          <w:bottom w:w="28" w:type="dxa"/>
          <w:right w:w="28" w:type="dxa"/>
        </w:tblCellMar>
      </w:tblPr>
      <w:tblGrid>
        <w:gridCol w:w="1846"/>
        <w:gridCol w:w="8191"/>
      </w:tblGrid>
      <w:tr>
        <w:trPr/>
        <w:tc>
          <w:tcPr>
            <w:tcW w:w="1846" w:type="dxa"/>
            <w:tcBorders/>
            <w:vAlign w:val="center"/>
          </w:tcPr>
          <w:p>
            <w:pPr>
              <w:pStyle w:val="TableContents"/>
              <w:bidi w:val="0"/>
              <w:spacing w:before="0" w:after="283"/>
              <w:jc w:val="left"/>
              <w:rPr>
                <w:sz w:val="4"/>
                <w:szCs w:val="4"/>
              </w:rPr>
            </w:pPr>
            <w:r>
              <w:rPr>
                <w:sz w:val="4"/>
                <w:szCs w:val="4"/>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Total Revenues</w:t>
            </w:r>
          </w:p>
        </w:tc>
        <w:tc>
          <w:tcPr>
            <w:tcW w:w="8191" w:type="dxa"/>
            <w:tcBorders/>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In the </w:t>
            </w:r>
            <w:r>
              <w:rPr>
                <w:rFonts w:ascii="Times New Roman;serif" w:hAnsi="Times New Roman;serif"/>
                <w:b w:val="false"/>
                <w:i w:val="false"/>
                <w:caps w:val="false"/>
                <w:smallCaps w:val="false"/>
                <w:strike w:val="false"/>
                <w:dstrike w:val="false"/>
                <w:sz w:val="20"/>
                <w:u w:val="none"/>
                <w:effect w:val="none"/>
              </w:rPr>
              <w:t>first quarter</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2026</w:t>
            </w:r>
            <w:r>
              <w:rPr>
                <w:rFonts w:ascii="Times New Roman;serif" w:hAnsi="Times New Roman;serif"/>
                <w:b w:val="false"/>
                <w:i w:val="false"/>
                <w:caps w:val="false"/>
                <w:smallCaps w:val="false"/>
                <w:sz w:val="20"/>
              </w:rPr>
              <w:t xml:space="preserve">, our total revenues increased to </w:t>
            </w:r>
            <w:r>
              <w:rPr>
                <w:rFonts w:ascii="Times New Roman;serif" w:hAnsi="Times New Roman;serif"/>
                <w:b w:val="false"/>
                <w:i w:val="false"/>
                <w:caps w:val="false"/>
                <w:smallCaps w:val="false"/>
                <w:strike w:val="false"/>
                <w:dstrike w:val="false"/>
                <w:sz w:val="20"/>
                <w:u w:val="none"/>
                <w:effect w:val="none"/>
              </w:rPr>
              <w:t>$3.0 billion</w:t>
            </w:r>
            <w:r>
              <w:rPr>
                <w:caps w:val="false"/>
                <w:smallCaps w:val="false"/>
                <w:sz w:val="24"/>
              </w:rPr>
              <w:t xml:space="preserve"> </w:t>
            </w:r>
            <w:r>
              <w:rPr>
                <w:rFonts w:ascii="Times New Roman;serif" w:hAnsi="Times New Roman;serif"/>
                <w:b w:val="false"/>
                <w:i w:val="false"/>
                <w:caps w:val="false"/>
                <w:smallCaps w:val="false"/>
                <w:sz w:val="20"/>
              </w:rPr>
              <w:t xml:space="preserve">as compared to </w:t>
            </w:r>
            <w:r>
              <w:rPr>
                <w:rFonts w:ascii="Times New Roman;serif" w:hAnsi="Times New Roman;serif"/>
                <w:b w:val="false"/>
                <w:i w:val="false"/>
                <w:caps w:val="false"/>
                <w:smallCaps w:val="false"/>
                <w:strike w:val="false"/>
                <w:dstrike w:val="false"/>
                <w:sz w:val="20"/>
                <w:u w:val="none"/>
                <w:effect w:val="none"/>
              </w:rPr>
              <w:t>$2.8 billion</w:t>
            </w:r>
            <w:r>
              <w:rPr>
                <w:caps w:val="false"/>
                <w:smallCaps w:val="false"/>
                <w:sz w:val="24"/>
              </w:rPr>
              <w:t xml:space="preserve">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in the </w:t>
            </w:r>
            <w:r>
              <w:rPr>
                <w:rFonts w:ascii="Times New Roman;serif" w:hAnsi="Times New Roman;serif"/>
                <w:b w:val="false"/>
                <w:i w:val="false"/>
                <w:caps w:val="false"/>
                <w:smallCaps w:val="false"/>
                <w:strike w:val="false"/>
                <w:dstrike w:val="false"/>
                <w:sz w:val="20"/>
                <w:u w:val="none"/>
                <w:effect w:val="none"/>
              </w:rPr>
              <w:t>first quarter</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primarily due to </w:t>
            </w:r>
            <w:r>
              <w:rPr>
                <w:rFonts w:ascii="Times New Roman;serif" w:hAnsi="Times New Roman;serif"/>
                <w:b w:val="false"/>
                <w:i w:val="false"/>
                <w:caps w:val="false"/>
                <w:smallCaps w:val="false"/>
                <w:strike w:val="false"/>
                <w:dstrike w:val="false"/>
                <w:sz w:val="20"/>
                <w:u w:val="none"/>
                <w:effect w:val="none"/>
              </w:rPr>
              <w:t xml:space="preserve">continued performance of our CF therapies and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growth from diversification into additional disease areas.</w:t>
            </w:r>
          </w:p>
        </w:tc>
      </w:tr>
      <w:tr>
        <w:trPr/>
        <w:tc>
          <w:tcPr>
            <w:tcW w:w="184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Cost of Sales</w:t>
            </w:r>
          </w:p>
        </w:tc>
        <w:tc>
          <w:tcPr>
            <w:tcW w:w="8191" w:type="dxa"/>
            <w:tcBorders/>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Our cost of sales as a percentage of our net product revenues was </w:t>
            </w:r>
            <w:r>
              <w:rPr>
                <w:rFonts w:ascii="Times New Roman;serif" w:hAnsi="Times New Roman;serif"/>
                <w:b w:val="false"/>
                <w:i w:val="false"/>
                <w:caps w:val="false"/>
                <w:smallCaps w:val="false"/>
                <w:strike w:val="false"/>
                <w:dstrike w:val="false"/>
                <w:sz w:val="20"/>
                <w:u w:val="none"/>
                <w:effect w:val="none"/>
              </w:rPr>
              <w:t>13.2%</w:t>
            </w:r>
            <w:r>
              <w:rPr>
                <w:caps w:val="false"/>
                <w:smallCaps w:val="false"/>
                <w:sz w:val="24"/>
              </w:rPr>
              <w:t xml:space="preserve"> </w:t>
            </w:r>
            <w:r>
              <w:rPr>
                <w:rFonts w:ascii="Times New Roman;serif" w:hAnsi="Times New Roman;serif"/>
                <w:b w:val="false"/>
                <w:i w:val="false"/>
                <w:caps w:val="false"/>
                <w:smallCaps w:val="false"/>
                <w:sz w:val="20"/>
              </w:rPr>
              <w:t xml:space="preserve">in each of the </w:t>
            </w:r>
            <w:r>
              <w:rPr>
                <w:rFonts w:ascii="Times New Roman;serif" w:hAnsi="Times New Roman;serif"/>
                <w:b w:val="false"/>
                <w:i w:val="false"/>
                <w:caps w:val="false"/>
                <w:smallCaps w:val="false"/>
                <w:strike w:val="false"/>
                <w:dstrike w:val="false"/>
                <w:sz w:val="20"/>
                <w:u w:val="none"/>
                <w:effect w:val="none"/>
              </w:rPr>
              <w:t xml:space="preserve">first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quarter</w:t>
            </w:r>
            <w:r>
              <w:rPr>
                <w:rFonts w:ascii="Times New Roman;serif" w:hAnsi="Times New Roman;serif"/>
                <w:b w:val="false"/>
                <w:i w:val="false"/>
                <w:caps w:val="false"/>
                <w:smallCaps w:val="false"/>
                <w:sz w:val="20"/>
              </w:rPr>
              <w:t xml:space="preserve">s of 2026 and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 xml:space="preserve">as a result of a lower overall royalty rate for our CF medicines, offset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by changes in product mix.</w:t>
            </w:r>
          </w:p>
        </w:tc>
      </w:tr>
      <w:tr>
        <w:trPr/>
        <w:tc>
          <w:tcPr>
            <w:tcW w:w="1846" w:type="dxa"/>
            <w:tcBorders/>
            <w:vAlign w:val="center"/>
          </w:tcPr>
          <w:p>
            <w:pPr>
              <w:pStyle w:val="TableContents"/>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Total R&amp;D, AIPR&amp;D </w:t>
            </w:r>
          </w:p>
          <w:p>
            <w:pPr>
              <w:pStyle w:val="TableContents"/>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and SG&amp;A Expenses</w:t>
            </w:r>
          </w:p>
        </w:tc>
        <w:tc>
          <w:tcPr>
            <w:tcW w:w="81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total research and development (“R&amp;D”), acquired in-process research and development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expenses (“AIPR&amp;D”) and selling, general and administrative (“SG&amp;A”) expenses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z w:val="20"/>
              </w:rPr>
              <w:t xml:space="preserve">to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$1.5 billion</w:t>
            </w:r>
            <w:r>
              <w:rPr>
                <w:caps w:val="false"/>
                <w:smallCaps w:val="false"/>
                <w:sz w:val="24"/>
              </w:rPr>
              <w:t xml:space="preserve"> </w:t>
            </w:r>
            <w:r>
              <w:rPr>
                <w:rFonts w:ascii="Times New Roman;serif" w:hAnsi="Times New Roman;serif"/>
                <w:b w:val="false"/>
                <w:i w:val="false"/>
                <w:caps w:val="false"/>
                <w:smallCaps w:val="false"/>
                <w:sz w:val="20"/>
              </w:rPr>
              <w:t xml:space="preserve">in the </w:t>
            </w:r>
            <w:r>
              <w:rPr>
                <w:rFonts w:ascii="Times New Roman;serif" w:hAnsi="Times New Roman;serif"/>
                <w:b w:val="false"/>
                <w:i w:val="false"/>
                <w:caps w:val="false"/>
                <w:smallCaps w:val="false"/>
                <w:strike w:val="false"/>
                <w:dstrike w:val="false"/>
                <w:sz w:val="20"/>
                <w:u w:val="none"/>
                <w:effect w:val="none"/>
              </w:rPr>
              <w:t>first quarter</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2026</w:t>
            </w:r>
            <w:r>
              <w:rPr>
                <w:caps w:val="false"/>
                <w:smallCaps w:val="false"/>
                <w:sz w:val="24"/>
              </w:rPr>
              <w:t xml:space="preserve"> </w:t>
            </w:r>
            <w:r>
              <w:rPr>
                <w:rFonts w:ascii="Times New Roman;serif" w:hAnsi="Times New Roman;serif"/>
                <w:b w:val="false"/>
                <w:i w:val="false"/>
                <w:caps w:val="false"/>
                <w:smallCaps w:val="false"/>
                <w:sz w:val="20"/>
              </w:rPr>
              <w:t xml:space="preserve">as compared to </w:t>
            </w:r>
            <w:r>
              <w:rPr>
                <w:rFonts w:ascii="Times New Roman;serif" w:hAnsi="Times New Roman;serif"/>
                <w:b w:val="false"/>
                <w:i w:val="false"/>
                <w:caps w:val="false"/>
                <w:smallCaps w:val="false"/>
                <w:strike w:val="false"/>
                <w:dstrike w:val="false"/>
                <w:sz w:val="20"/>
                <w:u w:val="none"/>
                <w:effect w:val="none"/>
              </w:rPr>
              <w:t>$1.4 billion</w:t>
            </w:r>
            <w:r>
              <w:rPr>
                <w:caps w:val="false"/>
                <w:smallCaps w:val="false"/>
                <w:sz w:val="24"/>
              </w:rPr>
              <w:t xml:space="preserve"> </w:t>
            </w:r>
            <w:r>
              <w:rPr>
                <w:rFonts w:ascii="Times New Roman;serif" w:hAnsi="Times New Roman;serif"/>
                <w:b w:val="false"/>
                <w:i w:val="false"/>
                <w:caps w:val="false"/>
                <w:smallCaps w:val="false"/>
                <w:sz w:val="20"/>
              </w:rPr>
              <w:t xml:space="preserve">in the </w:t>
            </w:r>
            <w:r>
              <w:rPr>
                <w:rFonts w:ascii="Times New Roman;serif" w:hAnsi="Times New Roman;serif"/>
                <w:b w:val="false"/>
                <w:i w:val="false"/>
                <w:caps w:val="false"/>
                <w:smallCaps w:val="false"/>
                <w:strike w:val="false"/>
                <w:dstrike w:val="false"/>
                <w:sz w:val="20"/>
                <w:u w:val="none"/>
                <w:effect w:val="none"/>
              </w:rPr>
              <w:t>first quarter</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primarily due to </w:t>
            </w:r>
            <w:r>
              <w:rPr>
                <w:rFonts w:ascii="Times New Roman;serif" w:hAnsi="Times New Roman;serif"/>
                <w:b w:val="false"/>
                <w:i w:val="false"/>
                <w:caps w:val="false"/>
                <w:smallCaps w:val="false"/>
                <w:strike w:val="false"/>
                <w:dstrike w:val="false"/>
                <w:sz w:val="20"/>
                <w:u w:val="none"/>
                <w:effect w:val="none"/>
              </w:rPr>
              <w:t>increased investment to commercialize our new products</w:t>
            </w:r>
            <w:r>
              <w:rPr>
                <w:rFonts w:ascii="Times New Roman;serif" w:hAnsi="Times New Roman;serif"/>
                <w:b w:val="false"/>
                <w:i w:val="false"/>
                <w:caps w:val="false"/>
                <w:smallCaps w:val="false"/>
                <w:sz w:val="20"/>
              </w:rPr>
              <w:t>.</w:t>
            </w:r>
          </w:p>
        </w:tc>
      </w:tr>
      <w:tr>
        <w:trPr/>
        <w:tc>
          <w:tcPr>
            <w:tcW w:w="184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Cash</w:t>
            </w:r>
          </w:p>
        </w:tc>
        <w:tc>
          <w:tcPr>
            <w:tcW w:w="8191" w:type="dxa"/>
            <w:tcBorders/>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Our total cash, cash equivalents and marketable securities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z w:val="20"/>
              </w:rPr>
              <w:t xml:space="preserve">to </w:t>
            </w:r>
            <w:r>
              <w:rPr>
                <w:rFonts w:ascii="Times New Roman;serif" w:hAnsi="Times New Roman;serif"/>
                <w:b w:val="false"/>
                <w:i w:val="false"/>
                <w:caps w:val="false"/>
                <w:smallCaps w:val="false"/>
                <w:strike w:val="false"/>
                <w:dstrike w:val="false"/>
                <w:sz w:val="20"/>
                <w:u w:val="none"/>
                <w:effect w:val="none"/>
              </w:rPr>
              <w:t>$13.0 billion</w:t>
            </w:r>
            <w:r>
              <w:rPr>
                <w:caps w:val="false"/>
                <w:smallCaps w:val="false"/>
                <w:sz w:val="24"/>
              </w:rPr>
              <w:t xml:space="preserve"> </w:t>
            </w:r>
            <w:r>
              <w:rPr>
                <w:rFonts w:ascii="Times New Roman;serif" w:hAnsi="Times New Roman;serif"/>
                <w:b w:val="false"/>
                <w:i w:val="false"/>
                <w:caps w:val="false"/>
                <w:smallCaps w:val="false"/>
                <w:sz w:val="20"/>
              </w:rPr>
              <w:t xml:space="preserve">as of </w:t>
            </w:r>
            <w:r>
              <w:rPr>
                <w:rFonts w:ascii="Times New Roman;serif" w:hAnsi="Times New Roman;serif"/>
                <w:b w:val="false"/>
                <w:i w:val="false"/>
                <w:caps w:val="false"/>
                <w:smallCaps w:val="false"/>
                <w:strike w:val="false"/>
                <w:dstrike w:val="false"/>
                <w:sz w:val="20"/>
                <w:u w:val="none"/>
                <w:effect w:val="none"/>
              </w:rPr>
              <w:t xml:space="preserve">March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31, 2026</w:t>
            </w:r>
            <w:r>
              <w:rPr>
                <w:caps w:val="false"/>
                <w:smallCaps w:val="false"/>
                <w:sz w:val="24"/>
              </w:rPr>
              <w:t xml:space="preserve"> </w:t>
            </w:r>
            <w:r>
              <w:rPr>
                <w:rFonts w:ascii="Times New Roman;serif" w:hAnsi="Times New Roman;serif"/>
                <w:b w:val="false"/>
                <w:i w:val="false"/>
                <w:caps w:val="false"/>
                <w:smallCaps w:val="false"/>
                <w:sz w:val="20"/>
              </w:rPr>
              <w:t xml:space="preserve">as compared to </w:t>
            </w:r>
            <w:r>
              <w:rPr>
                <w:rFonts w:ascii="Times New Roman;serif" w:hAnsi="Times New Roman;serif"/>
                <w:b w:val="false"/>
                <w:i w:val="false"/>
                <w:caps w:val="false"/>
                <w:smallCaps w:val="false"/>
                <w:strike w:val="false"/>
                <w:dstrike w:val="false"/>
                <w:sz w:val="20"/>
                <w:u w:val="none"/>
                <w:effect w:val="none"/>
              </w:rPr>
              <w:t>$12.3 billion</w:t>
            </w:r>
            <w:r>
              <w:rPr>
                <w:caps w:val="false"/>
                <w:smallCaps w:val="false"/>
                <w:sz w:val="24"/>
              </w:rPr>
              <w:t xml:space="preserve"> </w:t>
            </w:r>
            <w:r>
              <w:rPr>
                <w:rFonts w:ascii="Times New Roman;serif" w:hAnsi="Times New Roman;serif"/>
                <w:b w:val="false"/>
                <w:i w:val="false"/>
                <w:caps w:val="false"/>
                <w:smallCaps w:val="false"/>
                <w:sz w:val="20"/>
              </w:rPr>
              <w:t xml:space="preserve">as of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primarily due to cash flows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provided by our operating activities partially offset by repurchases of our common stock.</w:t>
            </w:r>
          </w:p>
        </w:tc>
      </w:tr>
    </w:tbl>
    <w:p>
      <w:pPr>
        <w:pStyle w:val="TextBody"/>
        <w:bidi w:val="0"/>
        <w:spacing w:lineRule="atLeast" w:line="200" w:before="0" w:after="0"/>
        <w:jc w:val="left"/>
        <w:rPr/>
      </w:pPr>
      <w:r>
        <w:rPr/>
        <w:drawing>
          <wp:inline distT="0" distB="0" distL="0" distR="0">
            <wp:extent cx="3291840" cy="15544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91840" cy="1554480"/>
                    </a:xfrm>
                    <a:prstGeom prst="rect">
                      <a:avLst/>
                    </a:prstGeom>
                  </pic:spPr>
                </pic:pic>
              </a:graphicData>
            </a:graphic>
          </wp:inline>
        </w:drawing>
      </w:r>
      <w:bookmarkStart w:id="2" w:name="i-1"/>
      <w:bookmarkEnd w:id="2"/>
    </w:p>
    <w:p>
      <w:pPr>
        <w:pStyle w:val="TextBody"/>
        <w:bidi w:val="0"/>
        <w:spacing w:lineRule="atLeast" w:line="200" w:before="0" w:after="0"/>
        <w:jc w:val="left"/>
        <w:rPr/>
      </w:pPr>
      <w:r>
        <w:rPr/>
        <w:drawing>
          <wp:inline distT="0" distB="0" distL="0" distR="0">
            <wp:extent cx="3017520" cy="15544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017520" cy="1554480"/>
                    </a:xfrm>
                    <a:prstGeom prst="rect">
                      <a:avLst/>
                    </a:prstGeom>
                  </pic:spPr>
                </pic:pic>
              </a:graphicData>
            </a:graphic>
          </wp:inline>
        </w:drawing>
      </w:r>
      <w:bookmarkStart w:id="3" w:name="i-2"/>
      <w:bookmarkEnd w:id="3"/>
    </w:p>
    <w:p>
      <w:pPr>
        <w:pStyle w:val="TextBody"/>
        <w:bidi w:val="0"/>
        <w:spacing w:lineRule="atLeast" w:line="160" w:before="0" w:after="0"/>
        <w:jc w:val="left"/>
        <w:rPr>
          <w:rFonts w:ascii="Arial;sans-serif" w:hAnsi="Arial;sans-serif"/>
          <w:b w:val="false"/>
          <w:i w:val="false"/>
          <w:caps w:val="false"/>
          <w:smallCaps w:val="false"/>
          <w:strike w:val="false"/>
          <w:dstrike w:val="false"/>
          <w:sz w:val="16"/>
          <w:u w:val="none"/>
          <w:effect w:val="none"/>
          <w:shd w:fill="auto" w:val="clear"/>
        </w:rPr>
      </w:pPr>
      <w:r>
        <w:rPr>
          <w:rFonts w:ascii="Arial;sans-serif" w:hAnsi="Arial;sans-serif"/>
          <w:b w:val="false"/>
          <w:i w:val="false"/>
          <w:caps w:val="false"/>
          <w:smallCaps w:val="false"/>
          <w:strike w:val="false"/>
          <w:dstrike w:val="false"/>
          <w:sz w:val="16"/>
          <w:u w:val="none"/>
          <w:effect w:val="none"/>
          <w:shd w:fill="auto" w:val="clear"/>
        </w:rPr>
        <w:t>Q1 2025</w:t>
      </w:r>
    </w:p>
    <w:p>
      <w:pPr>
        <w:pStyle w:val="TextBody"/>
        <w:bidi w:val="0"/>
        <w:spacing w:lineRule="atLeast" w:line="160" w:before="0" w:after="0"/>
        <w:jc w:val="left"/>
        <w:rPr>
          <w:rFonts w:ascii="Arial;sans-serif" w:hAnsi="Arial;sans-serif"/>
          <w:b w:val="false"/>
          <w:i w:val="false"/>
          <w:caps w:val="false"/>
          <w:smallCaps w:val="false"/>
          <w:strike w:val="false"/>
          <w:dstrike w:val="false"/>
          <w:sz w:val="16"/>
          <w:u w:val="none"/>
          <w:effect w:val="none"/>
          <w:shd w:fill="auto" w:val="clear"/>
        </w:rPr>
      </w:pPr>
      <w:r>
        <w:rPr>
          <w:rFonts w:ascii="Arial;sans-serif" w:hAnsi="Arial;sans-serif"/>
          <w:b w:val="false"/>
          <w:i w:val="false"/>
          <w:caps w:val="false"/>
          <w:smallCaps w:val="false"/>
          <w:strike w:val="false"/>
          <w:dstrike w:val="false"/>
          <w:sz w:val="16"/>
          <w:u w:val="none"/>
          <w:effect w:val="none"/>
          <w:shd w:fill="auto" w:val="clear"/>
        </w:rPr>
        <w:t>Q1 2026</w:t>
      </w:r>
    </w:p>
    <w:p>
      <w:pPr>
        <w:pStyle w:val="TextBody"/>
        <w:bidi w:val="0"/>
        <w:spacing w:lineRule="atLeast" w:line="160" w:before="0" w:after="0"/>
        <w:jc w:val="left"/>
        <w:rPr>
          <w:rFonts w:ascii="Arial;sans-serif" w:hAnsi="Arial;sans-serif"/>
          <w:b w:val="false"/>
          <w:i w:val="false"/>
          <w:caps w:val="false"/>
          <w:smallCaps w:val="false"/>
          <w:strike w:val="false"/>
          <w:dstrike w:val="false"/>
          <w:sz w:val="16"/>
          <w:u w:val="none"/>
          <w:effect w:val="none"/>
          <w:shd w:fill="auto" w:val="clear"/>
        </w:rPr>
      </w:pPr>
      <w:r>
        <w:rPr>
          <w:rFonts w:ascii="Arial;sans-serif" w:hAnsi="Arial;sans-serif"/>
          <w:b w:val="false"/>
          <w:i w:val="false"/>
          <w:caps w:val="false"/>
          <w:smallCaps w:val="false"/>
          <w:strike w:val="false"/>
          <w:dstrike w:val="false"/>
          <w:sz w:val="16"/>
          <w:u w:val="none"/>
          <w:effect w:val="none"/>
          <w:shd w:fill="auto" w:val="clear"/>
        </w:rPr>
        <w:t>December 31, 2025</w:t>
      </w:r>
    </w:p>
    <w:p>
      <w:pPr>
        <w:pStyle w:val="TextBody"/>
        <w:bidi w:val="0"/>
        <w:spacing w:lineRule="atLeast" w:line="160" w:before="0" w:after="0"/>
        <w:jc w:val="left"/>
        <w:rPr>
          <w:rFonts w:ascii="Arial;sans-serif" w:hAnsi="Arial;sans-serif"/>
          <w:b w:val="false"/>
          <w:i w:val="false"/>
          <w:caps w:val="false"/>
          <w:smallCaps w:val="false"/>
          <w:strike w:val="false"/>
          <w:dstrike w:val="false"/>
          <w:sz w:val="16"/>
          <w:u w:val="none"/>
          <w:effect w:val="none"/>
          <w:shd w:fill="auto" w:val="clear"/>
        </w:rPr>
      </w:pPr>
      <w:r>
        <w:rPr>
          <w:rFonts w:ascii="Arial;sans-serif" w:hAnsi="Arial;sans-serif"/>
          <w:b w:val="false"/>
          <w:i w:val="false"/>
          <w:caps w:val="false"/>
          <w:smallCaps w:val="false"/>
          <w:strike w:val="false"/>
          <w:dstrike w:val="false"/>
          <w:sz w:val="16"/>
          <w:u w:val="none"/>
          <w:effect w:val="none"/>
          <w:shd w:fill="auto" w:val="clear"/>
        </w:rPr>
        <w:t>March 31, 2026</w:t>
      </w:r>
    </w:p>
    <w:p>
      <w:pPr>
        <w:pStyle w:val="TextBody"/>
        <w:bidi w:val="0"/>
        <w:spacing w:lineRule="atLeast" w:line="160" w:before="0" w:after="0"/>
        <w:jc w:val="left"/>
        <w:rPr>
          <w:sz w:val="24"/>
        </w:rPr>
      </w:pPr>
      <w:r>
        <w:rPr>
          <w:rFonts w:ascii="Times New Roman;serif" w:hAnsi="Times New Roman;serif"/>
          <w:b w:val="false"/>
          <w:i/>
          <w:strike w:val="false"/>
          <w:dstrike w:val="false"/>
          <w:sz w:val="16"/>
          <w:u w:val="none"/>
          <w:effect w:val="none"/>
        </w:rPr>
        <w:t>Note: Charts above may not</w:t>
      </w:r>
      <w:r>
        <w:rPr>
          <w:strike w:val="false"/>
          <w:dstrike w:val="false"/>
          <w:sz w:val="24"/>
          <w:u w:val="none"/>
          <w:effect w:val="none"/>
        </w:rPr>
        <w:t xml:space="preserve"> </w:t>
      </w:r>
      <w:r>
        <w:rPr>
          <w:rFonts w:ascii="Times New Roman;serif" w:hAnsi="Times New Roman;serif"/>
          <w:b w:val="false"/>
          <w:i/>
          <w:strike w:val="false"/>
          <w:dstrike w:val="false"/>
          <w:sz w:val="16"/>
          <w:u w:val="none"/>
          <w:effect w:val="none"/>
        </w:rPr>
        <w:t>add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Business Updates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Marketed Products</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Cystic Fibrosis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expect that the number of people with CF taking our medicines will continue to grow through new approvals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reimbursement agreements, treatment of younger patients, increased survival and expansion into additional geographies.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Recent and anticipated progress in activities expanding our CF business is included below:</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The U.S. Food and Drug Administration (the “FDA”) approved label extensions for ALYFTREK and TRIKAFTA,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expanding availability of these medicines to approximately 95% of all people with CF in the United States (the </w:t>
      </w:r>
    </w:p>
    <w:p>
      <w:pPr>
        <w:pStyle w:val="TextBody"/>
        <w:bidi w:val="0"/>
        <w:spacing w:lineRule="atLeast" w:line="20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U.S.”). With these label extensions, approximately 800 people with CF in the U.S. are newly eligible for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medicine that treats the underlying cause of CF.</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We secured reimbursement agreements for ALYFTREK in Scotland, Spain, Sweden, Switzerland, New Zealand,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Israel, and Finland, and we are working to secure access for eligible patients in additional countries. </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Sickle Cell Disease and Beta Thalassemia</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In the first quarter of 2026, we recorded $43 million of CASGEVY product revenues.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We secured a pricing agreement for CASGEVY for eligible patients with SCD or TDT in Germany, and we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working through final implementation to provide long-term reimbursed access to patients at a sustainable price.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We completed the regulatory submission in the U.S. for approval of CASGEVY in children with SCD or TDT five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less than twelve years of age. The FDA awarded a Commissioner’s National Priority Voucher for this pediatric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submission, indicating an accelerated timeline for review once the submission is accepted. </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Acute Pain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Since the launch of JOURNAVX in March 2025, more than 1 million prescriptions have been filled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JOURNAVX across the hospital and retail settings for a broad range of acute pain conditions. In the first quarter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2026, more than 350,000 prescriptions were filled, and we recorded $29 million of JOURNAVX product revenues.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We have reached an agreement with a major pharmacy benefit manager for Medicare Part D coverage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JOURNAVX effective on May 1. This agreement adds approximately 10 million lives covered under Part 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Twenty-two states provide coverage for JOURNAVX via Medicaid. In total, approximately 240 million individuals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have reimbursed access to JOURNAVX across a wide range of commercial and government payers.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Pipeline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continue to advance a diversified pipeline of potentially transformative medicines for serious diseases utilizing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range of modalities. Recent and anticipated progress in activities supporting these efforts is included below: </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Cystic Fibrosis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z w:val="20"/>
        </w:rPr>
        <w:t xml:space="preserve">Following positive results from the ALYFTREK clinical trial in children with CF two to five years of age, we expect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submit for global regulatory approvals in this age group in the first half of 2026. We continue to enroll and dose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patients in the pivotal clinical trial evaluating ALYFTREK in children with CF one to less than two years of age.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Following positive results from the TRIKAFTA clinical trial in </w:t>
      </w:r>
      <w:r>
        <w:rPr>
          <w:rFonts w:ascii="Times New Roman;serif" w:hAnsi="Times New Roman;serif"/>
          <w:b w:val="false"/>
          <w:i w:val="false"/>
          <w:caps w:val="false"/>
          <w:smallCaps w:val="false"/>
          <w:sz w:val="20"/>
        </w:rPr>
        <w:t>children</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one to less than two years of age, we have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begun submissions for global regulatory approvals in this age group. </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Peripheral Neuropathic Pain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We expect to complete enrollment in both Phase 3 clinical trials evaluating suzetrigine in diabetic peripheral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neuropathy, a form of peripheral neuropathic pain, by the end of 2026.</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IgA Nephropathy and Other B Cell-Mediated Diseases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We are developing povetacicept, a dual inhibitor of B cell activating factor (“BAFF”) and a proliferation-inducing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ligand (“APRIL”) cytokines, for multiple diseases. Povetacicept represents a potentially best-in-class approach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control B cell activity in IgAN.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Following positive results from the RAINIER Phase 3 clinical trial evaluating povetacicept in adults with IgAN, we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completed in March the submission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rolling biologics license application (“BLA”) to the FDA for potential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accelerated approval in the U.S. We are using a Priority Review Voucher and therefore expect the FDA review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this BLA to be expedited to six months from the date of the FDA’s acceptance of the BLA.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Povetacicept represents a potentially best-in-class approach to control B cell activity in primary membranous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nephropathy (“pMN”), another B cell-mediated disease. We completed enrollment in the Phase 2 portion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Phase 2/3 OLYMPUS pivotal trial evaluating povetacicept in people with pMN, and we initiated the Phase 3 portion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of this clinical trial. Enrollment and dosing in this clinical trial are ongoing.</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APOL1-Mediated Kidney Disease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Inaxaplin is our small molecule for the treatment of APOL1-mediated kidney disease (“AMKD”). We completed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enrollment in</w:t>
      </w:r>
      <w:r>
        <w:rPr>
          <w:caps w:val="false"/>
          <w:smallCaps w:val="false"/>
        </w:rPr>
        <w:t xml:space="preserve"> </w:t>
      </w:r>
      <w:r>
        <w:rPr>
          <w:rFonts w:ascii="Times New Roman;serif" w:hAnsi="Times New Roman;serif"/>
          <w:b w:val="false"/>
          <w:i w:val="false"/>
          <w:caps w:val="false"/>
          <w:smallCaps w:val="false"/>
          <w:sz w:val="20"/>
        </w:rPr>
        <w:t xml:space="preserve">the interim analysis cohort of the global AMPLITUDE Phase 2/3 pivotal clinical trial evaluating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inaxaplin. We expect to conduct the pre-planned interim analysis for potential accelerated approval once this cohort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has been treated for 48 weeks. We expect to share data from the interim analysis in early 2027. We expect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complete full enrollment in the AMPLITUDE clinical trial in the second half of 2026.</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Type 1 Diabetes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Zimislecel is an allogeneic, stem cell-derived, fully differentiated, insulin-producing islet cell replacement therapy,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using standard immunosuppression to protect the implanted cells. We have completed the internal manufacturing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analysis for the Phase 1/2/3 clinical trial of zimislecel in people with type 1 diabetes (“T1D”), and we have resumed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dosing in this clinical trial. Multiple people with T1D have been treated since the resumption of dosing.</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2026, we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expect to provide updated timelines for trial completion.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Our Business Environment</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 the </w:t>
      </w:r>
      <w:r>
        <w:rPr>
          <w:rFonts w:ascii="Times New Roman;serif" w:hAnsi="Times New Roman;serif"/>
          <w:b w:val="false"/>
          <w:i w:val="false"/>
          <w:caps w:val="false"/>
          <w:smallCaps w:val="false"/>
          <w:strike w:val="false"/>
          <w:dstrike w:val="false"/>
          <w:sz w:val="20"/>
          <w:u w:val="none"/>
          <w:effect w:val="none"/>
        </w:rPr>
        <w:t>first quarter of</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2026</w:t>
      </w:r>
      <w:r>
        <w:rPr>
          <w:rFonts w:ascii="Times New Roman;serif" w:hAnsi="Times New Roman;serif"/>
          <w:b w:val="false"/>
          <w:i w:val="false"/>
          <w:caps w:val="false"/>
          <w:smallCaps w:val="false"/>
          <w:sz w:val="20"/>
        </w:rPr>
        <w:t>, our total</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product </w:t>
      </w:r>
      <w:r>
        <w:rPr>
          <w:rFonts w:ascii="Times New Roman;serif" w:hAnsi="Times New Roman;serif"/>
          <w:b w:val="false"/>
          <w:i w:val="false"/>
          <w:caps w:val="false"/>
          <w:smallCaps w:val="false"/>
          <w:sz w:val="20"/>
        </w:rPr>
        <w:t xml:space="preserve">revenues came primarily from the sale of our medicines for the treatment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CF. Our CF strategy involves continuing to develop and obtain approval and reimbursement for treatment regimens that will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provide benefits </w:t>
      </w:r>
      <w:r>
        <w:rPr>
          <w:rFonts w:ascii="Times New Roman;serif" w:hAnsi="Times New Roman;serif"/>
          <w:b w:val="false"/>
          <w:i w:val="false"/>
          <w:caps w:val="false"/>
          <w:smallCaps w:val="false"/>
          <w:strike w:val="false"/>
          <w:dstrike w:val="false"/>
          <w:sz w:val="20"/>
          <w:u w:val="none"/>
          <w:effect w:val="none"/>
        </w:rPr>
        <w:t xml:space="preserve">to all people with CF </w:t>
      </w:r>
      <w:r>
        <w:rPr>
          <w:rFonts w:ascii="Times New Roman;serif" w:hAnsi="Times New Roman;serif"/>
          <w:b w:val="false"/>
          <w:i w:val="false"/>
          <w:caps w:val="false"/>
          <w:smallCaps w:val="false"/>
          <w:sz w:val="20"/>
        </w:rPr>
        <w:t xml:space="preserve">and increasing the number of people with CF eligible and able to receive our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medicines. O</w:t>
      </w:r>
      <w:r>
        <w:rPr>
          <w:rFonts w:ascii="Times New Roman;serif" w:hAnsi="Times New Roman;serif"/>
          <w:b w:val="false"/>
          <w:i w:val="false"/>
          <w:caps w:val="false"/>
          <w:smallCaps w:val="false"/>
          <w:strike w:val="false"/>
          <w:dstrike w:val="false"/>
          <w:sz w:val="20"/>
          <w:u w:val="none"/>
          <w:effect w:val="none"/>
        </w:rPr>
        <w:t>utside of CF</w:t>
      </w:r>
      <w:r>
        <w:rPr>
          <w:rFonts w:ascii="Times New Roman;serif" w:hAnsi="Times New Roman;serif"/>
          <w:b w:val="false"/>
          <w:i w:val="false"/>
          <w:caps w:val="false"/>
          <w:smallCaps w:val="false"/>
          <w:sz w:val="20"/>
        </w:rPr>
        <w:t>, we continue to advance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the commercialization of CASGEVY for the treatment of SCD and TDT,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and </w:t>
      </w:r>
      <w:r>
        <w:rPr>
          <w:rFonts w:ascii="Times New Roman;serif" w:hAnsi="Times New Roman;serif"/>
          <w:b w:val="false"/>
          <w:i w:val="false"/>
          <w:caps w:val="false"/>
          <w:smallCaps w:val="false"/>
          <w:sz w:val="20"/>
        </w:rPr>
        <w:t xml:space="preserve">JOURNAVX for the treatment of acute pain, and we are preparing for a potential launch of povetacicept for the treatment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of IgAN. In addition, we </w:t>
      </w:r>
      <w:r>
        <w:rPr>
          <w:rFonts w:ascii="Times New Roman;serif" w:hAnsi="Times New Roman;serif"/>
          <w:b w:val="false"/>
          <w:i w:val="false"/>
          <w:caps w:val="false"/>
          <w:smallCaps w:val="false"/>
          <w:strike w:val="false"/>
          <w:dstrike w:val="false"/>
          <w:sz w:val="20"/>
          <w:u w:val="none"/>
          <w:effect w:val="none"/>
        </w:rPr>
        <w:t xml:space="preserve">are advancing our pipeline of product candidates for the treatment of serious diseases outside of CF,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SCD, TDT and acute pain.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strategy is to combine transformative advances in the understanding of causal human biology and the science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therapeutics to discover and develop innovative medicines. This approach includes advancing multiple compounds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therapies from each program, spanning multiple modalities, into early clinical trials to obtain patient data that can inform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selection of the most promising therapies for later-stage development, as well as to inform discovery and development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efforts. We aim to serially innovate in our disease areas of interest and follow our first-in-class therapies with potential best-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in-class candidates to provide durable clinical and commercial success.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pursuit of new product candidates and therapies in specialty markets, we invest in research and development.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believe that pursuing research in diverse areas allows us to balance the risks inherent in product development and may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provide product candidates that will form our pipeline in future years. To supplement our internal research programs,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acquire technologies and programs and collaborate with biopharmaceutical and technology companies, leading academic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research institutions, government laboratories, foundations and other organizations, as needed, to advance research in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areas of therapeutic interest and to access technologies needed to execute on our strategy.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Discovery and development of a new pharmaceutical or biological product is a difficult and lengthy process that requires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significant financial resources along with extensive technical and regulatory expertise. Across the industry, most potential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drug or biological products never progress into development, and most products that advance into development never receive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marketing approval. Our investments in product candidates are subject to considerable risks. We closely monitor our research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development activities, and frequently evaluate our pipeline programs in light of new data and scientific, business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commercial insights, with the objective of balancing risk and potential. This process can result in rapid changes in focus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priorities as new information becomes available and as we gain additional understanding of our ongoing programs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potential new programs, as well as those of our competitors. In addition, our product candidates must satisfy rigorous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standards of safety and efficacy before they can be approved for sale by regulatory authorities. Our analysis of data obtained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nonclinical and clinical activities is subject to confirmation and interpretation by regulatory authorities, which could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delay, limit or prevent regulatory approval.</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business also requires ensuring appropriate manufacturing and supply of our products. As we advance our product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candidates through clinical development toward commercialization and market and sell our approved products, we build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maintain our supply chain and quality assurance resources. We rely on a global network of third parties, including some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China, and our internal capabilities to manufacture and distribute our products for commercial sale and post-approval clinical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trials and to manufacture and distribute our product candidates for clinical trials. In addition to establishing supply chains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each newly approved product, we adapt our supply chain for existing products to include additional formulations or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 scale of production for existing products as needed. The processes for biological and cell and genetic therapies can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 more complex than those required for small molecule drugs and require additional investments in different systems,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equipment, facilities and expertise. We are focused on ensuring the stability of the supply chains for our current products,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well as for our pipeline programs.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Sales of our products depend, to a large degree, on the extent to which our products are reimbursed by third-party payors,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such as government health programs, commercial insurance and managed health care organizations. Reimbursement for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products, including our potential pipeline therapies, cannot be assured and may take significant periods of time to obtain.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dedicate substantial management and other resources to obtain and maintain appropriate levels of reimbursement for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products from third-party payors, including governmental organizations in the U.S. and ex-U.S. markets. In the U.S.,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work with government and commercial payors to obtain and maintain appropriate levels of reimbursement for our medicines.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ex-U.S. markets, we seek government reimbursement for our medicines on a country-by-country or region-by-region,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required. This is necessary for each new medicine, as well as for label expansions for our current medicines. We expect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continue to focus significant resources to expand and maintain reimbursement for our CF medicines, CASGEVY,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JOURNAVX, and, ultimately, our pipeline therapies, in U.S. and ex-U.S.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Strategic Transactions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Acquisitions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part of our business strategy, we seek to license or acquire technologies, products, product candidates and businesses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that are aligned with our corporate and research and development strategies and complement and advance our ongoing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research and development efforts. We have acquired multiple biotechnology companies over the last several years and expect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continue to identify and evaluate such opportunities. The accounting for these acquisitions can vary significantly based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whether we conclude the transactions represent business combinations or asset acquisitions. In 2024, we acquired Alpine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Immune Sciences, Inc. (“Alpine”) and its lead molecule, povetacicept, for approximately $5.0 billion. Povetacicept, has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shown potential to treat multiple diseases or conditions and become a pipeline-in-a-product. We accounted for the Alpine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transaction as an asset acquisition because povetacicept represented substantially all of the fair value of the gross assets that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acquired. As a result, $4.4 billion of the fair value attributed to povetacicept was expensed as AIPR&amp;D in 2024.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Collaboration and In-Licensing Arrangements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enter into arrangements with third parties, including collaboration and licensing arrangements, for the development,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manufacture and commercialization of products, product candidates and other technologies that have the potential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complement our ongoing research and development efforts.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Over the last several years, we entered into collaboration agreements with a number of companies, including CRISPR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T</w:t>
      </w:r>
      <w:r>
        <w:rPr>
          <w:rFonts w:ascii="Times New Roman;serif" w:hAnsi="Times New Roman;serif"/>
          <w:b w:val="false"/>
          <w:i w:val="false"/>
          <w:caps w:val="false"/>
          <w:smallCaps w:val="false"/>
          <w:strike w:val="false"/>
          <w:dstrike w:val="false"/>
          <w:sz w:val="20"/>
          <w:u w:val="none"/>
          <w:effect w:val="none"/>
        </w:rPr>
        <w:t>herapeutics AG (“CRISPR”) and Entrada Therapeutics, Inc. (“Entrada”).</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Generally, when we in-license a technology or product candidate, we make upfront payments to the collaborator, assume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costs of the program and/or agree to make contingent payments, which could consist of milestone, royalty and option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payments. Most of these collaboration payments are expensed as AIPR&amp;D because they were primarily attributable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acquired in-process research and development for which there was no alternative future use. However, depending on many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factors, including the structure of the collaboration, the stage of development of the acquired technology, the significance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in-licensed product candidate to the collaborator’s operations and the other activities in which our collaborators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engaged, the accounting for these transactions can vary significantly. We expect to continue to identify and evaluate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collaboration and licensing opportunities that may be similar to or different from the collaborations and licenses that we have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engaged in previously.</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Acquired In-Process Research and Development Expenses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 the </w:t>
      </w:r>
      <w:r>
        <w:rPr>
          <w:rFonts w:ascii="Times New Roman;serif" w:hAnsi="Times New Roman;serif"/>
          <w:b w:val="false"/>
          <w:i w:val="false"/>
          <w:caps w:val="false"/>
          <w:smallCaps w:val="false"/>
          <w:strike w:val="false"/>
          <w:dstrike w:val="false"/>
          <w:sz w:val="20"/>
          <w:u w:val="none"/>
          <w:effect w:val="none"/>
        </w:rPr>
        <w:t>first quarter of</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2026</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our AIPR&amp;D included </w:t>
      </w:r>
      <w:r>
        <w:rPr>
          <w:rFonts w:ascii="Times New Roman;serif" w:hAnsi="Times New Roman;serif"/>
          <w:b w:val="false"/>
          <w:i w:val="false"/>
          <w:caps w:val="false"/>
          <w:smallCaps w:val="false"/>
          <w:strike w:val="false"/>
          <w:dstrike w:val="false"/>
          <w:sz w:val="20"/>
          <w:u w:val="none"/>
          <w:effect w:val="none"/>
        </w:rPr>
        <w:t>$0.5 million</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$19.8 million</w:t>
      </w:r>
      <w:r>
        <w:rPr>
          <w:rFonts w:ascii="Times New Roman;serif" w:hAnsi="Times New Roman;serif"/>
          <w:b w:val="false"/>
          <w:i w:val="false"/>
          <w:caps w:val="false"/>
          <w:smallCaps w:val="false"/>
          <w:sz w:val="20"/>
        </w:rPr>
        <w:t xml:space="preserve">, respectively, related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upfront, contingent milestone, or other payments pursuant to our business development transactions, including the asset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acquisitions, collaborations, and licenses of third-party technologies described above. Please refer to </w:t>
      </w:r>
      <w:r>
        <w:rPr>
          <w:rFonts w:ascii="Times New Roman;serif" w:hAnsi="Times New Roman;serif"/>
          <w:b w:val="false"/>
          <w:i w:val="false"/>
          <w:caps w:val="false"/>
          <w:smallCaps w:val="false"/>
          <w:strike w:val="false"/>
          <w:dstrike w:val="false"/>
          <w:sz w:val="20"/>
          <w:u w:val="none"/>
          <w:effect w:val="none"/>
        </w:rPr>
        <w:t xml:space="preserve">Note B, “Collaboration,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License and Other Arrangements,”</w:t>
      </w:r>
      <w:r>
        <w:rPr>
          <w:caps w:val="false"/>
          <w:smallCaps w:val="false"/>
          <w:sz w:val="24"/>
        </w:rPr>
        <w:t xml:space="preserve"> </w:t>
      </w:r>
      <w:r>
        <w:rPr>
          <w:rFonts w:ascii="Times New Roman;serif" w:hAnsi="Times New Roman;serif"/>
          <w:b w:val="false"/>
          <w:i w:val="false"/>
          <w:caps w:val="false"/>
          <w:smallCaps w:val="false"/>
          <w:sz w:val="20"/>
        </w:rPr>
        <w:t xml:space="preserve">for further information regarding our asset acquisitions, collaborations and in-license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agreements.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Out-licensing Arrangements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also have out-licensed certain development programs to collaborators who are leading the development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commercialization of these programs, either globally or within certain geographic regions.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January 2025 and June 2025, we entered into agreements with Zai Lab Limited (“Zai”) and Ono Pharmaceuticals Co.,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Ltd (“Ono”), respectively, for the development and commercialization of povetacicept in various Asian markets. Zai licensed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povetacicept for mainland China, Hong Kong SAR, Macau SAR, Taiwan region and Singapore, while Ono licensed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povetacicept for Japan and South Korea. Zai and Ono will help advance povetacicept clinical trials, and will be responsible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obtaining marketing authorizations and commercialization activities, if povetacicept becomes an approved product,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their licensed territories. We are eligible to receive certain future milestone payments and tiered royalties on future net sales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povetacicept in these regions.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Total Revenues</w:t>
      </w:r>
    </w:p>
    <w:tbl>
      <w:tblPr>
        <w:tblW w:w="8391" w:type="dxa"/>
        <w:jc w:val="left"/>
        <w:tblInd w:w="0" w:type="dxa"/>
        <w:tblLayout w:type="fixed"/>
        <w:tblCellMar>
          <w:top w:w="28" w:type="dxa"/>
          <w:left w:w="28" w:type="dxa"/>
          <w:bottom w:w="28" w:type="dxa"/>
          <w:right w:w="28" w:type="dxa"/>
        </w:tblCellMar>
      </w:tblPr>
      <w:tblGrid>
        <w:gridCol w:w="4696"/>
        <w:gridCol w:w="1309"/>
        <w:gridCol w:w="172"/>
        <w:gridCol w:w="1309"/>
        <w:gridCol w:w="109"/>
        <w:gridCol w:w="796"/>
      </w:tblGrid>
      <w:tr>
        <w:trPr/>
        <w:tc>
          <w:tcPr>
            <w:tcW w:w="469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4696" w:type="dxa"/>
            <w:tcBorders/>
            <w:vAlign w:val="center"/>
          </w:tcPr>
          <w:p>
            <w:pPr>
              <w:pStyle w:val="TableContents"/>
              <w:bidi w:val="0"/>
              <w:spacing w:before="0" w:after="283"/>
              <w:jc w:val="left"/>
              <w:rPr>
                <w:sz w:val="4"/>
                <w:szCs w:val="4"/>
              </w:rPr>
            </w:pPr>
            <w:r>
              <w:rPr>
                <w:sz w:val="4"/>
                <w:szCs w:val="4"/>
              </w:rPr>
            </w:r>
          </w:p>
        </w:tc>
        <w:tc>
          <w:tcPr>
            <w:tcW w:w="2790"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Three Months Ended March 31,</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696" w:type="dxa"/>
            <w:tcBorders/>
            <w:vAlign w:val="center"/>
          </w:tcPr>
          <w:p>
            <w:pPr>
              <w:pStyle w:val="TableContents"/>
              <w:bidi w:val="0"/>
              <w:spacing w:before="0" w:after="283"/>
              <w:jc w:val="left"/>
              <w:rPr>
                <w:sz w:val="4"/>
                <w:szCs w:val="4"/>
              </w:rPr>
            </w:pPr>
            <w:r>
              <w:rPr>
                <w:sz w:val="4"/>
                <w:szCs w:val="4"/>
              </w:rPr>
            </w:r>
          </w:p>
        </w:tc>
        <w:tc>
          <w:tcPr>
            <w:tcW w:w="1309"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Change</w:t>
            </w:r>
          </w:p>
        </w:tc>
      </w:tr>
      <w:tr>
        <w:trPr/>
        <w:tc>
          <w:tcPr>
            <w:tcW w:w="4696" w:type="dxa"/>
            <w:tcBorders/>
            <w:vAlign w:val="center"/>
          </w:tcPr>
          <w:p>
            <w:pPr>
              <w:pStyle w:val="TableContents"/>
              <w:bidi w:val="0"/>
              <w:spacing w:before="0" w:after="283"/>
              <w:jc w:val="left"/>
              <w:rPr>
                <w:sz w:val="4"/>
                <w:szCs w:val="4"/>
              </w:rPr>
            </w:pPr>
            <w:r>
              <w:rPr>
                <w:sz w:val="4"/>
                <w:szCs w:val="4"/>
              </w:rPr>
            </w:r>
          </w:p>
        </w:tc>
        <w:tc>
          <w:tcPr>
            <w:tcW w:w="13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 except percentages)</w:t>
            </w:r>
          </w:p>
        </w:tc>
        <w:tc>
          <w:tcPr>
            <w:tcW w:w="3695" w:type="dxa"/>
            <w:gridSpan w:val="5"/>
            <w:tcBorders/>
            <w:vAlign w:val="center"/>
          </w:tcPr>
          <w:p>
            <w:pPr>
              <w:pStyle w:val="TableContents"/>
              <w:bidi w:val="0"/>
              <w:spacing w:before="0" w:after="283"/>
              <w:jc w:val="left"/>
              <w:rPr>
                <w:sz w:val="4"/>
                <w:szCs w:val="4"/>
              </w:rPr>
            </w:pPr>
            <w:r>
              <w:rPr>
                <w:sz w:val="4"/>
                <w:szCs w:val="4"/>
              </w:rPr>
            </w:r>
          </w:p>
        </w:tc>
      </w:tr>
      <w:tr>
        <w:trPr/>
        <w:tc>
          <w:tcPr>
            <w:tcW w:w="46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TRIKAFTA/KAFTRIO</w:t>
            </w:r>
          </w:p>
        </w:tc>
        <w:tc>
          <w:tcPr>
            <w:tcW w:w="130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$2,354.7</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$2,535.5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w:t>
            </w:r>
          </w:p>
        </w:tc>
      </w:tr>
      <w:tr>
        <w:trPr/>
        <w:tc>
          <w:tcPr>
            <w:tcW w:w="46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ALYFTREK</w:t>
            </w:r>
          </w:p>
        </w:tc>
        <w:tc>
          <w:tcPr>
            <w:tcW w:w="130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424.4</w:t>
            </w:r>
          </w:p>
        </w:tc>
        <w:tc>
          <w:tcPr>
            <w:tcW w:w="172" w:type="dxa"/>
            <w:tcBorders/>
            <w:shd w:fill="FFFFFF" w:val="clear"/>
            <w:vAlign w:val="center"/>
          </w:tcPr>
          <w:p>
            <w:pPr>
              <w:pStyle w:val="TableContents"/>
              <w:bidi w:val="0"/>
              <w:spacing w:before="0" w:after="283"/>
              <w:jc w:val="left"/>
              <w:rPr>
                <w:sz w:val="4"/>
                <w:szCs w:val="4"/>
              </w:rPr>
            </w:pPr>
            <w:r>
              <w:rPr>
                <w:sz w:val="4"/>
                <w:szCs w:val="4"/>
              </w:rPr>
            </w:r>
          </w:p>
        </w:tc>
        <w:tc>
          <w:tcPr>
            <w:tcW w:w="130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687%</w:t>
            </w:r>
          </w:p>
        </w:tc>
      </w:tr>
      <w:tr>
        <w:trPr/>
        <w:tc>
          <w:tcPr>
            <w:tcW w:w="469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Other CF product revenues </w:t>
            </w:r>
            <w:r>
              <w:rPr>
                <w:rFonts w:ascii="Times New Roman;serif" w:hAnsi="Times New Roman;serif"/>
                <w:b w:val="false"/>
                <w:i w:val="false"/>
                <w:caps w:val="false"/>
                <w:smallCaps w:val="false"/>
                <w:sz w:val="13"/>
              </w:rPr>
              <w:t>(1)</w:t>
            </w:r>
          </w:p>
        </w:tc>
        <w:tc>
          <w:tcPr>
            <w:tcW w:w="1309"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135.9</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r>
      <w:tr>
        <w:trPr/>
        <w:tc>
          <w:tcPr>
            <w:tcW w:w="46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CF product revenues, net</w:t>
            </w:r>
          </w:p>
        </w:tc>
        <w:tc>
          <w:tcPr>
            <w:tcW w:w="1309"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2,915.0</w:t>
            </w:r>
          </w:p>
        </w:tc>
        <w:tc>
          <w:tcPr>
            <w:tcW w:w="172" w:type="dxa"/>
            <w:tcBorders/>
            <w:shd w:fill="FFFFFF" w:val="clear"/>
            <w:vAlign w:val="center"/>
          </w:tcPr>
          <w:p>
            <w:pPr>
              <w:pStyle w:val="TableContents"/>
              <w:bidi w:val="0"/>
              <w:spacing w:before="0" w:after="283"/>
              <w:jc w:val="left"/>
              <w:rPr>
                <w:sz w:val="4"/>
                <w:szCs w:val="4"/>
              </w:rPr>
            </w:pPr>
            <w:r>
              <w:rPr>
                <w:sz w:val="4"/>
                <w:szCs w:val="4"/>
              </w:rPr>
            </w:r>
          </w:p>
        </w:tc>
        <w:tc>
          <w:tcPr>
            <w:tcW w:w="1309"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2,744.7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w:t>
            </w:r>
          </w:p>
        </w:tc>
      </w:tr>
      <w:tr>
        <w:trPr/>
        <w:tc>
          <w:tcPr>
            <w:tcW w:w="46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CASGEVY</w:t>
            </w:r>
          </w:p>
        </w:tc>
        <w:tc>
          <w:tcPr>
            <w:tcW w:w="130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42.9</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w:t>
            </w:r>
          </w:p>
        </w:tc>
      </w:tr>
      <w:tr>
        <w:trPr/>
        <w:tc>
          <w:tcPr>
            <w:tcW w:w="46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JOURNAVX</w:t>
            </w:r>
          </w:p>
        </w:tc>
        <w:tc>
          <w:tcPr>
            <w:tcW w:w="1309"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29.0</w:t>
            </w:r>
          </w:p>
        </w:tc>
        <w:tc>
          <w:tcPr>
            <w:tcW w:w="172" w:type="dxa"/>
            <w:tcBorders/>
            <w:shd w:fill="FFFFFF" w:val="clear"/>
            <w:vAlign w:val="center"/>
          </w:tcPr>
          <w:p>
            <w:pPr>
              <w:pStyle w:val="TableContents"/>
              <w:bidi w:val="0"/>
              <w:spacing w:before="0" w:after="283"/>
              <w:jc w:val="left"/>
              <w:rPr>
                <w:sz w:val="4"/>
                <w:szCs w:val="4"/>
              </w:rPr>
            </w:pPr>
            <w:r>
              <w:rPr>
                <w:sz w:val="4"/>
                <w:szCs w:val="4"/>
              </w:rPr>
            </w:r>
          </w:p>
        </w:tc>
        <w:tc>
          <w:tcPr>
            <w:tcW w:w="1309"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46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Product revenues, net</w:t>
            </w:r>
          </w:p>
        </w:tc>
        <w:tc>
          <w:tcPr>
            <w:tcW w:w="1309"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2,986.9</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2,760.2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w:t>
            </w:r>
          </w:p>
        </w:tc>
      </w:tr>
      <w:tr>
        <w:trPr/>
        <w:tc>
          <w:tcPr>
            <w:tcW w:w="46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revenues</w:t>
            </w:r>
          </w:p>
        </w:tc>
        <w:tc>
          <w:tcPr>
            <w:tcW w:w="1309"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72" w:type="dxa"/>
            <w:tcBorders/>
            <w:shd w:fill="FFFFFF" w:val="clear"/>
            <w:vAlign w:val="center"/>
          </w:tcPr>
          <w:p>
            <w:pPr>
              <w:pStyle w:val="TableContents"/>
              <w:bidi w:val="0"/>
              <w:spacing w:before="0" w:after="283"/>
              <w:jc w:val="left"/>
              <w:rPr>
                <w:sz w:val="4"/>
                <w:szCs w:val="4"/>
              </w:rPr>
            </w:pPr>
            <w:r>
              <w:rPr>
                <w:sz w:val="4"/>
                <w:szCs w:val="4"/>
              </w:rPr>
            </w:r>
          </w:p>
        </w:tc>
        <w:tc>
          <w:tcPr>
            <w:tcW w:w="1309"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46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revenues</w:t>
            </w:r>
          </w:p>
        </w:tc>
        <w:tc>
          <w:tcPr>
            <w:tcW w:w="130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$2,986.9</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$2,770.2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w:t>
            </w:r>
          </w:p>
        </w:tc>
      </w:tr>
      <w:tr>
        <w:trPr/>
        <w:tc>
          <w:tcPr>
            <w:tcW w:w="4696" w:type="dxa"/>
            <w:tcBorders/>
            <w:vAlign w:val="center"/>
          </w:tcPr>
          <w:p>
            <w:pPr>
              <w:pStyle w:val="TableContents"/>
              <w:bidi w:val="0"/>
              <w:spacing w:before="0" w:after="283"/>
              <w:jc w:val="left"/>
              <w:rPr>
                <w:sz w:val="4"/>
                <w:szCs w:val="4"/>
              </w:rPr>
            </w:pPr>
            <w:r>
              <w:rPr>
                <w:sz w:val="4"/>
                <w:szCs w:val="4"/>
              </w:rPr>
            </w:r>
          </w:p>
        </w:tc>
        <w:tc>
          <w:tcPr>
            <w:tcW w:w="13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469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13"/>
              </w:rPr>
              <w:t xml:space="preserve">(1) </w:t>
            </w:r>
            <w:r>
              <w:rPr>
                <w:rFonts w:ascii="Times New Roman;serif" w:hAnsi="Times New Roman;serif"/>
                <w:b w:val="false"/>
                <w:i w:val="false"/>
                <w:caps w:val="false"/>
                <w:smallCaps w:val="false"/>
                <w:sz w:val="16"/>
              </w:rPr>
              <w:t>Include KALYDECO, ORKAMBI and SYMDEKO/SYMKEVI.</w:t>
            </w:r>
          </w:p>
        </w:tc>
        <w:tc>
          <w:tcPr>
            <w:tcW w:w="3695" w:type="dxa"/>
            <w:gridSpan w:val="5"/>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Not meaningful</w:t>
            </w:r>
          </w:p>
        </w:tc>
      </w:tr>
    </w:tbl>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Product Revenues, Net</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 the </w:t>
      </w:r>
      <w:r>
        <w:rPr>
          <w:rFonts w:ascii="Times New Roman;serif" w:hAnsi="Times New Roman;serif"/>
          <w:b w:val="false"/>
          <w:i w:val="false"/>
          <w:caps w:val="false"/>
          <w:smallCaps w:val="false"/>
          <w:strike w:val="false"/>
          <w:dstrike w:val="false"/>
          <w:sz w:val="20"/>
          <w:u w:val="none"/>
          <w:effect w:val="none"/>
        </w:rPr>
        <w:t>first quarter</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2026</w:t>
      </w:r>
      <w:r>
        <w:rPr>
          <w:rFonts w:ascii="Times New Roman;serif" w:hAnsi="Times New Roman;serif"/>
          <w:b w:val="false"/>
          <w:i w:val="false"/>
          <w:caps w:val="false"/>
          <w:smallCaps w:val="false"/>
          <w:sz w:val="20"/>
        </w:rPr>
        <w:t xml:space="preserve">, our net product revenues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z w:val="20"/>
        </w:rPr>
        <w:t xml:space="preserve">by </w:t>
      </w:r>
      <w:r>
        <w:rPr>
          <w:rFonts w:ascii="Times New Roman;serif" w:hAnsi="Times New Roman;serif"/>
          <w:b w:val="false"/>
          <w:i w:val="false"/>
          <w:caps w:val="false"/>
          <w:smallCaps w:val="false"/>
          <w:strike w:val="false"/>
          <w:dstrike w:val="false"/>
          <w:sz w:val="20"/>
          <w:u w:val="none"/>
          <w:effect w:val="none"/>
        </w:rPr>
        <w:t>$226.7 million</w:t>
      </w:r>
      <w:r>
        <w:rPr>
          <w:rFonts w:ascii="Times New Roman;serif" w:hAnsi="Times New Roman;serif"/>
          <w:b w:val="false"/>
          <w:i w:val="false"/>
          <w:caps w:val="false"/>
          <w:smallCaps w:val="false"/>
          <w:sz w:val="20"/>
        </w:rPr>
        <w:t xml:space="preserve">, or </w:t>
      </w:r>
      <w:r>
        <w:rPr>
          <w:rFonts w:ascii="Times New Roman;serif" w:hAnsi="Times New Roman;serif"/>
          <w:b w:val="false"/>
          <w:i w:val="false"/>
          <w:caps w:val="false"/>
          <w:smallCaps w:val="false"/>
          <w:strike w:val="false"/>
          <w:dstrike w:val="false"/>
          <w:sz w:val="20"/>
          <w:u w:val="none"/>
          <w:effect w:val="none"/>
        </w:rPr>
        <w:t>8%</w:t>
      </w:r>
      <w:r>
        <w:rPr>
          <w:rFonts w:ascii="Times New Roman;serif" w:hAnsi="Times New Roman;serif"/>
          <w:b w:val="false"/>
          <w:i w:val="false"/>
          <w:caps w:val="false"/>
          <w:smallCaps w:val="false"/>
          <w:sz w:val="20"/>
        </w:rPr>
        <w:t xml:space="preserve">, as compared to the </w:t>
      </w:r>
      <w:r>
        <w:rPr>
          <w:rFonts w:ascii="Times New Roman;serif" w:hAnsi="Times New Roman;serif"/>
          <w:b w:val="false"/>
          <w:i w:val="false"/>
          <w:caps w:val="false"/>
          <w:smallCaps w:val="false"/>
          <w:strike w:val="false"/>
          <w:dstrike w:val="false"/>
          <w:sz w:val="20"/>
          <w:u w:val="none"/>
          <w:effect w:val="none"/>
        </w:rPr>
        <w:t>first quarter</w:t>
      </w:r>
      <w:r>
        <w:rPr>
          <w:caps w:val="false"/>
          <w:smallCaps w:val="false"/>
          <w:sz w:val="24"/>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primarily due to </w:t>
      </w:r>
      <w:r>
        <w:rPr>
          <w:rFonts w:ascii="Times New Roman;serif" w:hAnsi="Times New Roman;serif"/>
          <w:b w:val="false"/>
          <w:i w:val="false"/>
          <w:caps w:val="false"/>
          <w:smallCaps w:val="false"/>
          <w:strike w:val="false"/>
          <w:dstrike w:val="false"/>
          <w:sz w:val="20"/>
          <w:u w:val="none"/>
          <w:effect w:val="none"/>
        </w:rPr>
        <w:t xml:space="preserve">continued performance of our CF therapies and growth from diversification into additional disease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areas.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Other Revenues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Other revenues were $10.0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the first quarter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2025, related to an upfront payment received from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collaboration agreement with Zai.</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Revenues by Geographic Location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Our total revenues from the U.S. and from ex-U.S. markets were as follows:</w:t>
      </w:r>
    </w:p>
    <w:tbl>
      <w:tblPr>
        <w:tblW w:w="6516" w:type="dxa"/>
        <w:jc w:val="left"/>
        <w:tblInd w:w="0" w:type="dxa"/>
        <w:tblLayout w:type="fixed"/>
        <w:tblCellMar>
          <w:top w:w="28" w:type="dxa"/>
          <w:left w:w="28" w:type="dxa"/>
          <w:bottom w:w="28" w:type="dxa"/>
          <w:right w:w="28" w:type="dxa"/>
        </w:tblCellMar>
      </w:tblPr>
      <w:tblGrid>
        <w:gridCol w:w="2821"/>
        <w:gridCol w:w="1309"/>
        <w:gridCol w:w="172"/>
        <w:gridCol w:w="1309"/>
        <w:gridCol w:w="109"/>
        <w:gridCol w:w="796"/>
      </w:tblGrid>
      <w:tr>
        <w:trPr/>
        <w:tc>
          <w:tcPr>
            <w:tcW w:w="282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2821" w:type="dxa"/>
            <w:tcBorders/>
            <w:vAlign w:val="center"/>
          </w:tcPr>
          <w:p>
            <w:pPr>
              <w:pStyle w:val="TableContents"/>
              <w:bidi w:val="0"/>
              <w:spacing w:before="0" w:after="283"/>
              <w:jc w:val="left"/>
              <w:rPr>
                <w:sz w:val="4"/>
                <w:szCs w:val="4"/>
              </w:rPr>
            </w:pPr>
            <w:r>
              <w:rPr>
                <w:sz w:val="4"/>
                <w:szCs w:val="4"/>
              </w:rPr>
            </w:r>
          </w:p>
        </w:tc>
        <w:tc>
          <w:tcPr>
            <w:tcW w:w="2790"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Three Months Ended March 31,</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tcBorders/>
            <w:vAlign w:val="center"/>
          </w:tcPr>
          <w:p>
            <w:pPr>
              <w:pStyle w:val="TableContents"/>
              <w:bidi w:val="0"/>
              <w:spacing w:before="0" w:after="283"/>
              <w:jc w:val="left"/>
              <w:rPr>
                <w:sz w:val="4"/>
                <w:szCs w:val="4"/>
              </w:rPr>
            </w:pPr>
            <w:r>
              <w:rPr>
                <w:sz w:val="4"/>
                <w:szCs w:val="4"/>
              </w:rPr>
            </w:r>
          </w:p>
        </w:tc>
        <w:tc>
          <w:tcPr>
            <w:tcW w:w="1309"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Change</w:t>
            </w:r>
          </w:p>
        </w:tc>
      </w:tr>
      <w:tr>
        <w:trPr/>
        <w:tc>
          <w:tcPr>
            <w:tcW w:w="2821" w:type="dxa"/>
            <w:tcBorders/>
            <w:vAlign w:val="center"/>
          </w:tcPr>
          <w:p>
            <w:pPr>
              <w:pStyle w:val="TableContents"/>
              <w:bidi w:val="0"/>
              <w:spacing w:before="0" w:after="283"/>
              <w:jc w:val="left"/>
              <w:rPr>
                <w:sz w:val="4"/>
                <w:szCs w:val="4"/>
              </w:rPr>
            </w:pPr>
            <w:r>
              <w:rPr>
                <w:sz w:val="4"/>
                <w:szCs w:val="4"/>
              </w:rPr>
            </w:r>
          </w:p>
        </w:tc>
        <w:tc>
          <w:tcPr>
            <w:tcW w:w="13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 except percentages)</w:t>
            </w:r>
          </w:p>
        </w:tc>
        <w:tc>
          <w:tcPr>
            <w:tcW w:w="3695" w:type="dxa"/>
            <w:gridSpan w:val="5"/>
            <w:tcBorders/>
            <w:vAlign w:val="center"/>
          </w:tcPr>
          <w:p>
            <w:pPr>
              <w:pStyle w:val="TableContents"/>
              <w:bidi w:val="0"/>
              <w:spacing w:before="0" w:after="283"/>
              <w:jc w:val="left"/>
              <w:rPr>
                <w:sz w:val="4"/>
                <w:szCs w:val="4"/>
              </w:rPr>
            </w:pPr>
            <w:r>
              <w:rPr>
                <w:sz w:val="4"/>
                <w:szCs w:val="4"/>
              </w:rPr>
            </w:r>
          </w:p>
        </w:tc>
      </w:tr>
      <w:tr>
        <w:trPr/>
        <w:tc>
          <w:tcPr>
            <w:tcW w:w="28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United States</w:t>
            </w:r>
          </w:p>
        </w:tc>
        <w:tc>
          <w:tcPr>
            <w:tcW w:w="130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$1,775.9</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$1,663.5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w:t>
            </w:r>
          </w:p>
        </w:tc>
      </w:tr>
      <w:tr>
        <w:trPr/>
        <w:tc>
          <w:tcPr>
            <w:tcW w:w="28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ex-U.S.</w:t>
            </w:r>
          </w:p>
        </w:tc>
        <w:tc>
          <w:tcPr>
            <w:tcW w:w="1309"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1,211.0</w:t>
            </w:r>
          </w:p>
        </w:tc>
        <w:tc>
          <w:tcPr>
            <w:tcW w:w="172" w:type="dxa"/>
            <w:tcBorders/>
            <w:shd w:fill="FFFFFF" w:val="clear"/>
            <w:vAlign w:val="center"/>
          </w:tcPr>
          <w:p>
            <w:pPr>
              <w:pStyle w:val="TableContents"/>
              <w:bidi w:val="0"/>
              <w:spacing w:before="0" w:after="283"/>
              <w:jc w:val="left"/>
              <w:rPr>
                <w:sz w:val="4"/>
                <w:szCs w:val="4"/>
              </w:rPr>
            </w:pPr>
            <w:r>
              <w:rPr>
                <w:sz w:val="4"/>
                <w:szCs w:val="4"/>
              </w:rPr>
            </w:r>
          </w:p>
        </w:tc>
        <w:tc>
          <w:tcPr>
            <w:tcW w:w="1309"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1,106.7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r>
      <w:tr>
        <w:trPr/>
        <w:tc>
          <w:tcPr>
            <w:tcW w:w="28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revenues</w:t>
            </w:r>
          </w:p>
        </w:tc>
        <w:tc>
          <w:tcPr>
            <w:tcW w:w="130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$2,986.9</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$2,770.2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 the </w:t>
      </w:r>
      <w:r>
        <w:rPr>
          <w:rFonts w:ascii="Times New Roman;serif" w:hAnsi="Times New Roman;serif"/>
          <w:b w:val="false"/>
          <w:i w:val="false"/>
          <w:caps w:val="false"/>
          <w:smallCaps w:val="false"/>
          <w:strike w:val="false"/>
          <w:dstrike w:val="false"/>
          <w:sz w:val="20"/>
          <w:u w:val="none"/>
          <w:effect w:val="none"/>
        </w:rPr>
        <w:t>first quarter</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2026</w:t>
      </w:r>
      <w:r>
        <w:rPr>
          <w:rFonts w:ascii="Times New Roman;serif" w:hAnsi="Times New Roman;serif"/>
          <w:b w:val="false"/>
          <w:i w:val="false"/>
          <w:caps w:val="false"/>
          <w:smallCaps w:val="false"/>
          <w:sz w:val="20"/>
        </w:rPr>
        <w:t xml:space="preserve">, our U.S. total revenues increased </w:t>
      </w:r>
      <w:r>
        <w:rPr>
          <w:rFonts w:ascii="Times New Roman;serif" w:hAnsi="Times New Roman;serif"/>
          <w:b w:val="false"/>
          <w:i w:val="false"/>
          <w:caps w:val="false"/>
          <w:smallCaps w:val="false"/>
          <w:strike w:val="false"/>
          <w:dstrike w:val="false"/>
          <w:sz w:val="20"/>
          <w:u w:val="none"/>
          <w:effect w:val="none"/>
        </w:rPr>
        <w:t>7%</w:t>
      </w:r>
      <w:r>
        <w:rPr>
          <w:rFonts w:ascii="Times New Roman;serif" w:hAnsi="Times New Roman;serif"/>
          <w:b w:val="false"/>
          <w:i w:val="false"/>
          <w:caps w:val="false"/>
          <w:smallCaps w:val="false"/>
          <w:sz w:val="20"/>
        </w:rPr>
        <w:t xml:space="preserve">, as compared to the </w:t>
      </w:r>
      <w:r>
        <w:rPr>
          <w:rFonts w:ascii="Times New Roman;serif" w:hAnsi="Times New Roman;serif"/>
          <w:b w:val="false"/>
          <w:i w:val="false"/>
          <w:caps w:val="false"/>
          <w:smallCaps w:val="false"/>
          <w:strike w:val="false"/>
          <w:dstrike w:val="false"/>
          <w:sz w:val="20"/>
          <w:u w:val="none"/>
          <w:effect w:val="none"/>
        </w:rPr>
        <w:t>first quarter</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due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continued strong patient demand, including from new initiations of ALYFTREK, and higher realized net prices in CF,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contributions from CASGEVY and JOURNAVX.</w:t>
      </w:r>
      <w:r>
        <w:rPr>
          <w:caps w:val="false"/>
          <w:smallCaps w:val="false"/>
          <w:sz w:val="24"/>
        </w:rPr>
        <w:t xml:space="preserve"> </w:t>
      </w:r>
      <w:r>
        <w:rPr>
          <w:rFonts w:ascii="Times New Roman;serif" w:hAnsi="Times New Roman;serif"/>
          <w:b w:val="false"/>
          <w:i w:val="false"/>
          <w:caps w:val="false"/>
          <w:smallCaps w:val="false"/>
          <w:sz w:val="20"/>
        </w:rPr>
        <w:t xml:space="preserve">In the </w:t>
      </w:r>
      <w:r>
        <w:rPr>
          <w:rFonts w:ascii="Times New Roman;serif" w:hAnsi="Times New Roman;serif"/>
          <w:b w:val="false"/>
          <w:i w:val="false"/>
          <w:caps w:val="false"/>
          <w:smallCaps w:val="false"/>
          <w:strike w:val="false"/>
          <w:dstrike w:val="false"/>
          <w:sz w:val="20"/>
          <w:u w:val="none"/>
          <w:effect w:val="none"/>
        </w:rPr>
        <w:t>first quarter</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2026</w:t>
      </w:r>
      <w:r>
        <w:rPr>
          <w:rFonts w:ascii="Times New Roman;serif" w:hAnsi="Times New Roman;serif"/>
          <w:b w:val="false"/>
          <w:i w:val="false"/>
          <w:caps w:val="false"/>
          <w:smallCaps w:val="false"/>
          <w:sz w:val="20"/>
        </w:rPr>
        <w:t xml:space="preserve">, our ex-U.S. total revenues increased </w:t>
      </w:r>
      <w:r>
        <w:rPr>
          <w:rFonts w:ascii="Times New Roman;serif" w:hAnsi="Times New Roman;serif"/>
          <w:b w:val="false"/>
          <w:i w:val="false"/>
          <w:caps w:val="false"/>
          <w:smallCaps w:val="false"/>
          <w:strike w:val="false"/>
          <w:dstrike w:val="false"/>
          <w:sz w:val="20"/>
          <w:u w:val="none"/>
          <w:effect w:val="none"/>
        </w:rPr>
        <w:t>9%</w:t>
      </w:r>
      <w:r>
        <w:rPr>
          <w:rFonts w:ascii="Times New Roman;serif" w:hAnsi="Times New Roman;serif"/>
          <w:b w:val="false"/>
          <w:i w:val="false"/>
          <w:caps w:val="false"/>
          <w:smallCaps w:val="false"/>
          <w:sz w:val="20"/>
        </w:rPr>
        <w:t xml:space="preserve">, as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compared to the </w:t>
      </w:r>
      <w:r>
        <w:rPr>
          <w:rFonts w:ascii="Times New Roman;serif" w:hAnsi="Times New Roman;serif"/>
          <w:b w:val="false"/>
          <w:i w:val="false"/>
          <w:caps w:val="false"/>
          <w:smallCaps w:val="false"/>
          <w:strike w:val="false"/>
          <w:dstrike w:val="false"/>
          <w:sz w:val="20"/>
          <w:u w:val="none"/>
          <w:effect w:val="none"/>
        </w:rPr>
        <w:t>first quarter</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primarily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due </w:t>
      </w:r>
      <w:r>
        <w:rPr>
          <w:rFonts w:ascii="Times New Roman;serif" w:hAnsi="Times New Roman;serif"/>
          <w:b w:val="false"/>
          <w:i w:val="false"/>
          <w:caps w:val="false"/>
          <w:smallCaps w:val="false"/>
          <w:sz w:val="20"/>
        </w:rPr>
        <w:t xml:space="preserve">to </w:t>
      </w:r>
      <w:r>
        <w:rPr>
          <w:rFonts w:ascii="Times New Roman;serif" w:hAnsi="Times New Roman;serif"/>
          <w:b w:val="false"/>
          <w:i w:val="false"/>
          <w:caps w:val="false"/>
          <w:smallCaps w:val="false"/>
          <w:strike w:val="false"/>
          <w:dstrike w:val="false"/>
          <w:sz w:val="20"/>
          <w:u w:val="none"/>
          <w:effect w:val="none"/>
        </w:rPr>
        <w:t xml:space="preserve">strong CF performance across multiple geographies, including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ALYFTREK uptake, increased CASGEVY product revenues, and a favorable impact from foreign exchange.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Operating Costs and Expenses</w:t>
      </w:r>
    </w:p>
    <w:tbl>
      <w:tblPr>
        <w:tblW w:w="8376" w:type="dxa"/>
        <w:jc w:val="left"/>
        <w:tblInd w:w="0" w:type="dxa"/>
        <w:tblLayout w:type="fixed"/>
        <w:tblCellMar>
          <w:top w:w="28" w:type="dxa"/>
          <w:left w:w="28" w:type="dxa"/>
          <w:bottom w:w="28" w:type="dxa"/>
          <w:right w:w="28" w:type="dxa"/>
        </w:tblCellMar>
      </w:tblPr>
      <w:tblGrid>
        <w:gridCol w:w="4681"/>
        <w:gridCol w:w="1309"/>
        <w:gridCol w:w="172"/>
        <w:gridCol w:w="1309"/>
        <w:gridCol w:w="109"/>
        <w:gridCol w:w="796"/>
      </w:tblGrid>
      <w:tr>
        <w:trPr/>
        <w:tc>
          <w:tcPr>
            <w:tcW w:w="468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4681" w:type="dxa"/>
            <w:tcBorders/>
            <w:vAlign w:val="center"/>
          </w:tcPr>
          <w:p>
            <w:pPr>
              <w:pStyle w:val="TableContents"/>
              <w:bidi w:val="0"/>
              <w:spacing w:before="0" w:after="283"/>
              <w:jc w:val="left"/>
              <w:rPr>
                <w:sz w:val="4"/>
                <w:szCs w:val="4"/>
              </w:rPr>
            </w:pPr>
            <w:r>
              <w:rPr>
                <w:sz w:val="4"/>
                <w:szCs w:val="4"/>
              </w:rPr>
            </w:r>
          </w:p>
        </w:tc>
        <w:tc>
          <w:tcPr>
            <w:tcW w:w="2790"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Three Months Ended March 31,</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tcBorders/>
            <w:vAlign w:val="center"/>
          </w:tcPr>
          <w:p>
            <w:pPr>
              <w:pStyle w:val="TableContents"/>
              <w:bidi w:val="0"/>
              <w:spacing w:before="0" w:after="283"/>
              <w:jc w:val="left"/>
              <w:rPr>
                <w:sz w:val="4"/>
                <w:szCs w:val="4"/>
              </w:rPr>
            </w:pPr>
            <w:r>
              <w:rPr>
                <w:sz w:val="4"/>
                <w:szCs w:val="4"/>
              </w:rPr>
            </w:r>
          </w:p>
        </w:tc>
        <w:tc>
          <w:tcPr>
            <w:tcW w:w="1309"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Change</w:t>
            </w:r>
          </w:p>
        </w:tc>
      </w:tr>
      <w:tr>
        <w:trPr/>
        <w:tc>
          <w:tcPr>
            <w:tcW w:w="4681" w:type="dxa"/>
            <w:tcBorders/>
            <w:vAlign w:val="center"/>
          </w:tcPr>
          <w:p>
            <w:pPr>
              <w:pStyle w:val="TableContents"/>
              <w:bidi w:val="0"/>
              <w:spacing w:before="0" w:after="283"/>
              <w:jc w:val="left"/>
              <w:rPr>
                <w:sz w:val="4"/>
                <w:szCs w:val="4"/>
              </w:rPr>
            </w:pPr>
            <w:r>
              <w:rPr>
                <w:sz w:val="4"/>
                <w:szCs w:val="4"/>
              </w:rPr>
            </w:r>
          </w:p>
        </w:tc>
        <w:tc>
          <w:tcPr>
            <w:tcW w:w="13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 except percentages)</w:t>
            </w:r>
          </w:p>
        </w:tc>
        <w:tc>
          <w:tcPr>
            <w:tcW w:w="3695" w:type="dxa"/>
            <w:gridSpan w:val="5"/>
            <w:tcBorders/>
            <w:vAlign w:val="center"/>
          </w:tcPr>
          <w:p>
            <w:pPr>
              <w:pStyle w:val="TableContents"/>
              <w:bidi w:val="0"/>
              <w:spacing w:before="0" w:after="283"/>
              <w:jc w:val="left"/>
              <w:rPr>
                <w:sz w:val="4"/>
                <w:szCs w:val="4"/>
              </w:rPr>
            </w:pPr>
            <w:r>
              <w:rPr>
                <w:sz w:val="4"/>
                <w:szCs w:val="4"/>
              </w:rPr>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Cost of sales</w:t>
            </w:r>
          </w:p>
        </w:tc>
        <w:tc>
          <w:tcPr>
            <w:tcW w:w="130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$392.8</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Research and development expenses</w:t>
            </w:r>
          </w:p>
        </w:tc>
        <w:tc>
          <w:tcPr>
            <w:tcW w:w="130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961.6</w:t>
            </w:r>
          </w:p>
        </w:tc>
        <w:tc>
          <w:tcPr>
            <w:tcW w:w="172" w:type="dxa"/>
            <w:tcBorders/>
            <w:shd w:fill="FFFFFF" w:val="clear"/>
            <w:vAlign w:val="center"/>
          </w:tcPr>
          <w:p>
            <w:pPr>
              <w:pStyle w:val="TableContents"/>
              <w:bidi w:val="0"/>
              <w:spacing w:before="0" w:after="283"/>
              <w:jc w:val="left"/>
              <w:rPr>
                <w:sz w:val="4"/>
                <w:szCs w:val="4"/>
              </w:rPr>
            </w:pPr>
            <w:r>
              <w:rPr>
                <w:sz w:val="4"/>
                <w:szCs w:val="4"/>
              </w:rPr>
            </w:r>
          </w:p>
        </w:tc>
        <w:tc>
          <w:tcPr>
            <w:tcW w:w="130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979.7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Acquired in-process research and development expenses</w:t>
            </w:r>
          </w:p>
        </w:tc>
        <w:tc>
          <w:tcPr>
            <w:tcW w:w="130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Selling, general and administrative expenses</w:t>
            </w:r>
          </w:p>
        </w:tc>
        <w:tc>
          <w:tcPr>
            <w:tcW w:w="130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493.7</w:t>
            </w:r>
          </w:p>
        </w:tc>
        <w:tc>
          <w:tcPr>
            <w:tcW w:w="172" w:type="dxa"/>
            <w:tcBorders/>
            <w:shd w:fill="FFFFFF" w:val="clear"/>
            <w:vAlign w:val="center"/>
          </w:tcPr>
          <w:p>
            <w:pPr>
              <w:pStyle w:val="TableContents"/>
              <w:bidi w:val="0"/>
              <w:spacing w:before="0" w:after="283"/>
              <w:jc w:val="left"/>
              <w:rPr>
                <w:sz w:val="4"/>
                <w:szCs w:val="4"/>
              </w:rPr>
            </w:pPr>
            <w:r>
              <w:rPr>
                <w:sz w:val="4"/>
                <w:szCs w:val="4"/>
              </w:rPr>
            </w:r>
          </w:p>
        </w:tc>
        <w:tc>
          <w:tcPr>
            <w:tcW w:w="130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396.4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Intangible asset impairment charge</w:t>
            </w:r>
          </w:p>
        </w:tc>
        <w:tc>
          <w:tcPr>
            <w:tcW w:w="1309"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Change in fair value of contingent consideration</w:t>
            </w:r>
          </w:p>
        </w:tc>
        <w:tc>
          <w:tcPr>
            <w:tcW w:w="1309"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72" w:type="dxa"/>
            <w:tcBorders/>
            <w:shd w:fill="FFFFFF" w:val="clear"/>
            <w:vAlign w:val="center"/>
          </w:tcPr>
          <w:p>
            <w:pPr>
              <w:pStyle w:val="TableContents"/>
              <w:bidi w:val="0"/>
              <w:spacing w:before="0" w:after="283"/>
              <w:jc w:val="left"/>
              <w:rPr>
                <w:sz w:val="4"/>
                <w:szCs w:val="4"/>
              </w:rPr>
            </w:pPr>
            <w:r>
              <w:rPr>
                <w:sz w:val="4"/>
                <w:szCs w:val="4"/>
              </w:rPr>
            </w:r>
          </w:p>
        </w:tc>
        <w:tc>
          <w:tcPr>
            <w:tcW w:w="1309"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costs and expenses</w:t>
            </w:r>
          </w:p>
        </w:tc>
        <w:tc>
          <w:tcPr>
            <w:tcW w:w="130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$1,848.8</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$2,140.1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r>
      <w:tr>
        <w:trPr/>
        <w:tc>
          <w:tcPr>
            <w:tcW w:w="4681" w:type="dxa"/>
            <w:tcBorders/>
            <w:vAlign w:val="center"/>
          </w:tcPr>
          <w:p>
            <w:pPr>
              <w:pStyle w:val="TableContents"/>
              <w:bidi w:val="0"/>
              <w:spacing w:before="0" w:after="283"/>
              <w:jc w:val="left"/>
              <w:rPr>
                <w:sz w:val="4"/>
                <w:szCs w:val="4"/>
              </w:rPr>
            </w:pPr>
            <w:r>
              <w:rPr>
                <w:sz w:val="4"/>
                <w:szCs w:val="4"/>
              </w:rPr>
            </w:r>
          </w:p>
        </w:tc>
        <w:tc>
          <w:tcPr>
            <w:tcW w:w="13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4681" w:type="dxa"/>
            <w:tcBorders/>
            <w:vAlign w:val="center"/>
          </w:tcPr>
          <w:p>
            <w:pPr>
              <w:pStyle w:val="TableContents"/>
              <w:bidi w:val="0"/>
              <w:spacing w:before="0" w:after="283"/>
              <w:jc w:val="left"/>
              <w:rPr>
                <w:sz w:val="4"/>
                <w:szCs w:val="4"/>
              </w:rPr>
            </w:pPr>
            <w:r>
              <w:rPr>
                <w:sz w:val="4"/>
                <w:szCs w:val="4"/>
              </w:rPr>
            </w:r>
          </w:p>
        </w:tc>
        <w:tc>
          <w:tcPr>
            <w:tcW w:w="3695" w:type="dxa"/>
            <w:gridSpan w:val="5"/>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Not meaningful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Cost of Sales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cost of sales primarily consists of third-party royalties payable on net sales of our CF products as well as the cost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producing inventories. Our cost of sales as a percentage of our net product revenues was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13.2%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w:t>
      </w:r>
      <w:r>
        <w:rPr>
          <w:rFonts w:ascii="Times New Roman;serif" w:hAnsi="Times New Roman;serif"/>
          <w:b w:val="false"/>
          <w:i w:val="false"/>
          <w:caps w:val="false"/>
          <w:smallCaps w:val="false"/>
          <w:sz w:val="20"/>
        </w:rPr>
        <w:t xml:space="preserve">n each of the </w:t>
      </w:r>
      <w:r>
        <w:rPr>
          <w:rFonts w:ascii="Times New Roman;serif" w:hAnsi="Times New Roman;serif"/>
          <w:b w:val="false"/>
          <w:i w:val="false"/>
          <w:caps w:val="false"/>
          <w:smallCaps w:val="false"/>
          <w:strike w:val="false"/>
          <w:dstrike w:val="false"/>
          <w:sz w:val="20"/>
          <w:u w:val="none"/>
          <w:effect w:val="none"/>
        </w:rPr>
        <w:t>first quarter</w:t>
      </w:r>
      <w:r>
        <w:rPr>
          <w:rFonts w:ascii="Times New Roman;serif" w:hAnsi="Times New Roman;serif"/>
          <w:b w:val="false"/>
          <w:i w:val="false"/>
          <w:caps w:val="false"/>
          <w:smallCaps w:val="false"/>
          <w:sz w:val="20"/>
        </w:rPr>
        <w:t xml:space="preserve">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2026</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as a result of a lower overall royalty rate for our CF medicines, offset by changes in product mix.</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Pursuant to our agreement (the “CFF Agreement”) with the Cystic Fibrosis Foundation (the “CFF”), </w:t>
      </w:r>
      <w:r>
        <w:rPr>
          <w:rFonts w:ascii="Times New Roman;serif" w:hAnsi="Times New Roman;serif"/>
          <w:b w:val="false"/>
          <w:i w:val="false"/>
          <w:caps w:val="false"/>
          <w:smallCaps w:val="false"/>
          <w:strike w:val="false"/>
          <w:dstrike w:val="false"/>
          <w:sz w:val="20"/>
          <w:u w:val="none"/>
          <w:effect w:val="none"/>
        </w:rPr>
        <w:t>our</w:t>
      </w:r>
      <w:r>
        <w:rPr>
          <w:caps w:val="false"/>
          <w:smallCaps w:val="false"/>
          <w:sz w:val="24"/>
        </w:rPr>
        <w:t xml:space="preserve"> </w:t>
      </w:r>
      <w:r>
        <w:rPr>
          <w:rFonts w:ascii="Times New Roman;serif" w:hAnsi="Times New Roman;serif"/>
          <w:b w:val="false"/>
          <w:i w:val="false"/>
          <w:caps w:val="false"/>
          <w:smallCaps w:val="false"/>
          <w:sz w:val="20"/>
        </w:rPr>
        <w:t>tiered third-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party royalties on sales of ALYFTREK, TRIKAFTA/KAFTRIO, SYMDEKO/SYMKEVI, KALYDECO, and ORKAMBI,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calculated as a percentage of net sales, range from the single digits to the sub-teens, with lower royalties on sales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ALYFTREK and TRIKAFTA/KAFTRIO than for our other products. The royalty burden associated with TRIKAFTA/</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KAFTRIO is 9.33%, and our position is that the royalty burden associated with ALYFTREK is 4%. On October 10, 2025,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Royalty Pharma plc (“RP”), the third party to whom the CFF assigned its rights (and the CFF, which remains a party to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CFF Agreement), initiated a confidential arbitration alleging the royalty burden on ALYFTREK is approximately 8%. RP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seeking a declaratory judgment regarding the royalty burden on ALYFTREK as well as alleged unpaid royalties and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alleged damages available under the CFF Agreement or applicable law, costs, expenses, attorneys’ fees, and interest.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believe RP’s position is contrary to the plain terms of the CFF Agreement and intend to vigorously defend our position under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CFF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Research and Development Expenses</w:t>
      </w:r>
    </w:p>
    <w:tbl>
      <w:tblPr>
        <w:tblW w:w="7191" w:type="dxa"/>
        <w:jc w:val="left"/>
        <w:tblInd w:w="0" w:type="dxa"/>
        <w:tblLayout w:type="fixed"/>
        <w:tblCellMar>
          <w:top w:w="28" w:type="dxa"/>
          <w:left w:w="28" w:type="dxa"/>
          <w:bottom w:w="28" w:type="dxa"/>
          <w:right w:w="28" w:type="dxa"/>
        </w:tblCellMar>
      </w:tblPr>
      <w:tblGrid>
        <w:gridCol w:w="3496"/>
        <w:gridCol w:w="1291"/>
        <w:gridCol w:w="208"/>
        <w:gridCol w:w="1291"/>
        <w:gridCol w:w="109"/>
        <w:gridCol w:w="796"/>
      </w:tblGrid>
      <w:tr>
        <w:trPr/>
        <w:tc>
          <w:tcPr>
            <w:tcW w:w="349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before="0" w:after="283"/>
              <w:jc w:val="left"/>
              <w:rPr>
                <w:sz w:val="4"/>
                <w:szCs w:val="4"/>
              </w:rPr>
            </w:pPr>
            <w:r>
              <w:rPr>
                <w:sz w:val="4"/>
                <w:szCs w:val="4"/>
              </w:rPr>
            </w:r>
          </w:p>
        </w:tc>
        <w:tc>
          <w:tcPr>
            <w:tcW w:w="2790"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Three Months Ended March 31,</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20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Change</w:t>
            </w:r>
          </w:p>
        </w:tc>
      </w:tr>
      <w:tr>
        <w:trPr/>
        <w:tc>
          <w:tcPr>
            <w:tcW w:w="3496" w:type="dxa"/>
            <w:tcBorders/>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 except percentages)</w:t>
            </w:r>
          </w:p>
        </w:tc>
        <w:tc>
          <w:tcPr>
            <w:tcW w:w="3695" w:type="dxa"/>
            <w:gridSpan w:val="5"/>
            <w:tcBorders/>
            <w:vAlign w:val="center"/>
          </w:tcPr>
          <w:p>
            <w:pPr>
              <w:pStyle w:val="TableContents"/>
              <w:bidi w:val="0"/>
              <w:spacing w:before="0" w:after="283"/>
              <w:jc w:val="left"/>
              <w:rPr>
                <w:sz w:val="4"/>
                <w:szCs w:val="4"/>
              </w:rPr>
            </w:pPr>
            <w:r>
              <w:rPr>
                <w:sz w:val="4"/>
                <w:szCs w:val="4"/>
              </w:rPr>
            </w:r>
          </w:p>
        </w:tc>
      </w:tr>
      <w:tr>
        <w:trPr/>
        <w:tc>
          <w:tcPr>
            <w:tcW w:w="34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Research expenses</w:t>
            </w:r>
          </w:p>
        </w:tc>
        <w:tc>
          <w:tcPr>
            <w:tcW w:w="12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$205.0</w:t>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r>
      <w:tr>
        <w:trPr/>
        <w:tc>
          <w:tcPr>
            <w:tcW w:w="34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Development expenses</w:t>
            </w:r>
          </w:p>
        </w:tc>
        <w:tc>
          <w:tcPr>
            <w:tcW w:w="129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756.6</w:t>
            </w:r>
          </w:p>
        </w:tc>
        <w:tc>
          <w:tcPr>
            <w:tcW w:w="208"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773.6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r>
      <w:tr>
        <w:trPr/>
        <w:tc>
          <w:tcPr>
            <w:tcW w:w="34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research and development expenses</w:t>
            </w:r>
          </w:p>
        </w:tc>
        <w:tc>
          <w:tcPr>
            <w:tcW w:w="129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$961.6</w:t>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$979.7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Research Expenses</w:t>
      </w:r>
    </w:p>
    <w:tbl>
      <w:tblPr>
        <w:tblW w:w="7536" w:type="dxa"/>
        <w:jc w:val="left"/>
        <w:tblInd w:w="0" w:type="dxa"/>
        <w:tblLayout w:type="fixed"/>
        <w:tblCellMar>
          <w:top w:w="28" w:type="dxa"/>
          <w:left w:w="28" w:type="dxa"/>
          <w:bottom w:w="28" w:type="dxa"/>
          <w:right w:w="28" w:type="dxa"/>
        </w:tblCellMar>
      </w:tblPr>
      <w:tblGrid>
        <w:gridCol w:w="3841"/>
        <w:gridCol w:w="1291"/>
        <w:gridCol w:w="208"/>
        <w:gridCol w:w="1291"/>
        <w:gridCol w:w="109"/>
        <w:gridCol w:w="796"/>
      </w:tblGrid>
      <w:tr>
        <w:trPr/>
        <w:tc>
          <w:tcPr>
            <w:tcW w:w="384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before="0" w:after="283"/>
              <w:jc w:val="left"/>
              <w:rPr>
                <w:sz w:val="4"/>
                <w:szCs w:val="4"/>
              </w:rPr>
            </w:pPr>
            <w:r>
              <w:rPr>
                <w:sz w:val="4"/>
                <w:szCs w:val="4"/>
              </w:rPr>
            </w:r>
          </w:p>
        </w:tc>
        <w:tc>
          <w:tcPr>
            <w:tcW w:w="2790"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Three Months Ended March 31,</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20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Change</w:t>
            </w:r>
          </w:p>
        </w:tc>
      </w:tr>
      <w:tr>
        <w:trPr/>
        <w:tc>
          <w:tcPr>
            <w:tcW w:w="3841" w:type="dxa"/>
            <w:tcBorders/>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 except percentages)</w:t>
            </w:r>
          </w:p>
        </w:tc>
        <w:tc>
          <w:tcPr>
            <w:tcW w:w="3695" w:type="dxa"/>
            <w:gridSpan w:val="5"/>
            <w:tcBorders/>
            <w:vAlign w:val="center"/>
          </w:tcPr>
          <w:p>
            <w:pPr>
              <w:pStyle w:val="TableContents"/>
              <w:bidi w:val="0"/>
              <w:spacing w:before="0" w:after="283"/>
              <w:jc w:val="left"/>
              <w:rPr>
                <w:sz w:val="4"/>
                <w:szCs w:val="4"/>
              </w:rPr>
            </w:pPr>
            <w:r>
              <w:rPr>
                <w:sz w:val="4"/>
                <w:szCs w:val="4"/>
              </w:rPr>
            </w:r>
          </w:p>
        </w:tc>
      </w:tr>
      <w:tr>
        <w:trPr/>
        <w:tc>
          <w:tcPr>
            <w:tcW w:w="38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Research Expenses:</w:t>
            </w:r>
          </w:p>
        </w:tc>
        <w:tc>
          <w:tcPr>
            <w:tcW w:w="1291"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r>
      <w:tr>
        <w:trPr/>
        <w:tc>
          <w:tcPr>
            <w:tcW w:w="3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Salary and benefits</w:t>
            </w:r>
          </w:p>
        </w:tc>
        <w:tc>
          <w:tcPr>
            <w:tcW w:w="12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$55.2</w:t>
            </w:r>
          </w:p>
        </w:tc>
        <w:tc>
          <w:tcPr>
            <w:tcW w:w="208"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r>
      <w:tr>
        <w:trPr/>
        <w:tc>
          <w:tcPr>
            <w:tcW w:w="38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Stock-based compensation expense</w:t>
            </w:r>
          </w:p>
        </w:tc>
        <w:tc>
          <w:tcPr>
            <w:tcW w:w="12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21.2</w:t>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r>
      <w:tr>
        <w:trPr/>
        <w:tc>
          <w:tcPr>
            <w:tcW w:w="3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Outsourced services and other direct expenses</w:t>
            </w:r>
          </w:p>
        </w:tc>
        <w:tc>
          <w:tcPr>
            <w:tcW w:w="12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66.6</w:t>
            </w:r>
          </w:p>
        </w:tc>
        <w:tc>
          <w:tcPr>
            <w:tcW w:w="208"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r>
      <w:tr>
        <w:trPr/>
        <w:tc>
          <w:tcPr>
            <w:tcW w:w="38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Infrastructure costs</w:t>
            </w:r>
          </w:p>
        </w:tc>
        <w:tc>
          <w:tcPr>
            <w:tcW w:w="12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62.0</w:t>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w:t>
            </w:r>
          </w:p>
        </w:tc>
      </w:tr>
      <w:tr>
        <w:trPr/>
        <w:tc>
          <w:tcPr>
            <w:tcW w:w="3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research expenses</w:t>
            </w:r>
          </w:p>
        </w:tc>
        <w:tc>
          <w:tcPr>
            <w:tcW w:w="12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$205.0</w:t>
            </w:r>
          </w:p>
        </w:tc>
        <w:tc>
          <w:tcPr>
            <w:tcW w:w="208"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research expenses include investment in our pipeline, including our cell and genetic therapy capabilities, which has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increased our salary and benefits and infrastructure costs in the first quarter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compared to the first quarter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2025.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expect to continue to invest in our research programs with a focus on creating transformative medicines for serious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diseases.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Development Expenses</w:t>
      </w:r>
    </w:p>
    <w:tbl>
      <w:tblPr>
        <w:tblW w:w="7536" w:type="dxa"/>
        <w:jc w:val="left"/>
        <w:tblInd w:w="0" w:type="dxa"/>
        <w:tblLayout w:type="fixed"/>
        <w:tblCellMar>
          <w:top w:w="28" w:type="dxa"/>
          <w:left w:w="28" w:type="dxa"/>
          <w:bottom w:w="28" w:type="dxa"/>
          <w:right w:w="28" w:type="dxa"/>
        </w:tblCellMar>
      </w:tblPr>
      <w:tblGrid>
        <w:gridCol w:w="3841"/>
        <w:gridCol w:w="1291"/>
        <w:gridCol w:w="208"/>
        <w:gridCol w:w="1291"/>
        <w:gridCol w:w="109"/>
        <w:gridCol w:w="796"/>
      </w:tblGrid>
      <w:tr>
        <w:trPr/>
        <w:tc>
          <w:tcPr>
            <w:tcW w:w="384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before="0" w:after="283"/>
              <w:jc w:val="left"/>
              <w:rPr>
                <w:sz w:val="4"/>
                <w:szCs w:val="4"/>
              </w:rPr>
            </w:pPr>
            <w:r>
              <w:rPr>
                <w:sz w:val="4"/>
                <w:szCs w:val="4"/>
              </w:rPr>
            </w:r>
          </w:p>
        </w:tc>
        <w:tc>
          <w:tcPr>
            <w:tcW w:w="2790"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Three Months Ended March 31,</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20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Change</w:t>
            </w:r>
          </w:p>
        </w:tc>
      </w:tr>
      <w:tr>
        <w:trPr/>
        <w:tc>
          <w:tcPr>
            <w:tcW w:w="3841" w:type="dxa"/>
            <w:tcBorders/>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 except percentages)</w:t>
            </w:r>
          </w:p>
        </w:tc>
        <w:tc>
          <w:tcPr>
            <w:tcW w:w="3695" w:type="dxa"/>
            <w:gridSpan w:val="5"/>
            <w:tcBorders/>
            <w:vAlign w:val="center"/>
          </w:tcPr>
          <w:p>
            <w:pPr>
              <w:pStyle w:val="TableContents"/>
              <w:bidi w:val="0"/>
              <w:spacing w:before="0" w:after="283"/>
              <w:jc w:val="left"/>
              <w:rPr>
                <w:sz w:val="4"/>
                <w:szCs w:val="4"/>
              </w:rPr>
            </w:pPr>
            <w:r>
              <w:rPr>
                <w:sz w:val="4"/>
                <w:szCs w:val="4"/>
              </w:rPr>
            </w:r>
          </w:p>
        </w:tc>
      </w:tr>
      <w:tr>
        <w:trPr/>
        <w:tc>
          <w:tcPr>
            <w:tcW w:w="38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Development Expenses:</w:t>
            </w:r>
          </w:p>
        </w:tc>
        <w:tc>
          <w:tcPr>
            <w:tcW w:w="1291"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r>
      <w:tr>
        <w:trPr/>
        <w:tc>
          <w:tcPr>
            <w:tcW w:w="3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Salary and benefits</w:t>
            </w:r>
          </w:p>
        </w:tc>
        <w:tc>
          <w:tcPr>
            <w:tcW w:w="12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$212.6</w:t>
            </w:r>
          </w:p>
        </w:tc>
        <w:tc>
          <w:tcPr>
            <w:tcW w:w="208"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$195.9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r>
      <w:tr>
        <w:trPr/>
        <w:tc>
          <w:tcPr>
            <w:tcW w:w="38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Stock-based compensation expense</w:t>
            </w:r>
          </w:p>
        </w:tc>
        <w:tc>
          <w:tcPr>
            <w:tcW w:w="12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80.5</w:t>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r>
      <w:tr>
        <w:trPr/>
        <w:tc>
          <w:tcPr>
            <w:tcW w:w="3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Outsourced services and other direct expenses</w:t>
            </w:r>
          </w:p>
        </w:tc>
        <w:tc>
          <w:tcPr>
            <w:tcW w:w="12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326.2</w:t>
            </w:r>
          </w:p>
        </w:tc>
        <w:tc>
          <w:tcPr>
            <w:tcW w:w="208"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r>
      <w:tr>
        <w:trPr/>
        <w:tc>
          <w:tcPr>
            <w:tcW w:w="38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Infrastructure costs</w:t>
            </w:r>
          </w:p>
        </w:tc>
        <w:tc>
          <w:tcPr>
            <w:tcW w:w="12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137.3</w:t>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r>
      <w:tr>
        <w:trPr/>
        <w:tc>
          <w:tcPr>
            <w:tcW w:w="3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development expenses</w:t>
            </w:r>
          </w:p>
        </w:tc>
        <w:tc>
          <w:tcPr>
            <w:tcW w:w="12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$756.6</w:t>
            </w:r>
          </w:p>
        </w:tc>
        <w:tc>
          <w:tcPr>
            <w:tcW w:w="208"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$773.6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we have advanced our pipeline of transformative medicines, we have invested in internal headcount and infrastructure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support multiple mid- and late-stage clinical development programs, including our povetacicept, T1D, peripheral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neuropathic pain and AMKD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programs. We expect to continue to invest in these programs, launch new products and advance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pipeline going forward. Our outsourced services and other direct expenses were lower as compared to the first quarter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2025 due to the discontinuation of certain clinical programs during 2025.</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research and development expenses include internal and external costs incurred for research and development of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products and product candidates. We assign external costs of services provided to us by clinical research organizations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outsourced research by individual program. Our internal costs include salary and benefits, stock-based compensation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expense, laboratory supplies and other direct expenses and infrastructure costs, the majority of which are not assigned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individual products or product candidates. Our stock-based compensation expenses, including those recorded as research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development expenses, have historically fluctuated and are expected to continue to fluctuate from one period to another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primarily due to changes in the probability of achieving milestones associated with our performance-based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Acquired In-Process Research and Development Expenses</w:t>
      </w:r>
    </w:p>
    <w:tbl>
      <w:tblPr>
        <w:tblW w:w="8376" w:type="dxa"/>
        <w:jc w:val="left"/>
        <w:tblInd w:w="0" w:type="dxa"/>
        <w:tblLayout w:type="fixed"/>
        <w:tblCellMar>
          <w:top w:w="28" w:type="dxa"/>
          <w:left w:w="28" w:type="dxa"/>
          <w:bottom w:w="28" w:type="dxa"/>
          <w:right w:w="28" w:type="dxa"/>
        </w:tblCellMar>
      </w:tblPr>
      <w:tblGrid>
        <w:gridCol w:w="4681"/>
        <w:gridCol w:w="1217"/>
        <w:gridCol w:w="252"/>
        <w:gridCol w:w="1321"/>
        <w:gridCol w:w="109"/>
        <w:gridCol w:w="796"/>
      </w:tblGrid>
      <w:tr>
        <w:trPr/>
        <w:tc>
          <w:tcPr>
            <w:tcW w:w="468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4681" w:type="dxa"/>
            <w:tcBorders/>
            <w:vAlign w:val="center"/>
          </w:tcPr>
          <w:p>
            <w:pPr>
              <w:pStyle w:val="TableContents"/>
              <w:bidi w:val="0"/>
              <w:spacing w:before="0" w:after="283"/>
              <w:jc w:val="left"/>
              <w:rPr>
                <w:sz w:val="4"/>
                <w:szCs w:val="4"/>
              </w:rPr>
            </w:pPr>
            <w:r>
              <w:rPr>
                <w:sz w:val="4"/>
                <w:szCs w:val="4"/>
              </w:rPr>
            </w:r>
          </w:p>
        </w:tc>
        <w:tc>
          <w:tcPr>
            <w:tcW w:w="2790"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Three Months Ended March 31,</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tcBorders/>
            <w:vAlign w:val="center"/>
          </w:tcPr>
          <w:p>
            <w:pPr>
              <w:pStyle w:val="TableContents"/>
              <w:bidi w:val="0"/>
              <w:spacing w:before="0" w:after="283"/>
              <w:jc w:val="left"/>
              <w:rPr>
                <w:sz w:val="4"/>
                <w:szCs w:val="4"/>
              </w:rPr>
            </w:pPr>
            <w:r>
              <w:rPr>
                <w:sz w:val="4"/>
                <w:szCs w:val="4"/>
              </w:rPr>
            </w:r>
          </w:p>
        </w:tc>
        <w:tc>
          <w:tcPr>
            <w:tcW w:w="121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25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Change</w:t>
            </w:r>
          </w:p>
        </w:tc>
      </w:tr>
      <w:tr>
        <w:trPr/>
        <w:tc>
          <w:tcPr>
            <w:tcW w:w="4681" w:type="dxa"/>
            <w:tcBorders/>
            <w:vAlign w:val="center"/>
          </w:tcPr>
          <w:p>
            <w:pPr>
              <w:pStyle w:val="TableContents"/>
              <w:bidi w:val="0"/>
              <w:spacing w:before="0" w:after="283"/>
              <w:jc w:val="left"/>
              <w:rPr>
                <w:sz w:val="4"/>
                <w:szCs w:val="4"/>
              </w:rPr>
            </w:pPr>
            <w:r>
              <w:rPr>
                <w:sz w:val="4"/>
                <w:szCs w:val="4"/>
              </w:rPr>
            </w:r>
          </w:p>
        </w:tc>
        <w:tc>
          <w:tcPr>
            <w:tcW w:w="121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 except percentages)</w:t>
            </w:r>
          </w:p>
        </w:tc>
        <w:tc>
          <w:tcPr>
            <w:tcW w:w="3695" w:type="dxa"/>
            <w:gridSpan w:val="5"/>
            <w:tcBorders/>
            <w:vAlign w:val="center"/>
          </w:tcPr>
          <w:p>
            <w:pPr>
              <w:pStyle w:val="TableContents"/>
              <w:bidi w:val="0"/>
              <w:spacing w:before="0" w:after="283"/>
              <w:jc w:val="left"/>
              <w:rPr>
                <w:sz w:val="4"/>
                <w:szCs w:val="4"/>
              </w:rPr>
            </w:pPr>
            <w:r>
              <w:rPr>
                <w:sz w:val="4"/>
                <w:szCs w:val="4"/>
              </w:rPr>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Acquired in-process research and development expenses</w:t>
            </w:r>
          </w:p>
        </w:tc>
        <w:tc>
          <w:tcPr>
            <w:tcW w:w="121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c>
          <w:tcPr>
            <w:tcW w:w="252"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4681" w:type="dxa"/>
            <w:tcBorders/>
            <w:shd w:fill="FFFFFF" w:val="clear"/>
            <w:vAlign w:val="center"/>
          </w:tcPr>
          <w:p>
            <w:pPr>
              <w:pStyle w:val="TableContents"/>
              <w:bidi w:val="0"/>
              <w:spacing w:before="0" w:after="283"/>
              <w:jc w:val="left"/>
              <w:rPr>
                <w:sz w:val="4"/>
                <w:szCs w:val="4"/>
              </w:rPr>
            </w:pPr>
            <w:r>
              <w:rPr>
                <w:sz w:val="4"/>
                <w:szCs w:val="4"/>
              </w:rPr>
            </w:r>
          </w:p>
        </w:tc>
        <w:tc>
          <w:tcPr>
            <w:tcW w:w="3695" w:type="dxa"/>
            <w:gridSpan w:val="5"/>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Not meaningful</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AIPR&amp;D in the </w:t>
      </w:r>
      <w:r>
        <w:rPr>
          <w:rFonts w:ascii="Times New Roman;serif" w:hAnsi="Times New Roman;serif"/>
          <w:b w:val="false"/>
          <w:i w:val="false"/>
          <w:caps w:val="false"/>
          <w:smallCaps w:val="false"/>
          <w:strike w:val="false"/>
          <w:dstrike w:val="false"/>
          <w:sz w:val="20"/>
          <w:u w:val="none"/>
          <w:effect w:val="none"/>
        </w:rPr>
        <w:t>first quarter</w:t>
      </w:r>
      <w:r>
        <w:rPr>
          <w:rFonts w:ascii="Times New Roman;serif" w:hAnsi="Times New Roman;serif"/>
          <w:b w:val="false"/>
          <w:i w:val="false"/>
          <w:caps w:val="false"/>
          <w:smallCaps w:val="false"/>
          <w:sz w:val="20"/>
        </w:rPr>
        <w:t xml:space="preserve">s of </w:t>
      </w:r>
      <w:r>
        <w:rPr>
          <w:rFonts w:ascii="Times New Roman;serif" w:hAnsi="Times New Roman;serif"/>
          <w:b w:val="false"/>
          <w:i w:val="false"/>
          <w:caps w:val="false"/>
          <w:smallCaps w:val="false"/>
          <w:strike w:val="false"/>
          <w:dstrike w:val="false"/>
          <w:sz w:val="20"/>
          <w:u w:val="none"/>
          <w:effect w:val="none"/>
        </w:rPr>
        <w:t>2026</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included </w:t>
      </w:r>
      <w:r>
        <w:rPr>
          <w:rFonts w:ascii="Times New Roman;serif" w:hAnsi="Times New Roman;serif"/>
          <w:b w:val="false"/>
          <w:i w:val="false"/>
          <w:caps w:val="false"/>
          <w:smallCaps w:val="false"/>
          <w:strike w:val="false"/>
          <w:dstrike w:val="false"/>
          <w:sz w:val="20"/>
          <w:u w:val="none"/>
          <w:effect w:val="none"/>
        </w:rPr>
        <w:t xml:space="preserve">various upfront and milestone payments related to our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collaboration and in-licensing arrangements.</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 xml:space="preserve">Our AIPR&amp;D has historically fluctuated, and is expected to continue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fluctuate, from one period to another due to upfront, contingent milestone, and other payments pursuant to our existing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future business development transactions, including collaborations, licenses of third-party technologies, and asset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Selling, General and Administrative Expenses</w:t>
      </w:r>
    </w:p>
    <w:tbl>
      <w:tblPr>
        <w:tblW w:w="7431" w:type="dxa"/>
        <w:jc w:val="left"/>
        <w:tblInd w:w="0" w:type="dxa"/>
        <w:tblLayout w:type="fixed"/>
        <w:tblCellMar>
          <w:top w:w="28" w:type="dxa"/>
          <w:left w:w="28" w:type="dxa"/>
          <w:bottom w:w="28" w:type="dxa"/>
          <w:right w:w="28" w:type="dxa"/>
        </w:tblCellMar>
      </w:tblPr>
      <w:tblGrid>
        <w:gridCol w:w="3736"/>
        <w:gridCol w:w="1291"/>
        <w:gridCol w:w="208"/>
        <w:gridCol w:w="1291"/>
        <w:gridCol w:w="109"/>
        <w:gridCol w:w="796"/>
      </w:tblGrid>
      <w:tr>
        <w:trPr/>
        <w:tc>
          <w:tcPr>
            <w:tcW w:w="373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283"/>
              <w:jc w:val="left"/>
              <w:rPr>
                <w:sz w:val="4"/>
                <w:szCs w:val="4"/>
              </w:rPr>
            </w:pPr>
            <w:r>
              <w:rPr>
                <w:sz w:val="4"/>
                <w:szCs w:val="4"/>
              </w:rPr>
            </w:r>
          </w:p>
        </w:tc>
        <w:tc>
          <w:tcPr>
            <w:tcW w:w="2790"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Three Months Ended March 31,</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20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Change</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 except percentages)</w:t>
            </w:r>
          </w:p>
        </w:tc>
        <w:tc>
          <w:tcPr>
            <w:tcW w:w="3695" w:type="dxa"/>
            <w:gridSpan w:val="5"/>
            <w:tcBorders/>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Selling, general and administrative expenses</w:t>
            </w:r>
          </w:p>
        </w:tc>
        <w:tc>
          <w:tcPr>
            <w:tcW w:w="12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$493.7</w:t>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Selling, general and administrative expenses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z w:val="20"/>
        </w:rPr>
        <w:t xml:space="preserve">by </w:t>
      </w:r>
      <w:r>
        <w:rPr>
          <w:rFonts w:ascii="Times New Roman;serif" w:hAnsi="Times New Roman;serif"/>
          <w:b w:val="false"/>
          <w:i w:val="false"/>
          <w:caps w:val="false"/>
          <w:smallCaps w:val="false"/>
          <w:strike w:val="false"/>
          <w:dstrike w:val="false"/>
          <w:sz w:val="20"/>
          <w:u w:val="none"/>
          <w:effect w:val="none"/>
        </w:rPr>
        <w:t>25%</w:t>
      </w:r>
      <w:r>
        <w:rPr>
          <w:caps w:val="false"/>
          <w:smallCaps w:val="false"/>
          <w:sz w:val="24"/>
        </w:rPr>
        <w:t xml:space="preserve"> </w:t>
      </w:r>
      <w:r>
        <w:rPr>
          <w:rFonts w:ascii="Times New Roman;serif" w:hAnsi="Times New Roman;serif"/>
          <w:b w:val="false"/>
          <w:i w:val="false"/>
          <w:caps w:val="false"/>
          <w:smallCaps w:val="false"/>
          <w:sz w:val="20"/>
        </w:rPr>
        <w:t xml:space="preserve">in the </w:t>
      </w:r>
      <w:r>
        <w:rPr>
          <w:rFonts w:ascii="Times New Roman;serif" w:hAnsi="Times New Roman;serif"/>
          <w:b w:val="false"/>
          <w:i w:val="false"/>
          <w:caps w:val="false"/>
          <w:smallCaps w:val="false"/>
          <w:strike w:val="false"/>
          <w:dstrike w:val="false"/>
          <w:sz w:val="20"/>
          <w:u w:val="none"/>
          <w:effect w:val="none"/>
        </w:rPr>
        <w:t>first quarter</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2026</w:t>
      </w:r>
      <w:r>
        <w:rPr>
          <w:rFonts w:ascii="Times New Roman;serif" w:hAnsi="Times New Roman;serif"/>
          <w:b w:val="false"/>
          <w:i w:val="false"/>
          <w:caps w:val="false"/>
          <w:smallCaps w:val="false"/>
          <w:sz w:val="20"/>
        </w:rPr>
        <w:t xml:space="preserve">, as compared to the </w:t>
      </w:r>
      <w:r>
        <w:rPr>
          <w:rFonts w:ascii="Times New Roman;serif" w:hAnsi="Times New Roman;serif"/>
          <w:b w:val="false"/>
          <w:i w:val="false"/>
          <w:caps w:val="false"/>
          <w:smallCaps w:val="false"/>
          <w:strike w:val="false"/>
          <w:dstrike w:val="false"/>
          <w:sz w:val="20"/>
          <w:u w:val="none"/>
          <w:effect w:val="none"/>
        </w:rPr>
        <w:t xml:space="preserve">first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quarter</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primarily due to </w:t>
      </w:r>
      <w:r>
        <w:rPr>
          <w:rFonts w:ascii="Times New Roman;serif" w:hAnsi="Times New Roman;serif"/>
          <w:b w:val="false"/>
          <w:i w:val="false"/>
          <w:caps w:val="false"/>
          <w:smallCaps w:val="false"/>
          <w:strike w:val="false"/>
          <w:dstrike w:val="false"/>
          <w:sz w:val="20"/>
          <w:u w:val="none"/>
          <w:effect w:val="none"/>
        </w:rPr>
        <w:t xml:space="preserve">increased internal headcount and commercial investment to support JOURNAVX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povetacicept in IgAN</w:t>
      </w:r>
      <w:r>
        <w:rPr>
          <w:rFonts w:ascii="Times New Roman;serif" w:hAnsi="Times New Roman;serif"/>
          <w:b w:val="false"/>
          <w:i w:val="false"/>
          <w:caps w:val="false"/>
          <w:smallCaps w:val="false"/>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Intangible Asset Impairment Charge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In the first quarter of </w:t>
      </w:r>
      <w:r>
        <w:rPr>
          <w:rFonts w:ascii="Times New Roman;serif" w:hAnsi="Times New Roman;serif"/>
          <w:b w:val="false"/>
          <w:i w:val="false"/>
          <w:caps w:val="false"/>
          <w:smallCaps w:val="false"/>
          <w:sz w:val="20"/>
        </w:rPr>
        <w:t>2025</w:t>
      </w:r>
      <w:r>
        <w:rPr>
          <w:rFonts w:ascii="Times New Roman;serif" w:hAnsi="Times New Roman;serif"/>
          <w:b w:val="false"/>
          <w:i w:val="false"/>
          <w:caps w:val="false"/>
          <w:smallCaps w:val="false"/>
          <w:strike w:val="false"/>
          <w:dstrike w:val="false"/>
          <w:sz w:val="20"/>
          <w:u w:val="none"/>
          <w:effect w:val="none"/>
        </w:rPr>
        <w:t xml:space="preserve">, based on results from a Phase 1/2 clinical trial evaluating our VX-264 clinical program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patients with T1D, we concluded that VX-264 will not be advancing further in clinical development. Based on this event, we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performed an interim impairment test on the fair value of our VX-264 indefinite-lived in-process research and development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asset. As a result, we recorded a full intangible asset impairment charge of $379.0 million associated with VX-264 in the first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Non-Operating Income (Expense), Net </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Interest Income, Net</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 net interest income of $114.8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the first quarter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was similar to $117.9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net interest income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the first quarter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2025</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 xml:space="preserve">Our future net interest income is primarily dependent on the amount of, and prevailing market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interest rates on our outstanding cash, cash equivalents and available-for-sale debt securities.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Other Income (Expense), Net</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Other income (expense), net was $0.0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the first quarter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net expenses of $17.6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the first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quarter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2025. Our other income (expense), net primarily relates to net unrealized and realized losses resulting from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changes in the fair value of certain of our strategic equity investments and net foreign currency exchange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Income Taxes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effective tax rate fluctuates from period to period due to the global nature of our operations. The factors that most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significantly impact our effective tax rate include changes in tax laws, excess tax benefits related to stock-based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compensation, variability in the amount and allocation of our taxable earnings among multiple jurisdictions, the amount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characterization of our research and development expenses, the levels of certain deductions and credits, adjustments to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value of our uncertain tax positions, acquisitions and third-party collaboration and licensing transactions.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July 2025, the U.S. enacted H.R.1, which includes significant provisions modifying the U.S. tax framework, including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ability for companies to immediately deduct research and development expenditures for 2025 and provisions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deducting previously capitalized amounts. H.R.1 does not have a material impact on our U.S. taxes for the first quarter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2026, but we expect further guidance to be issued. We will review guidance when issued for impacts on future years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disclose any impacts if needed at that time. These legislative changes could have an impact on our future effective tax rates,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tax liabilities, and cash taxes.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Our effective tax </w:t>
      </w:r>
      <w:r>
        <w:rPr>
          <w:rFonts w:ascii="Times New Roman;serif" w:hAnsi="Times New Roman;serif"/>
          <w:b w:val="false"/>
          <w:i w:val="false"/>
          <w:caps w:val="false"/>
          <w:smallCaps w:val="false"/>
          <w:strike w:val="false"/>
          <w:dstrike w:val="false"/>
          <w:sz w:val="20"/>
          <w:u w:val="none"/>
          <w:effect w:val="none"/>
        </w:rPr>
        <w:t>rates</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17.7%</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11.5%</w:t>
      </w:r>
      <w:r>
        <w:rPr>
          <w:caps w:val="false"/>
          <w:smallCaps w:val="false"/>
          <w:sz w:val="24"/>
        </w:rPr>
        <w:t xml:space="preserve"> </w:t>
      </w:r>
      <w:r>
        <w:rPr>
          <w:rFonts w:ascii="Times New Roman;serif" w:hAnsi="Times New Roman;serif"/>
          <w:b w:val="false"/>
          <w:i w:val="false"/>
          <w:caps w:val="false"/>
          <w:smallCaps w:val="false"/>
          <w:sz w:val="20"/>
        </w:rPr>
        <w:t xml:space="preserve">in the </w:t>
      </w:r>
      <w:r>
        <w:rPr>
          <w:rFonts w:ascii="Times New Roman;serif" w:hAnsi="Times New Roman;serif"/>
          <w:b w:val="false"/>
          <w:i w:val="false"/>
          <w:caps w:val="false"/>
          <w:smallCaps w:val="false"/>
          <w:strike w:val="false"/>
          <w:dstrike w:val="false"/>
          <w:sz w:val="20"/>
          <w:u w:val="none"/>
          <w:effect w:val="none"/>
        </w:rPr>
        <w:t>first quarter of</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2026</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respectively, </w:t>
      </w:r>
      <w:r>
        <w:rPr>
          <w:rFonts w:ascii="Times New Roman;serif" w:hAnsi="Times New Roman;serif"/>
          <w:b w:val="false"/>
          <w:i w:val="false"/>
          <w:caps w:val="false"/>
          <w:smallCaps w:val="false"/>
          <w:strike w:val="false"/>
          <w:dstrike w:val="false"/>
          <w:sz w:val="20"/>
          <w:u w:val="none"/>
          <w:effect w:val="none"/>
        </w:rPr>
        <w:t>were</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 xml:space="preserve">lower than the U.S.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statutory rate primarily due to excess tax benefits related to stock-based compensation.</w:t>
      </w:r>
      <w:r>
        <w:rPr>
          <w:caps w:val="false"/>
          <w:smallCaps w:val="false"/>
          <w:sz w:val="24"/>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LIQUIDITY AND CAPITAL RESOURCES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following table summarizes the components of our financial condition as of March 31,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December 31,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2025:</w:t>
      </w:r>
    </w:p>
    <w:tbl>
      <w:tblPr>
        <w:tblW w:w="9237" w:type="dxa"/>
        <w:jc w:val="left"/>
        <w:tblInd w:w="0" w:type="dxa"/>
        <w:tblLayout w:type="fixed"/>
        <w:tblCellMar>
          <w:top w:w="28" w:type="dxa"/>
          <w:left w:w="28" w:type="dxa"/>
          <w:bottom w:w="28" w:type="dxa"/>
          <w:right w:w="28" w:type="dxa"/>
        </w:tblCellMar>
      </w:tblPr>
      <w:tblGrid>
        <w:gridCol w:w="4126"/>
        <w:gridCol w:w="1906"/>
        <w:gridCol w:w="109"/>
        <w:gridCol w:w="2191"/>
        <w:gridCol w:w="109"/>
        <w:gridCol w:w="796"/>
      </w:tblGrid>
      <w:tr>
        <w:trPr/>
        <w:tc>
          <w:tcPr>
            <w:tcW w:w="412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4126" w:type="dxa"/>
            <w:tcBorders/>
            <w:vAlign w:val="center"/>
          </w:tcPr>
          <w:p>
            <w:pPr>
              <w:pStyle w:val="TableContents"/>
              <w:bidi w:val="0"/>
              <w:spacing w:before="0" w:after="283"/>
              <w:jc w:val="left"/>
              <w:rPr>
                <w:sz w:val="4"/>
                <w:szCs w:val="4"/>
              </w:rPr>
            </w:pPr>
            <w:r>
              <w:rPr>
                <w:sz w:val="4"/>
                <w:szCs w:val="4"/>
              </w:rPr>
            </w:r>
          </w:p>
        </w:tc>
        <w:tc>
          <w:tcPr>
            <w:tcW w:w="190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March 31, 2026</w:t>
            </w:r>
          </w:p>
        </w:tc>
        <w:tc>
          <w:tcPr>
            <w:tcW w:w="109" w:type="dxa"/>
            <w:tcBorders/>
            <w:vAlign w:val="center"/>
          </w:tcPr>
          <w:p>
            <w:pPr>
              <w:pStyle w:val="TableContents"/>
              <w:bidi w:val="0"/>
              <w:spacing w:before="0" w:after="283"/>
              <w:jc w:val="left"/>
              <w:rPr>
                <w:sz w:val="4"/>
                <w:szCs w:val="4"/>
              </w:rPr>
            </w:pPr>
            <w:r>
              <w:rPr>
                <w:sz w:val="4"/>
                <w:szCs w:val="4"/>
              </w:rPr>
            </w:r>
          </w:p>
        </w:tc>
        <w:tc>
          <w:tcPr>
            <w:tcW w:w="21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Change</w:t>
            </w:r>
          </w:p>
        </w:tc>
      </w:tr>
      <w:tr>
        <w:trPr/>
        <w:tc>
          <w:tcPr>
            <w:tcW w:w="4126" w:type="dxa"/>
            <w:tcBorders/>
            <w:vAlign w:val="center"/>
          </w:tcPr>
          <w:p>
            <w:pPr>
              <w:pStyle w:val="TableContents"/>
              <w:bidi w:val="0"/>
              <w:spacing w:before="0" w:after="283"/>
              <w:jc w:val="left"/>
              <w:rPr>
                <w:sz w:val="4"/>
                <w:szCs w:val="4"/>
              </w:rPr>
            </w:pPr>
            <w:r>
              <w:rPr>
                <w:sz w:val="4"/>
                <w:szCs w:val="4"/>
              </w:rPr>
            </w:r>
          </w:p>
        </w:tc>
        <w:tc>
          <w:tcPr>
            <w:tcW w:w="19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6" w:type="dxa"/>
            <w:tcBorders/>
            <w:vAlign w:val="center"/>
          </w:tcPr>
          <w:p>
            <w:pPr>
              <w:pStyle w:val="TableContents"/>
              <w:bidi w:val="0"/>
              <w:spacing w:before="0" w:after="283"/>
              <w:jc w:val="left"/>
              <w:rPr>
                <w:sz w:val="4"/>
                <w:szCs w:val="4"/>
              </w:rPr>
            </w:pPr>
            <w:r>
              <w:rPr>
                <w:sz w:val="4"/>
                <w:szCs w:val="4"/>
              </w:rPr>
            </w:r>
          </w:p>
        </w:tc>
        <w:tc>
          <w:tcPr>
            <w:tcW w:w="5111" w:type="dxa"/>
            <w:gridSpan w:val="5"/>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 except percentages)</w:t>
            </w:r>
          </w:p>
        </w:tc>
      </w:tr>
      <w:tr>
        <w:trPr/>
        <w:tc>
          <w:tcPr>
            <w:tcW w:w="41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Cash, cash equivalents and marketable securities:</w:t>
            </w:r>
          </w:p>
        </w:tc>
        <w:tc>
          <w:tcPr>
            <w:tcW w:w="190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Cash and cash equivalents</w:t>
            </w:r>
          </w:p>
        </w:tc>
        <w:tc>
          <w:tcPr>
            <w:tcW w:w="19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$5,492.9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$5,084.8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r>
      <w:tr>
        <w:trPr/>
        <w:tc>
          <w:tcPr>
            <w:tcW w:w="41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Marketable securities</w:t>
            </w:r>
          </w:p>
        </w:tc>
        <w:tc>
          <w:tcPr>
            <w:tcW w:w="19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1,753.8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1,523.3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Long-term marketable securities</w:t>
            </w:r>
          </w:p>
        </w:tc>
        <w:tc>
          <w:tcPr>
            <w:tcW w:w="190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5,749.9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9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5,712.3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r>
      <w:tr>
        <w:trPr/>
        <w:tc>
          <w:tcPr>
            <w:tcW w:w="41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Total cash, cash equivalents and marketable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securities</w:t>
            </w:r>
          </w:p>
        </w:tc>
        <w:tc>
          <w:tcPr>
            <w:tcW w:w="190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$12,996.6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9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$12,320.4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r>
      <w:tr>
        <w:trPr/>
        <w:tc>
          <w:tcPr>
            <w:tcW w:w="4126" w:type="dxa"/>
            <w:tcBorders/>
            <w:shd w:fill="FFFFFF" w:val="clear"/>
            <w:vAlign w:val="center"/>
          </w:tcPr>
          <w:p>
            <w:pPr>
              <w:pStyle w:val="TableContents"/>
              <w:bidi w:val="0"/>
              <w:spacing w:before="0" w:after="283"/>
              <w:jc w:val="left"/>
              <w:rPr>
                <w:sz w:val="4"/>
                <w:szCs w:val="4"/>
              </w:rPr>
            </w:pPr>
            <w:r>
              <w:rPr>
                <w:sz w:val="4"/>
                <w:szCs w:val="4"/>
              </w:rPr>
            </w:r>
          </w:p>
        </w:tc>
        <w:tc>
          <w:tcPr>
            <w:tcW w:w="190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9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r>
      <w:tr>
        <w:trPr/>
        <w:tc>
          <w:tcPr>
            <w:tcW w:w="41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Working Capital:</w:t>
            </w:r>
          </w:p>
        </w:tc>
        <w:tc>
          <w:tcPr>
            <w:tcW w:w="190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current assets</w:t>
            </w:r>
          </w:p>
        </w:tc>
        <w:tc>
          <w:tcPr>
            <w:tcW w:w="19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$11,730.3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$11,201.0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r>
      <w:tr>
        <w:trPr/>
        <w:tc>
          <w:tcPr>
            <w:tcW w:w="41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current liabilities</w:t>
            </w:r>
          </w:p>
        </w:tc>
        <w:tc>
          <w:tcPr>
            <w:tcW w:w="190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(3,880.6)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(3,861.2)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r>
      <w:tr>
        <w:trPr/>
        <w:tc>
          <w:tcPr>
            <w:tcW w:w="41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working capital</w:t>
            </w:r>
          </w:p>
        </w:tc>
        <w:tc>
          <w:tcPr>
            <w:tcW w:w="190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$7,849.7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$7,339.8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w:t>
            </w:r>
          </w:p>
        </w:tc>
      </w:tr>
    </w:tbl>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Working Capital</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of </w:t>
      </w:r>
      <w:r>
        <w:rPr>
          <w:rFonts w:ascii="Times New Roman;serif" w:hAnsi="Times New Roman;serif"/>
          <w:b w:val="false"/>
          <w:i w:val="false"/>
          <w:caps w:val="false"/>
          <w:smallCaps w:val="false"/>
          <w:strike w:val="false"/>
          <w:dstrike w:val="false"/>
          <w:sz w:val="20"/>
          <w:u w:val="none"/>
          <w:effect w:val="none"/>
        </w:rPr>
        <w:t>March 31, 2026</w:t>
      </w:r>
      <w:r>
        <w:rPr>
          <w:rFonts w:ascii="Times New Roman;serif" w:hAnsi="Times New Roman;serif"/>
          <w:b w:val="false"/>
          <w:i w:val="false"/>
          <w:caps w:val="false"/>
          <w:smallCaps w:val="false"/>
          <w:sz w:val="20"/>
        </w:rPr>
        <w:t xml:space="preserve">, total working capital was </w:t>
      </w:r>
      <w:r>
        <w:rPr>
          <w:rFonts w:ascii="Times New Roman;serif" w:hAnsi="Times New Roman;serif"/>
          <w:b w:val="false"/>
          <w:i w:val="false"/>
          <w:caps w:val="false"/>
          <w:smallCaps w:val="false"/>
          <w:strike w:val="false"/>
          <w:dstrike w:val="false"/>
          <w:sz w:val="20"/>
          <w:u w:val="none"/>
          <w:effect w:val="none"/>
        </w:rPr>
        <w:t>$7.8 billion</w:t>
      </w:r>
      <w:r>
        <w:rPr>
          <w:rFonts w:ascii="Times New Roman;serif" w:hAnsi="Times New Roman;serif"/>
          <w:b w:val="false"/>
          <w:i w:val="false"/>
          <w:caps w:val="false"/>
          <w:smallCaps w:val="false"/>
          <w:sz w:val="20"/>
        </w:rPr>
        <w:t xml:space="preserve">, which represented </w:t>
      </w:r>
      <w:r>
        <w:rPr>
          <w:rFonts w:ascii="Times New Roman;serif" w:hAnsi="Times New Roman;serif"/>
          <w:b w:val="false"/>
          <w:i w:val="false"/>
          <w:caps w:val="false"/>
          <w:smallCaps w:val="false"/>
          <w:strike w:val="false"/>
          <w:dstrike w:val="false"/>
          <w:sz w:val="20"/>
          <w:u w:val="none"/>
          <w:effect w:val="none"/>
        </w:rPr>
        <w:t>an increase</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$509.9 million</w:t>
      </w:r>
      <w:r>
        <w:rPr>
          <w:rFonts w:ascii="Times New Roman;serif" w:hAnsi="Times New Roman;serif"/>
          <w:b w:val="false"/>
          <w:i w:val="false"/>
          <w:caps w:val="false"/>
          <w:smallCaps w:val="false"/>
          <w:sz w:val="20"/>
        </w:rPr>
        <w:t xml:space="preserve">, or </w:t>
      </w:r>
      <w:r>
        <w:rPr>
          <w:rFonts w:ascii="Times New Roman;serif" w:hAnsi="Times New Roman;serif"/>
          <w:b w:val="false"/>
          <w:i w:val="false"/>
          <w:caps w:val="false"/>
          <w:smallCaps w:val="false"/>
          <w:strike w:val="false"/>
          <w:dstrike w:val="false"/>
          <w:sz w:val="20"/>
          <w:u w:val="none"/>
          <w:effect w:val="none"/>
        </w:rPr>
        <w:t>7%</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compared to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primarily due to increased cash, cash equivalents and marketable securities resulting from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our growing portfolio of products, partially offset </w:t>
      </w:r>
      <w:r>
        <w:rPr>
          <w:rFonts w:ascii="Times New Roman;serif" w:hAnsi="Times New Roman;serif"/>
          <w:b w:val="false"/>
          <w:i w:val="false"/>
          <w:caps w:val="false"/>
          <w:smallCaps w:val="false"/>
          <w:strike w:val="false"/>
          <w:dstrike w:val="false"/>
          <w:sz w:val="20"/>
          <w:u w:val="none"/>
          <w:effect w:val="none"/>
        </w:rPr>
        <w:t>by tax accruals and payments.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Cash Flows</w:t>
      </w:r>
    </w:p>
    <w:tbl>
      <w:tblPr>
        <w:tblW w:w="5490" w:type="dxa"/>
        <w:jc w:val="left"/>
        <w:tblInd w:w="0" w:type="dxa"/>
        <w:tblLayout w:type="fixed"/>
        <w:tblCellMar>
          <w:top w:w="28" w:type="dxa"/>
          <w:left w:w="28" w:type="dxa"/>
          <w:bottom w:w="28" w:type="dxa"/>
          <w:right w:w="28" w:type="dxa"/>
        </w:tblCellMar>
      </w:tblPr>
      <w:tblGrid>
        <w:gridCol w:w="2656"/>
        <w:gridCol w:w="1318"/>
        <w:gridCol w:w="174"/>
        <w:gridCol w:w="1342"/>
      </w:tblGrid>
      <w:tr>
        <w:trPr/>
        <w:tc>
          <w:tcPr>
            <w:tcW w:w="2656"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r>
      <w:tr>
        <w:trPr/>
        <w:tc>
          <w:tcPr>
            <w:tcW w:w="2656" w:type="dxa"/>
            <w:tcBorders/>
            <w:vAlign w:val="center"/>
          </w:tcPr>
          <w:p>
            <w:pPr>
              <w:pStyle w:val="TableContents"/>
              <w:bidi w:val="0"/>
              <w:spacing w:before="0" w:after="283"/>
              <w:jc w:val="left"/>
              <w:rPr>
                <w:sz w:val="4"/>
                <w:szCs w:val="4"/>
              </w:rPr>
            </w:pPr>
            <w:r>
              <w:rPr>
                <w:sz w:val="4"/>
                <w:szCs w:val="4"/>
              </w:rPr>
            </w:r>
          </w:p>
        </w:tc>
        <w:tc>
          <w:tcPr>
            <w:tcW w:w="2834"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Three Months Ended March 31,</w:t>
            </w:r>
          </w:p>
        </w:tc>
      </w:tr>
      <w:tr>
        <w:trPr/>
        <w:tc>
          <w:tcPr>
            <w:tcW w:w="2656" w:type="dxa"/>
            <w:tcBorders/>
            <w:vAlign w:val="center"/>
          </w:tcPr>
          <w:p>
            <w:pPr>
              <w:pStyle w:val="TableContents"/>
              <w:bidi w:val="0"/>
              <w:spacing w:before="0" w:after="283"/>
              <w:jc w:val="left"/>
              <w:rPr>
                <w:sz w:val="4"/>
                <w:szCs w:val="4"/>
              </w:rPr>
            </w:pPr>
            <w:r>
              <w:rPr>
                <w:sz w:val="4"/>
                <w:szCs w:val="4"/>
              </w:rPr>
            </w:r>
          </w:p>
        </w:tc>
        <w:tc>
          <w:tcPr>
            <w:tcW w:w="1318"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7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2656" w:type="dxa"/>
            <w:tcBorders/>
            <w:vAlign w:val="center"/>
          </w:tcPr>
          <w:p>
            <w:pPr>
              <w:pStyle w:val="TableContents"/>
              <w:bidi w:val="0"/>
              <w:spacing w:before="0" w:after="283"/>
              <w:jc w:val="left"/>
              <w:rPr>
                <w:sz w:val="4"/>
                <w:szCs w:val="4"/>
              </w:rPr>
            </w:pPr>
            <w:r>
              <w:rPr>
                <w:sz w:val="4"/>
                <w:szCs w:val="4"/>
              </w:rPr>
            </w:r>
          </w:p>
        </w:tc>
        <w:tc>
          <w:tcPr>
            <w:tcW w:w="13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vAlign w:val="center"/>
          </w:tcPr>
          <w:p>
            <w:pPr>
              <w:pStyle w:val="TableContents"/>
              <w:bidi w:val="0"/>
              <w:spacing w:before="0" w:after="283"/>
              <w:jc w:val="left"/>
              <w:rPr>
                <w:sz w:val="4"/>
                <w:szCs w:val="4"/>
              </w:rPr>
            </w:pPr>
            <w:r>
              <w:rPr>
                <w:sz w:val="4"/>
                <w:szCs w:val="4"/>
              </w:rPr>
            </w:r>
          </w:p>
        </w:tc>
        <w:tc>
          <w:tcPr>
            <w:tcW w:w="2834" w:type="dxa"/>
            <w:gridSpan w:val="3"/>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26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cash provided by (used in):</w:t>
            </w:r>
          </w:p>
        </w:tc>
        <w:tc>
          <w:tcPr>
            <w:tcW w:w="1318" w:type="dxa"/>
            <w:tcBorders/>
            <w:shd w:fill="CCEEFF" w:val="clear"/>
            <w:vAlign w:val="center"/>
          </w:tcPr>
          <w:p>
            <w:pPr>
              <w:pStyle w:val="TableContents"/>
              <w:bidi w:val="0"/>
              <w:spacing w:before="0" w:after="283"/>
              <w:jc w:val="left"/>
              <w:rPr>
                <w:sz w:val="4"/>
                <w:szCs w:val="4"/>
              </w:rPr>
            </w:pPr>
            <w:r>
              <w:rPr>
                <w:sz w:val="4"/>
                <w:szCs w:val="4"/>
              </w:rPr>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1342" w:type="dxa"/>
            <w:tcBorders/>
            <w:shd w:fill="CCEEFF" w:val="clear"/>
            <w:vAlign w:val="center"/>
          </w:tcPr>
          <w:p>
            <w:pPr>
              <w:pStyle w:val="TableContents"/>
              <w:bidi w:val="0"/>
              <w:spacing w:before="0" w:after="283"/>
              <w:jc w:val="left"/>
              <w:rPr>
                <w:sz w:val="4"/>
                <w:szCs w:val="4"/>
              </w:rPr>
            </w:pPr>
            <w:r>
              <w:rPr>
                <w:sz w:val="4"/>
                <w:szCs w:val="4"/>
              </w:rPr>
            </w:r>
          </w:p>
        </w:tc>
      </w:tr>
      <w:tr>
        <w:trPr/>
        <w:tc>
          <w:tcPr>
            <w:tcW w:w="26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Operating activities</w:t>
            </w:r>
          </w:p>
        </w:tc>
        <w:tc>
          <w:tcPr>
            <w:tcW w:w="131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$1,428.1</w:t>
            </w:r>
          </w:p>
        </w:tc>
        <w:tc>
          <w:tcPr>
            <w:tcW w:w="174" w:type="dxa"/>
            <w:tcBorders/>
            <w:shd w:fill="FFFFFF" w:val="clear"/>
            <w:vAlign w:val="center"/>
          </w:tcPr>
          <w:p>
            <w:pPr>
              <w:pStyle w:val="TableContents"/>
              <w:bidi w:val="0"/>
              <w:spacing w:before="0" w:after="283"/>
              <w:jc w:val="left"/>
              <w:rPr>
                <w:sz w:val="4"/>
                <w:szCs w:val="4"/>
              </w:rPr>
            </w:pPr>
            <w:r>
              <w:rPr>
                <w:sz w:val="4"/>
                <w:szCs w:val="4"/>
              </w:rPr>
            </w:r>
          </w:p>
        </w:tc>
        <w:tc>
          <w:tcPr>
            <w:tcW w:w="134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$818.9</w:t>
            </w:r>
          </w:p>
        </w:tc>
      </w:tr>
      <w:tr>
        <w:trPr/>
        <w:tc>
          <w:tcPr>
            <w:tcW w:w="26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Investing activities</w:t>
            </w:r>
          </w:p>
        </w:tc>
        <w:tc>
          <w:tcPr>
            <w:tcW w:w="131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$(431.9)</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134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$(55.8)</w:t>
            </w:r>
          </w:p>
        </w:tc>
      </w:tr>
      <w:tr>
        <w:trPr/>
        <w:tc>
          <w:tcPr>
            <w:tcW w:w="26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Financing activities</w:t>
            </w:r>
          </w:p>
        </w:tc>
        <w:tc>
          <w:tcPr>
            <w:tcW w:w="131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$(538.8)</w:t>
            </w:r>
          </w:p>
        </w:tc>
        <w:tc>
          <w:tcPr>
            <w:tcW w:w="174" w:type="dxa"/>
            <w:tcBorders/>
            <w:shd w:fill="FFFFFF" w:val="clear"/>
            <w:vAlign w:val="center"/>
          </w:tcPr>
          <w:p>
            <w:pPr>
              <w:pStyle w:val="TableContents"/>
              <w:bidi w:val="0"/>
              <w:spacing w:before="0" w:after="283"/>
              <w:jc w:val="left"/>
              <w:rPr>
                <w:sz w:val="4"/>
                <w:szCs w:val="4"/>
              </w:rPr>
            </w:pPr>
            <w:r>
              <w:rPr>
                <w:sz w:val="4"/>
                <w:szCs w:val="4"/>
              </w:rPr>
            </w:r>
          </w:p>
        </w:tc>
        <w:tc>
          <w:tcPr>
            <w:tcW w:w="134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$(680.4)</w:t>
            </w:r>
          </w:p>
        </w:tc>
      </w:tr>
    </w:tbl>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Operating Activities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Cash provided by operating activities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z w:val="20"/>
        </w:rPr>
        <w:t xml:space="preserve">to </w:t>
      </w:r>
      <w:r>
        <w:rPr>
          <w:rFonts w:ascii="Times New Roman;serif" w:hAnsi="Times New Roman;serif"/>
          <w:b w:val="false"/>
          <w:i w:val="false"/>
          <w:caps w:val="false"/>
          <w:smallCaps w:val="false"/>
          <w:strike w:val="false"/>
          <w:dstrike w:val="false"/>
          <w:sz w:val="20"/>
          <w:u w:val="none"/>
          <w:effect w:val="none"/>
        </w:rPr>
        <w:t>$1.4 billion</w:t>
      </w:r>
      <w:r>
        <w:rPr>
          <w:caps w:val="false"/>
          <w:smallCaps w:val="false"/>
          <w:sz w:val="24"/>
        </w:rPr>
        <w:t xml:space="preserve"> </w:t>
      </w:r>
      <w:r>
        <w:rPr>
          <w:rFonts w:ascii="Times New Roman;serif" w:hAnsi="Times New Roman;serif"/>
          <w:b w:val="false"/>
          <w:i w:val="false"/>
          <w:caps w:val="false"/>
          <w:smallCaps w:val="false"/>
          <w:sz w:val="20"/>
        </w:rPr>
        <w:t xml:space="preserve">in the </w:t>
      </w:r>
      <w:r>
        <w:rPr>
          <w:rFonts w:ascii="Times New Roman;serif" w:hAnsi="Times New Roman;serif"/>
          <w:b w:val="false"/>
          <w:i w:val="false"/>
          <w:caps w:val="false"/>
          <w:smallCaps w:val="false"/>
          <w:strike w:val="false"/>
          <w:dstrike w:val="false"/>
          <w:sz w:val="20"/>
          <w:u w:val="none"/>
          <w:effect w:val="none"/>
        </w:rPr>
        <w:t>first quarter of</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2026</w:t>
      </w:r>
      <w:r>
        <w:rPr>
          <w:rFonts w:ascii="Times New Roman;serif" w:hAnsi="Times New Roman;serif"/>
          <w:b w:val="false"/>
          <w:i w:val="false"/>
          <w:caps w:val="false"/>
          <w:smallCaps w:val="false"/>
          <w:sz w:val="20"/>
        </w:rPr>
        <w:t xml:space="preserve">, as compared to </w:t>
      </w:r>
      <w:r>
        <w:rPr>
          <w:rFonts w:ascii="Times New Roman;serif" w:hAnsi="Times New Roman;serif"/>
          <w:b w:val="false"/>
          <w:i w:val="false"/>
          <w:caps w:val="false"/>
          <w:smallCaps w:val="false"/>
          <w:strike w:val="false"/>
          <w:dstrike w:val="false"/>
          <w:sz w:val="20"/>
          <w:u w:val="none"/>
          <w:effect w:val="none"/>
        </w:rPr>
        <w:t>$818.9 million</w:t>
      </w:r>
      <w:r>
        <w:rPr>
          <w:caps w:val="false"/>
          <w:smallCaps w:val="false"/>
          <w:sz w:val="24"/>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 the </w:t>
      </w:r>
      <w:r>
        <w:rPr>
          <w:rFonts w:ascii="Times New Roman;serif" w:hAnsi="Times New Roman;serif"/>
          <w:b w:val="false"/>
          <w:i w:val="false"/>
          <w:caps w:val="false"/>
          <w:smallCaps w:val="false"/>
          <w:strike w:val="false"/>
          <w:dstrike w:val="false"/>
          <w:sz w:val="20"/>
          <w:u w:val="none"/>
          <w:effect w:val="none"/>
        </w:rPr>
        <w:t>first quarter of</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primarily due to </w:t>
      </w:r>
      <w:r>
        <w:rPr>
          <w:rFonts w:ascii="Times New Roman;serif" w:hAnsi="Times New Roman;serif"/>
          <w:b w:val="false"/>
          <w:i w:val="false"/>
          <w:caps w:val="false"/>
          <w:smallCaps w:val="false"/>
          <w:strike w:val="false"/>
          <w:dstrike w:val="false"/>
          <w:sz w:val="20"/>
          <w:u w:val="none"/>
          <w:effect w:val="none"/>
        </w:rPr>
        <w:t xml:space="preserve">the timing of tax payments and increased accounts receivable during the first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quarter of 2025 resulting from our product launches</w:t>
      </w:r>
      <w:r>
        <w:rPr>
          <w:rFonts w:ascii="Times New Roman;serif" w:hAnsi="Times New Roman;serif"/>
          <w:b w:val="false"/>
          <w:i w:val="false"/>
          <w:caps w:val="false"/>
          <w:smallCaps w:val="false"/>
          <w:sz w:val="20"/>
        </w:rPr>
        <w:t>.</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Investing Activities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Cash used in investing activities was </w:t>
      </w:r>
      <w:r>
        <w:rPr>
          <w:rFonts w:ascii="Times New Roman;serif" w:hAnsi="Times New Roman;serif"/>
          <w:b w:val="false"/>
          <w:i w:val="false"/>
          <w:caps w:val="false"/>
          <w:smallCaps w:val="false"/>
          <w:strike w:val="false"/>
          <w:dstrike w:val="false"/>
          <w:sz w:val="20"/>
          <w:u w:val="none"/>
          <w:effect w:val="none"/>
        </w:rPr>
        <w:t>$431.9 million</w:t>
      </w:r>
      <w:r>
        <w:rPr>
          <w:caps w:val="false"/>
          <w:smallCaps w:val="false"/>
          <w:sz w:val="24"/>
        </w:rPr>
        <w:t xml:space="preserve"> </w:t>
      </w:r>
      <w:r>
        <w:rPr>
          <w:rFonts w:ascii="Times New Roman;serif" w:hAnsi="Times New Roman;serif"/>
          <w:b w:val="false"/>
          <w:i w:val="false"/>
          <w:caps w:val="false"/>
          <w:smallCaps w:val="false"/>
          <w:sz w:val="20"/>
        </w:rPr>
        <w:t xml:space="preserve">in the </w:t>
      </w:r>
      <w:r>
        <w:rPr>
          <w:rFonts w:ascii="Times New Roman;serif" w:hAnsi="Times New Roman;serif"/>
          <w:b w:val="false"/>
          <w:i w:val="false"/>
          <w:caps w:val="false"/>
          <w:smallCaps w:val="false"/>
          <w:strike w:val="false"/>
          <w:dstrike w:val="false"/>
          <w:sz w:val="20"/>
          <w:u w:val="none"/>
          <w:effect w:val="none"/>
        </w:rPr>
        <w:t>first quarter of</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2026</w:t>
      </w:r>
      <w:r>
        <w:rPr>
          <w:rFonts w:ascii="Times New Roman;serif" w:hAnsi="Times New Roman;serif"/>
          <w:b w:val="false"/>
          <w:i w:val="false"/>
          <w:caps w:val="false"/>
          <w:smallCaps w:val="false"/>
          <w:sz w:val="20"/>
        </w:rPr>
        <w:t xml:space="preserve">, primarily related to net purchases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available-for-sale debt securities. Cash used in investing activities was </w:t>
      </w:r>
      <w:r>
        <w:rPr>
          <w:rFonts w:ascii="Times New Roman;serif" w:hAnsi="Times New Roman;serif"/>
          <w:b w:val="false"/>
          <w:i w:val="false"/>
          <w:caps w:val="false"/>
          <w:smallCaps w:val="false"/>
          <w:strike w:val="false"/>
          <w:dstrike w:val="false"/>
          <w:sz w:val="20"/>
          <w:u w:val="none"/>
          <w:effect w:val="none"/>
        </w:rPr>
        <w:t>$55.8 million</w:t>
      </w:r>
      <w:r>
        <w:rPr>
          <w:caps w:val="false"/>
          <w:smallCaps w:val="false"/>
          <w:sz w:val="24"/>
        </w:rPr>
        <w:t xml:space="preserve"> </w:t>
      </w:r>
      <w:r>
        <w:rPr>
          <w:rFonts w:ascii="Times New Roman;serif" w:hAnsi="Times New Roman;serif"/>
          <w:b w:val="false"/>
          <w:i w:val="false"/>
          <w:caps w:val="false"/>
          <w:smallCaps w:val="false"/>
          <w:sz w:val="20"/>
        </w:rPr>
        <w:t xml:space="preserve">in the </w:t>
      </w:r>
      <w:r>
        <w:rPr>
          <w:rFonts w:ascii="Times New Roman;serif" w:hAnsi="Times New Roman;serif"/>
          <w:b w:val="false"/>
          <w:i w:val="false"/>
          <w:caps w:val="false"/>
          <w:smallCaps w:val="false"/>
          <w:strike w:val="false"/>
          <w:dstrike w:val="false"/>
          <w:sz w:val="20"/>
          <w:u w:val="none"/>
          <w:effect w:val="none"/>
        </w:rPr>
        <w:t>first quarter of</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primarily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related to purchases of property and equipment.</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Financing Activities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Cash used in financing activities were </w:t>
      </w:r>
      <w:r>
        <w:rPr>
          <w:rFonts w:ascii="Times New Roman;serif" w:hAnsi="Times New Roman;serif"/>
          <w:b w:val="false"/>
          <w:i w:val="false"/>
          <w:caps w:val="false"/>
          <w:smallCaps w:val="false"/>
          <w:strike w:val="false"/>
          <w:dstrike w:val="false"/>
          <w:sz w:val="20"/>
          <w:u w:val="none"/>
          <w:effect w:val="none"/>
        </w:rPr>
        <w:t>$538.8 million</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$680.4 million</w:t>
      </w:r>
      <w:r>
        <w:rPr>
          <w:caps w:val="false"/>
          <w:smallCaps w:val="false"/>
          <w:sz w:val="24"/>
        </w:rPr>
        <w:t xml:space="preserve"> </w:t>
      </w:r>
      <w:r>
        <w:rPr>
          <w:rFonts w:ascii="Times New Roman;serif" w:hAnsi="Times New Roman;serif"/>
          <w:b w:val="false"/>
          <w:i w:val="false"/>
          <w:caps w:val="false"/>
          <w:smallCaps w:val="false"/>
          <w:sz w:val="20"/>
        </w:rPr>
        <w:t xml:space="preserve">in the </w:t>
      </w:r>
      <w:r>
        <w:rPr>
          <w:rFonts w:ascii="Times New Roman;serif" w:hAnsi="Times New Roman;serif"/>
          <w:b w:val="false"/>
          <w:i w:val="false"/>
          <w:caps w:val="false"/>
          <w:smallCaps w:val="false"/>
          <w:strike w:val="false"/>
          <w:dstrike w:val="false"/>
          <w:sz w:val="20"/>
          <w:u w:val="none"/>
          <w:effect w:val="none"/>
        </w:rPr>
        <w:t>first quarter of</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2026</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respectively. Our financing activities in each of these periods were primarily related to repurchases of our common stock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pursuant to our share repurchase programs and payments in connection with common stock withheld for employee tax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obligations.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Sources and Uses of Liquidity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intend to rely on our existing cash, cash equivalents and current marketable securities together with our operating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profitability as our primary source of liquidity. We expect that cash flows from our product sales together with our cash, cash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equivalents and current marketable securities will be sufficient to fund our operations for at least the next twelve months.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adequacy of our available funds to meet our future operating and capital requirements will depend on many factors, including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future sales of currently marketed products, and the potential introduction of one or more new product candidates to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market, our business development activities, and the number, breadth and cost of our research and development programs.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Credit Facilities &amp; Financing Strategy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may borrow up to a total of $500.0 million pursuant to a revolving credit facility that we entered into in July 2022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could repay and reborrow amounts under this revolving credit agreement without penalty. Subject to certain conditions,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could request that the borrowing capacity be increased by an additional $500.0 million, for a total of $1.0 billion.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Negative covenants in our credit agreement could prohibit or limit our ability to access this source of liquidity. As of </w:t>
      </w:r>
      <w:r>
        <w:rPr>
          <w:rFonts w:ascii="Times New Roman;serif" w:hAnsi="Times New Roman;serif"/>
          <w:b w:val="false"/>
          <w:i w:val="false"/>
          <w:caps w:val="false"/>
          <w:smallCaps w:val="false"/>
          <w:strike w:val="false"/>
          <w:dstrike w:val="false"/>
          <w:sz w:val="20"/>
          <w:u w:val="none"/>
          <w:effect w:val="none"/>
        </w:rPr>
        <w:t xml:space="preserve">March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31, 2026</w:t>
      </w:r>
      <w:r>
        <w:rPr>
          <w:rFonts w:ascii="Times New Roman;serif" w:hAnsi="Times New Roman;serif"/>
          <w:b w:val="false"/>
          <w:i w:val="false"/>
          <w:caps w:val="false"/>
          <w:smallCaps w:val="false"/>
          <w:sz w:val="20"/>
        </w:rPr>
        <w:t>, the facility was undrawn, and we were in compliance with these covenants.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may also raise additional capital by borrowing under credit agreements, through public offerings or private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placements of our securities, or securing new collaborative agreements or other methods of financing. We will continue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 our capital structure and will consider all financing opportunities, whenever they may occur, that could strengthen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long-term liquidity profile. There can be no assurance that any such financing opportunities will be available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acceptable terms, if at all.</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Future Capital Requirements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significant future capital requirements, including:</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Expected operating expenses to conduct research and development activities, manufacture and commercialize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existing and future products, and to operate our organization.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Cash that we pay for income taxes.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Royalties we pay related to sales of our CF products.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Facility, operating and finance lease obligations.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Firm purchase obligations related to our supply and manufacturing processes.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addition, other potential significant future capital requirements may include: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We have entered into certain agreements with third parties that include the funding of certain research, development,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manufacturing and commercialization efforts. Certain of our transactions, including collaborations, licensing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arrangements, and asset acquisitions, include the potential for future milestone and royalty payments by us upon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achievement of pre-established developmental and regulatory targets and/or commercial targets. Other transactions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 xml:space="preserve">include the potential for future lease-related expenses and other costs. </w:t>
      </w:r>
      <w:r>
        <w:rPr>
          <w:rFonts w:ascii="Times New Roman;serif" w:hAnsi="Times New Roman;serif"/>
          <w:b w:val="false"/>
          <w:i w:val="false"/>
          <w:caps w:val="false"/>
          <w:smallCaps w:val="false"/>
          <w:sz w:val="20"/>
        </w:rPr>
        <w:t xml:space="preserve">Our obligation to fund these research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development and commercialization efforts and to pay these potential milestones, expenses and royalties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contingent upon continued involvement in the programs and/or the lack of any adverse events that could cause their </w:t>
      </w:r>
    </w:p>
    <w:p>
      <w:pPr>
        <w:pStyle w:val="TextBody"/>
        <w:bidi w:val="0"/>
        <w:spacing w:lineRule="atLeast" w:line="200" w:before="0" w:after="0"/>
        <w:jc w:val="left"/>
        <w:rPr/>
      </w:pPr>
      <w:r>
        <w:rPr>
          <w:rFonts w:ascii="Times New Roman;serif" w:hAnsi="Times New Roman;serif"/>
          <w:b w:val="false"/>
          <w:i w:val="false"/>
          <w:caps w:val="false"/>
          <w:smallCaps w:val="false"/>
          <w:sz w:val="20"/>
        </w:rPr>
        <w:t xml:space="preserve">discontinuance. </w:t>
      </w:r>
      <w:r>
        <w:rPr>
          <w:rFonts w:ascii="Times New Roman;serif" w:hAnsi="Times New Roman;serif"/>
          <w:b w:val="false"/>
          <w:i w:val="false"/>
          <w:caps w:val="false"/>
          <w:smallCaps w:val="false"/>
          <w:strike w:val="false"/>
          <w:dstrike w:val="false"/>
          <w:sz w:val="20"/>
          <w:u w:val="none"/>
          <w:effect w:val="none"/>
        </w:rPr>
        <w:t xml:space="preserve">We may enter into additional agreements, including acquisitions, collaborations, licensing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arrangements and equity investments, which require additional capital.</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To the extent we borrow amounts under our existing credit agreement, we would be required to repay any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outstanding principal amounts in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July 2027.</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z w:val="20"/>
        </w:rPr>
        <w:t xml:space="preserve">As of </w:t>
      </w:r>
      <w:r>
        <w:rPr>
          <w:rFonts w:ascii="Times New Roman;serif" w:hAnsi="Times New Roman;serif"/>
          <w:b w:val="false"/>
          <w:i w:val="false"/>
          <w:caps w:val="false"/>
          <w:smallCaps w:val="false"/>
          <w:strike w:val="false"/>
          <w:dstrike w:val="false"/>
          <w:sz w:val="20"/>
          <w:u w:val="none"/>
          <w:effect w:val="none"/>
        </w:rPr>
        <w:t>March 31, 2026</w:t>
      </w:r>
      <w:r>
        <w:rPr>
          <w:rFonts w:ascii="Times New Roman;serif" w:hAnsi="Times New Roman;serif"/>
          <w:b w:val="false"/>
          <w:i w:val="false"/>
          <w:caps w:val="false"/>
          <w:smallCaps w:val="false"/>
          <w:sz w:val="20"/>
        </w:rPr>
        <w:t xml:space="preserve">, we had </w:t>
      </w:r>
      <w:r>
        <w:rPr>
          <w:rFonts w:ascii="Times New Roman;serif" w:hAnsi="Times New Roman;serif"/>
          <w:b w:val="false"/>
          <w:i w:val="false"/>
          <w:caps w:val="false"/>
          <w:smallCaps w:val="false"/>
          <w:strike w:val="false"/>
          <w:dstrike w:val="false"/>
          <w:sz w:val="20"/>
          <w:u w:val="none"/>
          <w:effect w:val="none"/>
        </w:rPr>
        <w:t>$3.0 billion</w:t>
      </w:r>
      <w:r>
        <w:rPr>
          <w:caps w:val="false"/>
          <w:smallCaps w:val="false"/>
          <w:sz w:val="24"/>
        </w:rPr>
        <w:t xml:space="preserve"> </w:t>
      </w:r>
      <w:r>
        <w:rPr>
          <w:rFonts w:ascii="Times New Roman;serif" w:hAnsi="Times New Roman;serif"/>
          <w:b w:val="false"/>
          <w:i w:val="false"/>
          <w:caps w:val="false"/>
          <w:smallCaps w:val="false"/>
          <w:sz w:val="20"/>
        </w:rPr>
        <w:t xml:space="preserve">remaining available under the share repurchase program that our Board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of Directors </w:t>
      </w:r>
      <w:r>
        <w:rPr>
          <w:rFonts w:ascii="Times New Roman;serif" w:hAnsi="Times New Roman;serif"/>
          <w:b w:val="false"/>
          <w:i w:val="false"/>
          <w:caps w:val="false"/>
          <w:smallCaps w:val="false"/>
          <w:strike w:val="false"/>
          <w:dstrike w:val="false"/>
          <w:sz w:val="20"/>
          <w:u w:val="none"/>
          <w:effect w:val="none"/>
        </w:rPr>
        <w:t>authorized</w:t>
      </w:r>
      <w:r>
        <w:rPr>
          <w:caps w:val="false"/>
          <w:smallCaps w:val="false"/>
          <w:sz w:val="24"/>
        </w:rPr>
        <w:t xml:space="preserve"> </w:t>
      </w:r>
      <w:r>
        <w:rPr>
          <w:rFonts w:ascii="Times New Roman;serif" w:hAnsi="Times New Roman;serif"/>
          <w:b w:val="false"/>
          <w:i w:val="false"/>
          <w:caps w:val="false"/>
          <w:smallCaps w:val="false"/>
          <w:sz w:val="20"/>
        </w:rPr>
        <w:t xml:space="preserve">in May 2025. The program does not have an expiration date and can be discontinued at any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time. We expect to fund the program through a combination of cash on hand and cash generated by operations.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have not been any material changes to our future capital requirements disclosed in our Annual Report on Form 10-</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K for the year ended December 31,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which was filed with the Securities and Exchange Commission, or SEC, 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February 13, 2026</w:t>
      </w:r>
      <w:r>
        <w:rPr>
          <w:rFonts w:ascii="Times New Roman;serif" w:hAnsi="Times New Roman;serif"/>
          <w:b w:val="false"/>
          <w:i w:val="false"/>
          <w:caps w:val="false"/>
          <w:smallCaps w:val="false"/>
          <w:sz w:val="20"/>
        </w:rPr>
        <w: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CRITICAL ACCOUNTING POLICIES AND ESTIMATES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discussion and analysis of our financial condition and results of operations are based upon our condensed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consolidated financial statements prepared in accordance with generally accepted accounting principles in the U.S.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preparation of these financial statements requires us to make certain estimates and assumptions that affect the reported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amounts of assets and liabilities, the disclosure of contingent assets and liabilities at the date of the condensed consolidated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financial statements and the reported amounts of revenues and expenses during the reported periods. These items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monitored and analyzed by management for changes in facts and circumstances, and material changes in these estimates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could occur in the future. Changes in estimates are reflected in reported results for the period in which the change occurs.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base our estimates on historical experience and various other assumptions that we believe to be reasonable under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circumstances. Actual results may differ from our estimates if past experience or other assumptions do not turn out to be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substantially accurate. During the </w:t>
      </w:r>
      <w:r>
        <w:rPr>
          <w:rFonts w:ascii="Times New Roman;serif" w:hAnsi="Times New Roman;serif"/>
          <w:b w:val="false"/>
          <w:i w:val="false"/>
          <w:caps w:val="false"/>
          <w:smallCaps w:val="false"/>
          <w:strike w:val="false"/>
          <w:dstrike w:val="false"/>
          <w:sz w:val="20"/>
          <w:u w:val="none"/>
          <w:effect w:val="none"/>
        </w:rPr>
        <w:t>three months</w:t>
      </w:r>
      <w:r>
        <w:rPr>
          <w:caps w:val="false"/>
          <w:smallCaps w:val="false"/>
          <w:sz w:val="24"/>
        </w:rPr>
        <w:t xml:space="preserve"> </w:t>
      </w:r>
      <w:r>
        <w:rPr>
          <w:rFonts w:ascii="Times New Roman;serif" w:hAnsi="Times New Roman;serif"/>
          <w:b w:val="false"/>
          <w:i w:val="false"/>
          <w:caps w:val="false"/>
          <w:smallCaps w:val="false"/>
          <w:sz w:val="20"/>
        </w:rPr>
        <w:t xml:space="preserve">ended </w:t>
      </w:r>
      <w:r>
        <w:rPr>
          <w:rFonts w:ascii="Times New Roman;serif" w:hAnsi="Times New Roman;serif"/>
          <w:b w:val="false"/>
          <w:i w:val="false"/>
          <w:caps w:val="false"/>
          <w:smallCaps w:val="false"/>
          <w:strike w:val="false"/>
          <w:dstrike w:val="false"/>
          <w:sz w:val="20"/>
          <w:u w:val="none"/>
          <w:effect w:val="none"/>
        </w:rPr>
        <w:t>March 31, 2026</w:t>
      </w:r>
      <w:r>
        <w:rPr>
          <w:rFonts w:ascii="Times New Roman;serif" w:hAnsi="Times New Roman;serif"/>
          <w:b w:val="false"/>
          <w:i w:val="false"/>
          <w:caps w:val="false"/>
          <w:smallCaps w:val="false"/>
          <w:sz w:val="20"/>
        </w:rPr>
        <w:t xml:space="preserve">, there were no material changes to our critical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accounting policies as reported in our Annual Report on Form 10-K for the year ended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which was filed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with the SEC on </w:t>
      </w:r>
      <w:r>
        <w:rPr>
          <w:rFonts w:ascii="Times New Roman;serif" w:hAnsi="Times New Roman;serif"/>
          <w:b w:val="false"/>
          <w:i w:val="false"/>
          <w:caps w:val="false"/>
          <w:smallCaps w:val="false"/>
          <w:strike w:val="false"/>
          <w:dstrike w:val="false"/>
          <w:sz w:val="20"/>
          <w:u w:val="none"/>
          <w:effect w:val="none"/>
        </w:rPr>
        <w:t>February 13, 2026</w:t>
      </w:r>
      <w:r>
        <w:rPr>
          <w:rFonts w:ascii="Times New Roman;serif" w:hAnsi="Times New Roman;serif"/>
          <w:b w:val="false"/>
          <w:i w:val="false"/>
          <w:caps w:val="false"/>
          <w:smallCaps w:val="false"/>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RECENT ACCOUNTING PRONOUNCEMENTS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For a discussion of recent accounting pronouncements, please refer to </w:t>
      </w:r>
      <w:r>
        <w:rPr>
          <w:rFonts w:ascii="Times New Roman;serif" w:hAnsi="Times New Roman;serif"/>
          <w:b w:val="false"/>
          <w:i w:val="false"/>
          <w:caps w:val="false"/>
          <w:smallCaps w:val="false"/>
          <w:strike w:val="false"/>
          <w:dstrike w:val="false"/>
          <w:sz w:val="20"/>
          <w:u w:val="none"/>
          <w:effect w:val="none"/>
        </w:rPr>
        <w:t xml:space="preserve">Note A, “Basis of Presentation and Accounting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Policies.”</w:t>
      </w:r>
      <w:r>
        <w:rPr>
          <w:caps w:val="false"/>
          <w:smallCaps w:val="false"/>
          <w:sz w:val="24"/>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3.Quantitative and Qualitative Disclosures About Market Risk</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Information required by this item is incorporated by reference from the discussion in Part II, Item 7A, “Quantitative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Qualitative Disclosures About Market Risk,” of our Annual Report on Form 10-K for the year ended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which was filed with the SEC on </w:t>
      </w:r>
      <w:r>
        <w:rPr>
          <w:rFonts w:ascii="Times New Roman;serif" w:hAnsi="Times New Roman;serif"/>
          <w:b w:val="false"/>
          <w:i w:val="false"/>
          <w:caps w:val="false"/>
          <w:smallCaps w:val="false"/>
          <w:strike w:val="false"/>
          <w:dstrike w:val="false"/>
          <w:sz w:val="20"/>
          <w:u w:val="none"/>
          <w:effect w:val="none"/>
        </w:rPr>
        <w:t>February 13, 2026</w:t>
      </w:r>
      <w:r>
        <w:rPr>
          <w:rFonts w:ascii="Times New Roman;serif" w:hAnsi="Times New Roman;serif"/>
          <w:b w:val="false"/>
          <w:i w:val="false"/>
          <w:caps w:val="false"/>
          <w:smallCaps w:val="false"/>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4.Controls and Procedures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Evaluation of Disclosure Controls and Procedures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management (under the supervision and with the participation of our chief executive officer and chief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officer), after evaluating the effectiveness of our disclosure controls and procedures (as defined in Rules 13a-15(e)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15d-15(e) under the Securities Exchange Act of 1934, as amended) as of the end of the period covered by this Quarterly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Report on Form 10-Q, has concluded that, based on such evaluation, as of </w:t>
      </w:r>
      <w:r>
        <w:rPr>
          <w:rFonts w:ascii="Times New Roman;serif" w:hAnsi="Times New Roman;serif"/>
          <w:b w:val="false"/>
          <w:i w:val="false"/>
          <w:caps w:val="false"/>
          <w:smallCaps w:val="false"/>
          <w:strike w:val="false"/>
          <w:dstrike w:val="false"/>
          <w:sz w:val="20"/>
          <w:u w:val="none"/>
          <w:effect w:val="none"/>
        </w:rPr>
        <w:t>March 31, 2026</w:t>
      </w:r>
      <w:r>
        <w:rPr>
          <w:caps w:val="false"/>
          <w:smallCaps w:val="false"/>
          <w:sz w:val="24"/>
        </w:rPr>
        <w:t xml:space="preserve"> </w:t>
      </w:r>
      <w:r>
        <w:rPr>
          <w:rFonts w:ascii="Times New Roman;serif" w:hAnsi="Times New Roman;serif"/>
          <w:b w:val="false"/>
          <w:i w:val="false"/>
          <w:caps w:val="false"/>
          <w:smallCaps w:val="false"/>
          <w:sz w:val="20"/>
        </w:rPr>
        <w:t xml:space="preserve">our disclosure controls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procedures were effective and designed to provide reasonable assurance that the information required to be disclosed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recorded, processed, summarized and reported within the time periods specified in the SEC’s rules and forms. In designing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evaluating our disclosure controls and procedures, our management recognized that any controls and procedures, no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matter how well designed and operated, can provide only reasonable assurance of achieving the desired control objectives,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our management necessarily was required to apply its judgment in evaluating the cost-benefit relationship of possible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controls and procedures.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Changes in Internal Controls Over Financial Reporting</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 change in our internal control over financial reporting (as defined in Rules 13a-15(f) and 15d-15(f) under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Securities Exchange Act of 1934, as amended) occurred during the three months ended </w:t>
      </w:r>
      <w:r>
        <w:rPr>
          <w:rFonts w:ascii="Times New Roman;serif" w:hAnsi="Times New Roman;serif"/>
          <w:b w:val="false"/>
          <w:i w:val="false"/>
          <w:caps w:val="false"/>
          <w:smallCaps w:val="false"/>
          <w:strike w:val="false"/>
          <w:dstrike w:val="false"/>
          <w:sz w:val="20"/>
          <w:u w:val="none"/>
          <w:effect w:val="none"/>
        </w:rPr>
        <w:t>March 31, 2026</w:t>
      </w:r>
      <w:r>
        <w:rPr>
          <w:caps w:val="false"/>
          <w:smallCaps w:val="false"/>
          <w:sz w:val="24"/>
        </w:rPr>
        <w:t xml:space="preserve"> </w:t>
      </w:r>
      <w:r>
        <w:rPr>
          <w:rFonts w:ascii="Times New Roman;serif" w:hAnsi="Times New Roman;serif"/>
          <w:b w:val="false"/>
          <w:i w:val="false"/>
          <w:caps w:val="false"/>
          <w:smallCaps w:val="false"/>
          <w:sz w:val="20"/>
        </w:rPr>
        <w:t xml:space="preserve">that has materially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affected, or is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1.  Legal Proceedings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Other than as described in Part I—</w:t>
      </w:r>
      <w:r>
        <w:rPr>
          <w:rFonts w:ascii="Times New Roman;serif" w:hAnsi="Times New Roman;serif"/>
          <w:b w:val="false"/>
          <w:i w:val="false"/>
          <w:caps w:val="false"/>
          <w:smallCaps w:val="false"/>
          <w:strike w:val="false"/>
          <w:dstrike w:val="false"/>
          <w:sz w:val="20"/>
          <w:u w:val="none"/>
          <w:effect w:val="none"/>
        </w:rPr>
        <w:t>Note L, “Commitments and Contingencies,”</w:t>
      </w:r>
      <w:r>
        <w:rPr>
          <w:caps w:val="false"/>
          <w:smallCaps w:val="false"/>
          <w:sz w:val="24"/>
        </w:rPr>
        <w:t xml:space="preserve"> </w:t>
      </w:r>
      <w:r>
        <w:rPr>
          <w:rFonts w:ascii="Times New Roman;serif" w:hAnsi="Times New Roman;serif"/>
          <w:b w:val="false"/>
          <w:i w:val="false"/>
          <w:caps w:val="false"/>
          <w:smallCaps w:val="false"/>
          <w:sz w:val="20"/>
        </w:rPr>
        <w:t xml:space="preserve">to our condensed consolidated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statements, we are not currently subject to any material legal proceedings.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1A.  Risk Factors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information presented below supplements the risk factors set forth in Part I, Item 1A. “Risk Factors” of our Annual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Report on Form 10-K for the year ended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which was filed with the SEC on </w:t>
      </w:r>
      <w:r>
        <w:rPr>
          <w:rFonts w:ascii="Times New Roman;serif" w:hAnsi="Times New Roman;serif"/>
          <w:b w:val="false"/>
          <w:i w:val="false"/>
          <w:caps w:val="false"/>
          <w:smallCaps w:val="false"/>
          <w:strike w:val="false"/>
          <w:dstrike w:val="false"/>
          <w:sz w:val="20"/>
          <w:u w:val="none"/>
          <w:effect w:val="none"/>
        </w:rPr>
        <w:t>February 13, 2026</w:t>
      </w:r>
      <w:r>
        <w:rPr>
          <w:rFonts w:ascii="Times New Roman;serif" w:hAnsi="Times New Roman;serif"/>
          <w:b w:val="false"/>
          <w:i w:val="false"/>
          <w:caps w:val="false"/>
          <w:smallCaps w:val="false"/>
          <w:sz w:val="20"/>
        </w:rPr>
        <w:t xml:space="preserve">. There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have been no material changes from the risk factors previously disclosed in the Annual Report on Form 10-K.</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SPECIAL NOTE REGARDING FORWARD-LOOKING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This Quarterly Report on Form 10-Q and, in particular, our Management’s Discussion and Analysis of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Condition and Results of Operations set forth in Part I, Item 2, contain a number of forward-looking statements. Forward-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looking statements are not purely historical and may be accompanied by words such as “anticipates,” “may,” “forecasts,” </w:t>
      </w:r>
    </w:p>
    <w:p>
      <w:pPr>
        <w:pStyle w:val="TextBody"/>
        <w:bidi w:val="0"/>
        <w:spacing w:lineRule="atLeast" w:line="200"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 xml:space="preserve">expects,” “intends,” “plans,” “potentially,” “believes,” “seeks,” “estimates,” and other words and terms of similar meaning.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Such statements may relate to:</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our financial performance, including revenues, costs and expenses, taxes, and other gains and losses;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product development, including our development timelines, timing of data from our ongoing and planned clinical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trials, regulatory authority filings and other submissions for our therapies, including the potential to file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accelerated approvals, and communications with regulatory authorities;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ability to continue to grow our CF business by increasing the number of people with CF eligible and able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receive our medicines through new approvals, label extensions and reimbursement agreements, treatment of younger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patients, increased survival, and expansion into additional geographies;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ability to continue to launch, commercialize and market our products and our ability to obtain label expansions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for existing therapies, including the anticipated launch of povetacicept for the treatment of IgAN;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ability to obtain and maintain adequate coverage, pricing, and reimbursement from third-party payors for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products;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the data that will be generated by ongoing and planned clinical trials, preclinical and nonclinical studies, and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ability to use that data to advance compounds, continue development or support regulatory filings, or accelerate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regulatory approval, including our expectations regarding the FDA’s review of the BLA for povetacicept on 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expedited basis of six months from the date of FDA acceptance of the BLA;</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plans to continue investing in our research and development programs, including anticipated timelines for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programs, and our strategy to develop our pipeline programs, alone or with third party-collaborators;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ability to use our research programs to identify and develop new product candidates to address serious diseases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and significant unmet medical needs;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our beliefs regarding the approximate patient populations for the disease areas on which we focus;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plans for and prospects of our business development activities, including the potential benefits and therapeutic scope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our collaborations, our ability to integrate and continue operations of acquired businesses, and our ability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successfully capitalize on these opportunities;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the establishment, development and maintenance of collaborative relationships, including potential milestone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payments or other obligations, and other potential business development activities, including the identification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potential collaborative partners or acquisition targets;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plans to build and maintain our global supply chains and manufacturing infrastructure and capabilities, including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for biologics, cell and gene therapies;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ability to expand and protect our intellectual property portfolio and otherwise maintain exclusive rights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products;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expectations or beliefs regarding any legal proceedings in which we are involved, including any litigation,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arbitration or other similar proceedings involving our products, product candidates or activities;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potential fluctuations in foreign currency exchange rates and the effectiveness of our foreign currency management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program;</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expectations regarding cash generated by operations, our cash balance and expected generation and net interest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income;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expectations regarding our provision for or benefit from income taxes and the utilization of our deferred tax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assets; and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our liquidity and our expectations regarding the possibility of raising additional capital.</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Forward-looking statements are subject to certain risks, uncertainties, or other factors that are difficult to predict and </w:t>
      </w:r>
    </w:p>
    <w:p>
      <w:pPr>
        <w:pStyle w:val="TextBody"/>
        <w:bidi w:val="0"/>
        <w:spacing w:lineRule="atLeast" w:line="200" w:before="0" w:after="0"/>
        <w:jc w:val="left"/>
        <w:rPr/>
      </w:pPr>
      <w:r>
        <w:rPr>
          <w:rFonts w:ascii="Times New Roman;serif" w:hAnsi="Times New Roman;serif"/>
          <w:b w:val="false"/>
          <w:i w:val="false"/>
          <w:caps w:val="false"/>
          <w:smallCaps w:val="false"/>
          <w:sz w:val="20"/>
        </w:rPr>
        <w:t>could cause actual events or results to differ materially from those indicated in any such statements.</w:t>
      </w:r>
      <w:r>
        <w:rPr>
          <w:caps w:val="false"/>
          <w:smallCaps w:val="false"/>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These risks,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shd w:fill="FFFFFF" w:val="clear"/>
        </w:rPr>
        <w:t xml:space="preserve">uncertainties, and other factors include, but are not limited to, those described in our “Risk Factors” </w:t>
      </w:r>
      <w:r>
        <w:rPr>
          <w:rFonts w:ascii="Times New Roman;serif" w:hAnsi="Times New Roman;serif"/>
          <w:b w:val="false"/>
          <w:i w:val="false"/>
          <w:caps w:val="false"/>
          <w:smallCaps w:val="false"/>
          <w:sz w:val="20"/>
        </w:rPr>
        <w:t xml:space="preserve">in Item 1A of our Annual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Report on Form 10-K for the year ended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which was filed with the SEC on </w:t>
      </w:r>
      <w:r>
        <w:rPr>
          <w:rFonts w:ascii="Times New Roman;serif" w:hAnsi="Times New Roman;serif"/>
          <w:b w:val="false"/>
          <w:i w:val="false"/>
          <w:caps w:val="false"/>
          <w:smallCaps w:val="false"/>
          <w:strike w:val="false"/>
          <w:dstrike w:val="false"/>
          <w:sz w:val="20"/>
          <w:u w:val="none"/>
          <w:effect w:val="none"/>
        </w:rPr>
        <w:t>February 13, 2026</w:t>
      </w:r>
      <w:r>
        <w:rPr>
          <w:rFonts w:ascii="Times New Roman;serif" w:hAnsi="Times New Roman;serif"/>
          <w:b w:val="false"/>
          <w:i w:val="false"/>
          <w:caps w:val="false"/>
          <w:smallCaps w:val="false"/>
          <w:sz w:val="20"/>
        </w:rPr>
        <w:t xml:space="preserve">, and those </w:t>
      </w:r>
    </w:p>
    <w:p>
      <w:pPr>
        <w:pStyle w:val="TextBody"/>
        <w:bidi w:val="0"/>
        <w:spacing w:lineRule="atLeast" w:line="200" w:before="0" w:after="0"/>
        <w:jc w:val="left"/>
        <w:rPr/>
      </w:pPr>
      <w:r>
        <w:rPr>
          <w:rFonts w:ascii="Times New Roman;serif" w:hAnsi="Times New Roman;serif"/>
          <w:b w:val="false"/>
          <w:i w:val="false"/>
          <w:caps w:val="false"/>
          <w:smallCaps w:val="false"/>
          <w:sz w:val="20"/>
        </w:rPr>
        <w:t>described from time to time in our future reports filed with the Securities and Exchange Commission.</w:t>
      </w:r>
      <w:r>
        <w:rPr>
          <w:caps w:val="false"/>
          <w:smallCaps w:val="false"/>
          <w:strike w:val="false"/>
          <w:dstrike w:val="false"/>
          <w:u w:val="none"/>
          <w:effect w:val="none"/>
          <w:shd w:fill="FFFFFF" w:val="clear"/>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Any such forward-looking statements are made on the basis of our views and assumptions as of the date of the filing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are not estimates of future performance. Except as required by law, we undertake no obligation to publicly update any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forward-looking statements. The reader is cautioned not to place undue reliance on any such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2. Unregistered Sales of Equity Securities and Use of Proceeds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Issuer Repurchases of Equity Securities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May 2025, our Board of Directors authorized a share repurchase program (our “Share Repurchase Program”),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pursuant to which we were authorized to repurchase up to $4.0 billion of our common stock. The Share Repurchase Program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does not have an expiration date and can be discontinued at any time.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 table set forth below shows repurchases of securities by us during the three months ended </w:t>
      </w:r>
      <w:r>
        <w:rPr>
          <w:rFonts w:ascii="Times New Roman;serif" w:hAnsi="Times New Roman;serif"/>
          <w:b w:val="false"/>
          <w:i w:val="false"/>
          <w:caps w:val="false"/>
          <w:smallCaps w:val="false"/>
          <w:strike w:val="false"/>
          <w:dstrike w:val="false"/>
          <w:sz w:val="20"/>
          <w:u w:val="none"/>
          <w:effect w:val="none"/>
        </w:rPr>
        <w:t>March 31, 2026</w:t>
      </w:r>
      <w:r>
        <w:rPr>
          <w:caps w:val="false"/>
          <w:smallCaps w:val="false"/>
          <w:sz w:val="24"/>
        </w:rPr>
        <w:t xml:space="preserve"> </w:t>
      </w:r>
      <w:r>
        <w:rPr>
          <w:rFonts w:ascii="Times New Roman;serif" w:hAnsi="Times New Roman;serif"/>
          <w:b w:val="false"/>
          <w:i w:val="false"/>
          <w:caps w:val="false"/>
          <w:smallCaps w:val="false"/>
          <w:sz w:val="20"/>
        </w:rPr>
        <w:t xml:space="preserve">under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197" w:type="dxa"/>
        <w:jc w:val="left"/>
        <w:tblInd w:w="0" w:type="dxa"/>
        <w:tblLayout w:type="fixed"/>
        <w:tblCellMar>
          <w:top w:w="28" w:type="dxa"/>
          <w:left w:w="28" w:type="dxa"/>
          <w:bottom w:w="28" w:type="dxa"/>
          <w:right w:w="28" w:type="dxa"/>
        </w:tblCellMar>
      </w:tblPr>
      <w:tblGrid>
        <w:gridCol w:w="2941"/>
        <w:gridCol w:w="916"/>
        <w:gridCol w:w="109"/>
        <w:gridCol w:w="796"/>
        <w:gridCol w:w="109"/>
        <w:gridCol w:w="2011"/>
        <w:gridCol w:w="109"/>
        <w:gridCol w:w="2206"/>
      </w:tblGrid>
      <w:tr>
        <w:trPr/>
        <w:tc>
          <w:tcPr>
            <w:tcW w:w="29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Period</w:t>
            </w:r>
          </w:p>
        </w:tc>
        <w:tc>
          <w:tcPr>
            <w:tcW w:w="91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Total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Number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of Shares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Purchased</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Average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Price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Paid per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Share</w:t>
            </w:r>
          </w:p>
        </w:tc>
        <w:tc>
          <w:tcPr>
            <w:tcW w:w="109" w:type="dxa"/>
            <w:tcBorders/>
            <w:vAlign w:val="center"/>
          </w:tcPr>
          <w:p>
            <w:pPr>
              <w:pStyle w:val="TableContents"/>
              <w:bidi w:val="0"/>
              <w:spacing w:before="0" w:after="283"/>
              <w:jc w:val="left"/>
              <w:rPr>
                <w:sz w:val="4"/>
                <w:szCs w:val="4"/>
              </w:rPr>
            </w:pPr>
            <w:r>
              <w:rPr>
                <w:sz w:val="4"/>
                <w:szCs w:val="4"/>
              </w:rPr>
            </w:r>
          </w:p>
        </w:tc>
        <w:tc>
          <w:tcPr>
            <w:tcW w:w="201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Total Number of Shares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Purchased as Part of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Publicly Announced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Plans or Programs (1)</w:t>
            </w:r>
          </w:p>
        </w:tc>
        <w:tc>
          <w:tcPr>
            <w:tcW w:w="109" w:type="dxa"/>
            <w:tcBorders/>
            <w:vAlign w:val="center"/>
          </w:tcPr>
          <w:p>
            <w:pPr>
              <w:pStyle w:val="TableContents"/>
              <w:bidi w:val="0"/>
              <w:spacing w:before="0" w:after="283"/>
              <w:jc w:val="left"/>
              <w:rPr>
                <w:sz w:val="4"/>
                <w:szCs w:val="4"/>
              </w:rPr>
            </w:pPr>
            <w:r>
              <w:rPr>
                <w:sz w:val="4"/>
                <w:szCs w:val="4"/>
              </w:rPr>
            </w:r>
          </w:p>
        </w:tc>
        <w:tc>
          <w:tcPr>
            <w:tcW w:w="220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Approximate Dollar Value</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of Shares that May Yet be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Purchased Under the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Plans or Programs (1)</w:t>
            </w:r>
          </w:p>
        </w:tc>
      </w:tr>
      <w:tr>
        <w:trPr/>
        <w:tc>
          <w:tcPr>
            <w:tcW w:w="2941"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January</w:t>
            </w:r>
            <w:r>
              <w:rPr>
                <w:caps w:val="false"/>
                <w:smallCaps w:val="false"/>
                <w:sz w:val="24"/>
              </w:rPr>
              <w:t xml:space="preserve"> </w:t>
            </w:r>
            <w:r>
              <w:rPr>
                <w:rFonts w:ascii="Times New Roman;serif" w:hAnsi="Times New Roman;serif"/>
                <w:b w:val="false"/>
                <w:i w:val="false"/>
                <w:caps w:val="false"/>
                <w:smallCaps w:val="false"/>
                <w:sz w:val="18"/>
              </w:rPr>
              <w:t xml:space="preserve">1, </w:t>
            </w:r>
            <w:r>
              <w:rPr>
                <w:rFonts w:ascii="Times New Roman;serif" w:hAnsi="Times New Roman;serif"/>
                <w:b w:val="false"/>
                <w:i w:val="false"/>
                <w:caps w:val="false"/>
                <w:smallCaps w:val="false"/>
                <w:strike w:val="false"/>
                <w:dstrike w:val="false"/>
                <w:sz w:val="18"/>
                <w:u w:val="none"/>
                <w:effect w:val="none"/>
              </w:rPr>
              <w:t>2026</w:t>
            </w:r>
            <w:r>
              <w:rPr>
                <w:caps w:val="false"/>
                <w:smallCaps w:val="false"/>
                <w:sz w:val="24"/>
              </w:rPr>
              <w:t xml:space="preserve"> </w:t>
            </w:r>
            <w:r>
              <w:rPr>
                <w:rFonts w:ascii="Times New Roman;serif" w:hAnsi="Times New Roman;serif"/>
                <w:b w:val="false"/>
                <w:i w:val="false"/>
                <w:caps w:val="false"/>
                <w:smallCaps w:val="false"/>
                <w:sz w:val="18"/>
              </w:rPr>
              <w:t xml:space="preserve">to </w:t>
            </w:r>
            <w:r>
              <w:rPr>
                <w:rFonts w:ascii="Times New Roman;serif" w:hAnsi="Times New Roman;serif"/>
                <w:b w:val="false"/>
                <w:i w:val="false"/>
                <w:caps w:val="false"/>
                <w:smallCaps w:val="false"/>
                <w:strike w:val="false"/>
                <w:dstrike w:val="false"/>
                <w:sz w:val="18"/>
                <w:u w:val="none"/>
                <w:effect w:val="none"/>
              </w:rPr>
              <w:t>January</w:t>
            </w:r>
            <w:r>
              <w:rPr>
                <w:caps w:val="false"/>
                <w:smallCaps w:val="false"/>
                <w:sz w:val="24"/>
              </w:rPr>
              <w:t xml:space="preserve"> </w:t>
            </w:r>
            <w:r>
              <w:rPr>
                <w:rFonts w:ascii="Times New Roman;serif" w:hAnsi="Times New Roman;serif"/>
                <w:b w:val="false"/>
                <w:i w:val="false"/>
                <w:caps w:val="false"/>
                <w:smallCaps w:val="false"/>
                <w:strike w:val="false"/>
                <w:dstrike w:val="false"/>
                <w:sz w:val="18"/>
                <w:u w:val="none"/>
                <w:effect w:val="none"/>
              </w:rPr>
              <w:t>31</w:t>
            </w:r>
            <w:r>
              <w:rPr>
                <w:rFonts w:ascii="Times New Roman;serif" w:hAnsi="Times New Roman;serif"/>
                <w:b w:val="false"/>
                <w:i w:val="false"/>
                <w:caps w:val="false"/>
                <w:smallCaps w:val="false"/>
                <w:sz w:val="18"/>
              </w:rPr>
              <w:t xml:space="preserve">, </w:t>
            </w:r>
            <w:r>
              <w:rPr>
                <w:rFonts w:ascii="Times New Roman;serif" w:hAnsi="Times New Roman;serif"/>
                <w:b w:val="false"/>
                <w:i w:val="false"/>
                <w:caps w:val="false"/>
                <w:smallCaps w:val="false"/>
                <w:strike w:val="false"/>
                <w:dstrike w:val="false"/>
                <w:sz w:val="18"/>
                <w:u w:val="none"/>
                <w:effect w:val="none"/>
              </w:rPr>
              <w:t>2026</w:t>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257,009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$460.37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11"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257,009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06"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$3,263,144,316</w:t>
            </w:r>
          </w:p>
        </w:tc>
      </w:tr>
      <w:tr>
        <w:trPr/>
        <w:tc>
          <w:tcPr>
            <w:tcW w:w="2941" w:type="dxa"/>
            <w:tcBorders/>
            <w:shd w:fill="FFFF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February</w:t>
            </w:r>
            <w:r>
              <w:rPr>
                <w:caps w:val="false"/>
                <w:smallCaps w:val="false"/>
                <w:sz w:val="24"/>
              </w:rPr>
              <w:t xml:space="preserve"> </w:t>
            </w:r>
            <w:r>
              <w:rPr>
                <w:rFonts w:ascii="Times New Roman;serif" w:hAnsi="Times New Roman;serif"/>
                <w:b w:val="false"/>
                <w:i w:val="false"/>
                <w:caps w:val="false"/>
                <w:smallCaps w:val="false"/>
                <w:sz w:val="18"/>
              </w:rPr>
              <w:t xml:space="preserve">1, </w:t>
            </w:r>
            <w:r>
              <w:rPr>
                <w:rFonts w:ascii="Times New Roman;serif" w:hAnsi="Times New Roman;serif"/>
                <w:b w:val="false"/>
                <w:i w:val="false"/>
                <w:caps w:val="false"/>
                <w:smallCaps w:val="false"/>
                <w:strike w:val="false"/>
                <w:dstrike w:val="false"/>
                <w:sz w:val="18"/>
                <w:u w:val="none"/>
                <w:effect w:val="none"/>
              </w:rPr>
              <w:t>2026</w:t>
            </w:r>
            <w:r>
              <w:rPr>
                <w:caps w:val="false"/>
                <w:smallCaps w:val="false"/>
                <w:sz w:val="24"/>
              </w:rPr>
              <w:t xml:space="preserve"> </w:t>
            </w:r>
            <w:r>
              <w:rPr>
                <w:rFonts w:ascii="Times New Roman;serif" w:hAnsi="Times New Roman;serif"/>
                <w:b w:val="false"/>
                <w:i w:val="false"/>
                <w:caps w:val="false"/>
                <w:smallCaps w:val="false"/>
                <w:sz w:val="18"/>
              </w:rPr>
              <w:t xml:space="preserve">to </w:t>
            </w:r>
            <w:r>
              <w:rPr>
                <w:rFonts w:ascii="Times New Roman;serif" w:hAnsi="Times New Roman;serif"/>
                <w:b w:val="false"/>
                <w:i w:val="false"/>
                <w:caps w:val="false"/>
                <w:smallCaps w:val="false"/>
                <w:strike w:val="false"/>
                <w:dstrike w:val="false"/>
                <w:sz w:val="18"/>
                <w:u w:val="none"/>
                <w:effect w:val="none"/>
              </w:rPr>
              <w:t>February</w:t>
            </w:r>
            <w:r>
              <w:rPr>
                <w:caps w:val="false"/>
                <w:smallCaps w:val="false"/>
                <w:sz w:val="24"/>
              </w:rPr>
              <w:t xml:space="preserve"> </w:t>
            </w:r>
            <w:r>
              <w:rPr>
                <w:rFonts w:ascii="Times New Roman;serif" w:hAnsi="Times New Roman;serif"/>
                <w:b w:val="false"/>
                <w:i w:val="false"/>
                <w:caps w:val="false"/>
                <w:smallCaps w:val="false"/>
                <w:strike w:val="false"/>
                <w:dstrike w:val="false"/>
                <w:sz w:val="18"/>
                <w:u w:val="none"/>
                <w:effect w:val="none"/>
              </w:rPr>
              <w:t>28</w:t>
            </w:r>
            <w:r>
              <w:rPr>
                <w:rFonts w:ascii="Times New Roman;serif" w:hAnsi="Times New Roman;serif"/>
                <w:b w:val="false"/>
                <w:i w:val="false"/>
                <w:caps w:val="false"/>
                <w:smallCaps w:val="false"/>
                <w:sz w:val="18"/>
              </w:rPr>
              <w:t xml:space="preserve">, </w:t>
            </w:r>
            <w:r>
              <w:rPr>
                <w:rFonts w:ascii="Times New Roman;serif" w:hAnsi="Times New Roman;serif"/>
                <w:b w:val="false"/>
                <w:i w:val="false"/>
                <w:caps w:val="false"/>
                <w:smallCaps w:val="false"/>
                <w:strike w:val="false"/>
                <w:dstrike w:val="false"/>
                <w:sz w:val="18"/>
                <w:u w:val="none"/>
                <w:effect w:val="none"/>
              </w:rPr>
              <w:t>2026</w:t>
            </w:r>
          </w:p>
        </w:tc>
        <w:tc>
          <w:tcPr>
            <w:tcW w:w="91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210,126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$474.46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1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210,126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0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$3,163,447,298</w:t>
            </w:r>
          </w:p>
        </w:tc>
      </w:tr>
      <w:tr>
        <w:trPr/>
        <w:tc>
          <w:tcPr>
            <w:tcW w:w="2941" w:type="dxa"/>
            <w:tcBorders/>
            <w:shd w:fill="CCEE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March</w:t>
            </w:r>
            <w:r>
              <w:rPr>
                <w:caps w:val="false"/>
                <w:smallCaps w:val="false"/>
                <w:sz w:val="24"/>
              </w:rPr>
              <w:t xml:space="preserve"> </w:t>
            </w:r>
            <w:r>
              <w:rPr>
                <w:rFonts w:ascii="Times New Roman;serif" w:hAnsi="Times New Roman;serif"/>
                <w:b w:val="false"/>
                <w:i w:val="false"/>
                <w:caps w:val="false"/>
                <w:smallCaps w:val="false"/>
                <w:sz w:val="18"/>
              </w:rPr>
              <w:t xml:space="preserve">1, </w:t>
            </w:r>
            <w:r>
              <w:rPr>
                <w:rFonts w:ascii="Times New Roman;serif" w:hAnsi="Times New Roman;serif"/>
                <w:b w:val="false"/>
                <w:i w:val="false"/>
                <w:caps w:val="false"/>
                <w:smallCaps w:val="false"/>
                <w:strike w:val="false"/>
                <w:dstrike w:val="false"/>
                <w:sz w:val="18"/>
                <w:u w:val="none"/>
                <w:effect w:val="none"/>
              </w:rPr>
              <w:t>2026</w:t>
            </w:r>
            <w:r>
              <w:rPr>
                <w:caps w:val="false"/>
                <w:smallCaps w:val="false"/>
                <w:sz w:val="24"/>
              </w:rPr>
              <w:t xml:space="preserve"> </w:t>
            </w:r>
            <w:r>
              <w:rPr>
                <w:rFonts w:ascii="Times New Roman;serif" w:hAnsi="Times New Roman;serif"/>
                <w:b w:val="false"/>
                <w:i w:val="false"/>
                <w:caps w:val="false"/>
                <w:smallCaps w:val="false"/>
                <w:sz w:val="18"/>
              </w:rPr>
              <w:t xml:space="preserve">to </w:t>
            </w:r>
            <w:r>
              <w:rPr>
                <w:rFonts w:ascii="Times New Roman;serif" w:hAnsi="Times New Roman;serif"/>
                <w:b w:val="false"/>
                <w:i w:val="false"/>
                <w:caps w:val="false"/>
                <w:smallCaps w:val="false"/>
                <w:strike w:val="false"/>
                <w:dstrike w:val="false"/>
                <w:sz w:val="18"/>
                <w:u w:val="none"/>
                <w:effect w:val="none"/>
              </w:rPr>
              <w:t>March</w:t>
            </w:r>
            <w:r>
              <w:rPr>
                <w:caps w:val="false"/>
                <w:smallCaps w:val="false"/>
                <w:sz w:val="24"/>
              </w:rPr>
              <w:t xml:space="preserve"> </w:t>
            </w:r>
            <w:r>
              <w:rPr>
                <w:rFonts w:ascii="Times New Roman;serif" w:hAnsi="Times New Roman;serif"/>
                <w:b w:val="false"/>
                <w:i w:val="false"/>
                <w:caps w:val="false"/>
                <w:smallCaps w:val="false"/>
                <w:strike w:val="false"/>
                <w:dstrike w:val="false"/>
                <w:sz w:val="18"/>
                <w:u w:val="none"/>
                <w:effect w:val="none"/>
              </w:rPr>
              <w:t>31</w:t>
            </w:r>
            <w:r>
              <w:rPr>
                <w:rFonts w:ascii="Times New Roman;serif" w:hAnsi="Times New Roman;serif"/>
                <w:b w:val="false"/>
                <w:i w:val="false"/>
                <w:caps w:val="false"/>
                <w:smallCaps w:val="false"/>
                <w:sz w:val="18"/>
              </w:rPr>
              <w:t xml:space="preserve">, </w:t>
            </w:r>
            <w:r>
              <w:rPr>
                <w:rFonts w:ascii="Times New Roman;serif" w:hAnsi="Times New Roman;serif"/>
                <w:b w:val="false"/>
                <w:i w:val="false"/>
                <w:caps w:val="false"/>
                <w:smallCaps w:val="false"/>
                <w:strike w:val="false"/>
                <w:dstrike w:val="false"/>
                <w:sz w:val="18"/>
                <w:u w:val="none"/>
                <w:effect w:val="none"/>
              </w:rPr>
              <w:t>2026</w:t>
            </w:r>
          </w:p>
        </w:tc>
        <w:tc>
          <w:tcPr>
            <w:tcW w:w="9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274,000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$461.53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1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274,000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0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$3,036,987,553</w:t>
            </w:r>
          </w:p>
        </w:tc>
      </w:tr>
      <w:tr>
        <w:trPr/>
        <w:tc>
          <w:tcPr>
            <w:tcW w:w="294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Total</w:t>
            </w:r>
          </w:p>
        </w:tc>
        <w:tc>
          <w:tcPr>
            <w:tcW w:w="9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741,135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$464.79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1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741,135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0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$3,036,987,553</w:t>
            </w:r>
          </w:p>
        </w:tc>
      </w:tr>
    </w:tbl>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(1)  Under our Share Repurchase Program, we are authorized to purchase shares from time to time through open market or privately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negotiated transactions. Such purchases may be pursuant to Rule 10b5-1 plans or other means as determined by our management and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in accordance with the requirements of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5. Other Information</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Rule 10b5-1 Trading Plans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policy governing transactions in our securities by our directors, officers, and employees permits our officers,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directors and employees to enter into trading plans complying with Rule 10b5-1 under the Securities Exchange Act of 1934,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amended (each a “Trading Plan”). In </w:t>
      </w:r>
      <w:r>
        <w:rPr>
          <w:rFonts w:ascii="Times New Roman;serif" w:hAnsi="Times New Roman;serif"/>
          <w:b w:val="false"/>
          <w:i w:val="false"/>
          <w:caps w:val="false"/>
          <w:smallCaps w:val="false"/>
          <w:strike w:val="false"/>
          <w:dstrike w:val="false"/>
          <w:sz w:val="20"/>
          <w:u w:val="none"/>
          <w:effect w:val="none"/>
        </w:rPr>
        <w:t>the first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quarter of 2026, none of our directors or officers adopted or terminated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Trading Plan.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Item 6.Exhibits </w:t>
      </w:r>
    </w:p>
    <w:tbl>
      <w:tblPr>
        <w:tblW w:w="10205" w:type="dxa"/>
        <w:jc w:val="left"/>
        <w:tblInd w:w="0" w:type="dxa"/>
        <w:tblLayout w:type="fixed"/>
        <w:tblCellMar>
          <w:top w:w="28" w:type="dxa"/>
          <w:left w:w="28" w:type="dxa"/>
          <w:bottom w:w="28" w:type="dxa"/>
          <w:right w:w="28" w:type="dxa"/>
        </w:tblCellMar>
      </w:tblPr>
      <w:tblGrid>
        <w:gridCol w:w="763"/>
        <w:gridCol w:w="9442"/>
      </w:tblGrid>
      <w:tr>
        <w:trPr/>
        <w:tc>
          <w:tcPr>
            <w:tcW w:w="763" w:type="dxa"/>
            <w:tcBorders/>
            <w:vAlign w:val="center"/>
          </w:tcPr>
          <w:p>
            <w:pPr>
              <w:pStyle w:val="TableContents"/>
              <w:bidi w:val="0"/>
              <w:spacing w:before="0" w:after="283"/>
              <w:jc w:val="left"/>
              <w:rPr>
                <w:sz w:val="4"/>
                <w:szCs w:val="4"/>
              </w:rPr>
            </w:pPr>
            <w:r>
              <w:rPr>
                <w:sz w:val="4"/>
                <w:szCs w:val="4"/>
              </w:rPr>
            </w:r>
          </w:p>
        </w:tc>
        <w:tc>
          <w:tcPr>
            <w:tcW w:w="9442" w:type="dxa"/>
            <w:tcBorders/>
            <w:vAlign w:val="center"/>
          </w:tcPr>
          <w:p>
            <w:pPr>
              <w:pStyle w:val="TableContents"/>
              <w:bidi w:val="0"/>
              <w:spacing w:before="0" w:after="283"/>
              <w:jc w:val="left"/>
              <w:rPr>
                <w:sz w:val="4"/>
                <w:szCs w:val="4"/>
              </w:rPr>
            </w:pPr>
            <w:r>
              <w:rPr>
                <w:sz w:val="4"/>
                <w:szCs w:val="4"/>
              </w:rPr>
            </w:r>
          </w:p>
        </w:tc>
      </w:tr>
      <w:tr>
        <w:trPr/>
        <w:tc>
          <w:tcPr>
            <w:tcW w:w="763" w:type="dxa"/>
            <w:tcBorders/>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Exhibit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Number</w:t>
            </w:r>
          </w:p>
        </w:tc>
        <w:tc>
          <w:tcPr>
            <w:tcW w:w="9442" w:type="dxa"/>
            <w:tcBorders/>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Exhibit Description</w:t>
            </w:r>
          </w:p>
        </w:tc>
      </w:tr>
      <w:tr>
        <w:trPr/>
        <w:tc>
          <w:tcPr>
            <w:tcW w:w="763"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31.1</w:t>
            </w:r>
          </w:p>
        </w:tc>
        <w:tc>
          <w:tcPr>
            <w:tcW w:w="9442" w:type="dxa"/>
            <w:tcBorders/>
            <w:vAlign w:val="center"/>
          </w:tcPr>
          <w:p>
            <w:pPr>
              <w:pStyle w:val="TableContents"/>
              <w:bidi w:val="0"/>
              <w:spacing w:lineRule="atLeast" w:line="160" w:before="0" w:after="0"/>
              <w:jc w:val="left"/>
              <w:rPr/>
            </w:pPr>
            <w:hyperlink w:anchor="a2026q110-qexhibit311.htm">
              <w:r>
                <w:rPr>
                  <w:rStyle w:val="InternetLink"/>
                  <w:rFonts w:ascii="Times New Roman;serif" w:hAnsi="Times New Roman;serif"/>
                  <w:b w:val="false"/>
                  <w:i w:val="false"/>
                  <w:caps w:val="false"/>
                  <w:smallCaps w:val="false"/>
                  <w:color w:val="0000FF"/>
                  <w:sz w:val="16"/>
                  <w:u w:val="single"/>
                </w:rPr>
                <w:t>Certification of the Chief Executive Officer under Section 302 of the Sarbanes-Oxley Act of 2002.</w:t>
              </w:r>
            </w:hyperlink>
          </w:p>
        </w:tc>
      </w:tr>
      <w:tr>
        <w:trPr/>
        <w:tc>
          <w:tcPr>
            <w:tcW w:w="763"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31.2</w:t>
            </w:r>
          </w:p>
        </w:tc>
        <w:tc>
          <w:tcPr>
            <w:tcW w:w="9442" w:type="dxa"/>
            <w:tcBorders/>
            <w:vAlign w:val="center"/>
          </w:tcPr>
          <w:p>
            <w:pPr>
              <w:pStyle w:val="TableContents"/>
              <w:bidi w:val="0"/>
              <w:spacing w:lineRule="atLeast" w:line="160" w:before="0" w:after="0"/>
              <w:jc w:val="left"/>
              <w:rPr/>
            </w:pPr>
            <w:hyperlink w:anchor="a2026q110-qexhibit312.htm">
              <w:r>
                <w:rPr>
                  <w:rStyle w:val="InternetLink"/>
                  <w:rFonts w:ascii="Times New Roman;serif" w:hAnsi="Times New Roman;serif"/>
                  <w:b w:val="false"/>
                  <w:i w:val="false"/>
                  <w:caps w:val="false"/>
                  <w:smallCaps w:val="false"/>
                  <w:color w:val="0000FF"/>
                  <w:sz w:val="16"/>
                  <w:u w:val="single"/>
                </w:rPr>
                <w:t>Certification of the Chief Financial Officer under Section 302 of the Sarbanes-Oxley Act of 2002.</w:t>
              </w:r>
            </w:hyperlink>
          </w:p>
        </w:tc>
      </w:tr>
      <w:tr>
        <w:trPr/>
        <w:tc>
          <w:tcPr>
            <w:tcW w:w="763"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32.1</w:t>
            </w:r>
          </w:p>
        </w:tc>
        <w:tc>
          <w:tcPr>
            <w:tcW w:w="9442" w:type="dxa"/>
            <w:tcBorders/>
            <w:vAlign w:val="center"/>
          </w:tcPr>
          <w:p>
            <w:pPr>
              <w:pStyle w:val="TableContents"/>
              <w:bidi w:val="0"/>
              <w:spacing w:lineRule="atLeast" w:line="160" w:before="0" w:after="0"/>
              <w:jc w:val="left"/>
              <w:rPr/>
            </w:pPr>
            <w:hyperlink w:anchor="a2026q110-qexhibit321.htm">
              <w:r>
                <w:rPr>
                  <w:rStyle w:val="InternetLink"/>
                  <w:rFonts w:ascii="Times New Roman;serif" w:hAnsi="Times New Roman;serif"/>
                  <w:b w:val="false"/>
                  <w:i w:val="false"/>
                  <w:caps w:val="false"/>
                  <w:smallCaps w:val="false"/>
                  <w:color w:val="0000FF"/>
                  <w:sz w:val="16"/>
                  <w:u w:val="single"/>
                </w:rPr>
                <w:t>Certification of the Chief Executive Officer and the Chief Financial Officer under Section 906 of the Sarbanes-Oxley Act of 2002.</w:t>
              </w:r>
            </w:hyperlink>
          </w:p>
        </w:tc>
      </w:tr>
      <w:tr>
        <w:trPr/>
        <w:tc>
          <w:tcPr>
            <w:tcW w:w="763"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101.INS</w:t>
            </w:r>
          </w:p>
        </w:tc>
        <w:tc>
          <w:tcPr>
            <w:tcW w:w="9442"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XBRL Instance - the instance document does not appear in the Interactive Data File because its XBRL tags are embedded within the Inline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XBRL document.</w:t>
            </w:r>
          </w:p>
        </w:tc>
      </w:tr>
      <w:tr>
        <w:trPr/>
        <w:tc>
          <w:tcPr>
            <w:tcW w:w="763"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101.SCH</w:t>
            </w:r>
          </w:p>
        </w:tc>
        <w:tc>
          <w:tcPr>
            <w:tcW w:w="9442"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XBRL Taxonomy Extension Schema</w:t>
            </w:r>
          </w:p>
        </w:tc>
      </w:tr>
      <w:tr>
        <w:trPr/>
        <w:tc>
          <w:tcPr>
            <w:tcW w:w="763"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101.CAL</w:t>
            </w:r>
          </w:p>
        </w:tc>
        <w:tc>
          <w:tcPr>
            <w:tcW w:w="9442"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XBRL Taxonomy Extension Calculation</w:t>
            </w:r>
          </w:p>
        </w:tc>
      </w:tr>
      <w:tr>
        <w:trPr/>
        <w:tc>
          <w:tcPr>
            <w:tcW w:w="763"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101.LAB</w:t>
            </w:r>
          </w:p>
        </w:tc>
        <w:tc>
          <w:tcPr>
            <w:tcW w:w="9442"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XBRL Taxonomy Extension Labels</w:t>
            </w:r>
          </w:p>
        </w:tc>
      </w:tr>
      <w:tr>
        <w:trPr/>
        <w:tc>
          <w:tcPr>
            <w:tcW w:w="763"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101.PRE</w:t>
            </w:r>
          </w:p>
        </w:tc>
        <w:tc>
          <w:tcPr>
            <w:tcW w:w="9442"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XBRL Taxonomy Extension Presentation</w:t>
            </w:r>
          </w:p>
        </w:tc>
      </w:tr>
      <w:tr>
        <w:trPr/>
        <w:tc>
          <w:tcPr>
            <w:tcW w:w="763"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101.DEF</w:t>
            </w:r>
          </w:p>
        </w:tc>
        <w:tc>
          <w:tcPr>
            <w:tcW w:w="9442"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XBRL Taxonomy Extension Definition</w:t>
            </w:r>
          </w:p>
        </w:tc>
      </w:tr>
      <w:tr>
        <w:trPr/>
        <w:tc>
          <w:tcPr>
            <w:tcW w:w="763"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104</w:t>
            </w:r>
          </w:p>
        </w:tc>
        <w:tc>
          <w:tcPr>
            <w:tcW w:w="9442"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Cover Page Interactive Data File––the cover page interactive data file does not appear in the Interactive Data File because its XBRL tags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are embedded within the Inline XBRL document.</w:t>
            </w:r>
          </w:p>
        </w:tc>
      </w:tr>
      <w:tr>
        <w:trPr/>
        <w:tc>
          <w:tcPr>
            <w:tcW w:w="763" w:type="dxa"/>
            <w:tcBorders/>
            <w:vAlign w:val="center"/>
          </w:tcPr>
          <w:p>
            <w:pPr>
              <w:pStyle w:val="TableContents"/>
              <w:bidi w:val="0"/>
              <w:spacing w:before="0" w:after="283"/>
              <w:jc w:val="left"/>
              <w:rPr>
                <w:sz w:val="4"/>
                <w:szCs w:val="4"/>
              </w:rPr>
            </w:pPr>
            <w:r>
              <w:rPr>
                <w:sz w:val="4"/>
                <w:szCs w:val="4"/>
              </w:rPr>
            </w:r>
          </w:p>
        </w:tc>
        <w:tc>
          <w:tcPr>
            <w:tcW w:w="944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SIGNATURES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Pursuant to the requirements of the Securities Exchange Act of 1934, the registrant has duly caused this report to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signed on its behalf by the undersigned thereunto duly authorized.</w:t>
      </w:r>
    </w:p>
    <w:tbl>
      <w:tblPr>
        <w:tblW w:w="6828" w:type="dxa"/>
        <w:jc w:val="left"/>
        <w:tblInd w:w="0" w:type="dxa"/>
        <w:tblLayout w:type="fixed"/>
        <w:tblCellMar>
          <w:top w:w="28" w:type="dxa"/>
          <w:left w:w="28" w:type="dxa"/>
          <w:bottom w:w="28" w:type="dxa"/>
          <w:right w:w="28" w:type="dxa"/>
        </w:tblCellMar>
      </w:tblPr>
      <w:tblGrid>
        <w:gridCol w:w="1156"/>
        <w:gridCol w:w="406"/>
        <w:gridCol w:w="5266"/>
      </w:tblGrid>
      <w:tr>
        <w:trPr/>
        <w:tc>
          <w:tcPr>
            <w:tcW w:w="11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66" w:type="dxa"/>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sz w:val="4"/>
                <w:szCs w:val="4"/>
              </w:rPr>
            </w:pPr>
            <w:r>
              <w:rPr>
                <w:sz w:val="4"/>
                <w:szCs w:val="4"/>
              </w:rPr>
            </w:r>
          </w:p>
        </w:tc>
        <w:tc>
          <w:tcPr>
            <w:tcW w:w="5672" w:type="dxa"/>
            <w:gridSpan w:val="2"/>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Vertex Pharmaceuticals Incorporated</w:t>
            </w:r>
          </w:p>
        </w:tc>
      </w:tr>
      <w:tr>
        <w:trPr/>
        <w:tc>
          <w:tcPr>
            <w:tcW w:w="11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66" w:type="dxa"/>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May 5, 2026</w:t>
            </w:r>
          </w:p>
        </w:tc>
        <w:tc>
          <w:tcPr>
            <w:tcW w:w="4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By:</w:t>
            </w:r>
          </w:p>
        </w:tc>
        <w:tc>
          <w:tcPr>
            <w:tcW w:w="526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 Charles F. Wagner, Jr. </w:t>
            </w:r>
          </w:p>
        </w:tc>
      </w:tr>
      <w:tr>
        <w:trPr/>
        <w:tc>
          <w:tcPr>
            <w:tcW w:w="11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6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Charles F. Wagner, Jr.</w:t>
            </w:r>
          </w:p>
        </w:tc>
      </w:tr>
      <w:tr>
        <w:trPr/>
        <w:tc>
          <w:tcPr>
            <w:tcW w:w="11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6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Executive Vice President, Chief Operating &amp; Financial Officer</w:t>
            </w:r>
          </w:p>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(principal financial officer and</w:t>
            </w:r>
          </w:p>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 Reshma Kewalramani, certify that:</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Vertex Pharmaceuticals Incorporated;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948" w:type="dxa"/>
        <w:jc w:val="center"/>
        <w:tblInd w:w="0" w:type="dxa"/>
        <w:tblLayout w:type="fixed"/>
        <w:tblCellMar>
          <w:top w:w="28" w:type="dxa"/>
          <w:left w:w="28" w:type="dxa"/>
          <w:bottom w:w="28" w:type="dxa"/>
          <w:right w:w="28" w:type="dxa"/>
        </w:tblCellMar>
      </w:tblPr>
      <w:tblGrid>
        <w:gridCol w:w="216"/>
        <w:gridCol w:w="191"/>
        <w:gridCol w:w="192"/>
        <w:gridCol w:w="379"/>
        <w:gridCol w:w="379"/>
        <w:gridCol w:w="381"/>
        <w:gridCol w:w="940"/>
        <w:gridCol w:w="940"/>
        <w:gridCol w:w="1330"/>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Reshma Kewalramani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Reshma Kewalramani </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 Charles F. Wagner, Jr., certify that:</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Vertex Pharmaceuticals Incorporated;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228" w:type="dxa"/>
        <w:jc w:val="center"/>
        <w:tblInd w:w="0" w:type="dxa"/>
        <w:tblLayout w:type="fixed"/>
        <w:tblCellMar>
          <w:top w:w="28" w:type="dxa"/>
          <w:left w:w="28" w:type="dxa"/>
          <w:bottom w:w="28" w:type="dxa"/>
          <w:right w:w="28" w:type="dxa"/>
        </w:tblCellMar>
      </w:tblPr>
      <w:tblGrid>
        <w:gridCol w:w="216"/>
        <w:gridCol w:w="191"/>
        <w:gridCol w:w="192"/>
        <w:gridCol w:w="379"/>
        <w:gridCol w:w="379"/>
        <w:gridCol w:w="381"/>
        <w:gridCol w:w="1608"/>
        <w:gridCol w:w="1608"/>
        <w:gridCol w:w="227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Charles F. Wagner, Jr.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F. Wagner, Jr.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Operating &amp;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SECTION 906 CEO/CFO CERTIFICATION</w:t>
      </w:r>
    </w:p>
    <w:p>
      <w:pPr>
        <w:pStyle w:val="TextBody"/>
        <w:bidi w:val="0"/>
        <w:spacing w:lineRule="auto" w:line="288" w:before="10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each of the undersigned officers of Vertex Pharmaceuticals Incorporated, a Massachusetts corporation (the “Company”), does hereby certify, to such officer’s knowledge, that the Quarterly Report on Form 10-Q for the quarter ended March 31,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tbl>
      <w:tblPr>
        <w:tblW w:w="7227" w:type="dxa"/>
        <w:jc w:val="center"/>
        <w:tblInd w:w="0" w:type="dxa"/>
        <w:tblLayout w:type="fixed"/>
        <w:tblCellMar>
          <w:top w:w="28" w:type="dxa"/>
          <w:left w:w="28" w:type="dxa"/>
          <w:bottom w:w="28" w:type="dxa"/>
          <w:right w:w="28" w:type="dxa"/>
        </w:tblCellMar>
      </w:tblPr>
      <w:tblGrid>
        <w:gridCol w:w="216"/>
        <w:gridCol w:w="191"/>
        <w:gridCol w:w="192"/>
        <w:gridCol w:w="379"/>
        <w:gridCol w:w="379"/>
        <w:gridCol w:w="381"/>
        <w:gridCol w:w="1607"/>
        <w:gridCol w:w="1607"/>
        <w:gridCol w:w="2275"/>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Reshma Kewalramani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Reshma Kewalramani </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Charles F. Wagner, Jr.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F. Wagner, Jr.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Operating &amp; Financial Officer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16148</Words>
  <Characters>93883</Characters>
  <CharactersWithSpaces>108243</CharactersWithSpaces>
  <Paragraphs>2589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