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Pursuant to Section 13 OR 15(d) of The Securities Exchange Act of 1934</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Report (Date of earliest event reported) December 20, 2024</w:t>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Vertex Pharmaceuticals Incorporated</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09" w:lineRule="exact"/>
        <w:rPr>
          <w:sz w:val="24"/>
          <w:szCs w:val="24"/>
          <w:color w:val="auto"/>
        </w:rPr>
      </w:pPr>
    </w:p>
    <w:tbl>
      <w:tblPr>
        <w:tblLayout w:type="fixed"/>
        <w:tblInd w:w="440" w:type="dxa"/>
        <w:tblCellMar>
          <w:top w:w="0" w:type="dxa"/>
          <w:left w:w="0" w:type="dxa"/>
          <w:bottom w:w="0" w:type="dxa"/>
          <w:right w:w="0" w:type="dxa"/>
        </w:tblCellMar>
      </w:tblPr>
      <w:tr>
        <w:trPr>
          <w:trHeight w:val="313"/>
        </w:trPr>
        <w:tc>
          <w:tcPr>
            <w:tcW w:w="3080" w:type="dxa"/>
            <w:vAlign w:val="bottom"/>
          </w:tcPr>
          <w:p>
            <w:pPr>
              <w:jc w:val="center"/>
              <w:ind w:right="106"/>
              <w:spacing w:after="0"/>
              <w:rPr>
                <w:sz w:val="20"/>
                <w:szCs w:val="20"/>
                <w:color w:val="auto"/>
              </w:rPr>
            </w:pPr>
            <w:r>
              <w:rPr>
                <w:rFonts w:ascii="Times New Roman" w:cs="Times New Roman" w:eastAsia="Times New Roman" w:hAnsi="Times New Roman"/>
                <w:sz w:val="22"/>
                <w:szCs w:val="22"/>
                <w:b w:val="1"/>
                <w:bCs w:val="1"/>
                <w:color w:val="auto"/>
                <w:w w:val="97"/>
              </w:rPr>
              <w:t>Massachusetts</w:t>
            </w:r>
          </w:p>
        </w:tc>
        <w:tc>
          <w:tcPr>
            <w:tcW w:w="4340" w:type="dxa"/>
            <w:vAlign w:val="bottom"/>
          </w:tcPr>
          <w:p>
            <w:pPr>
              <w:jc w:val="center"/>
              <w:ind w:right="62"/>
              <w:spacing w:after="0"/>
              <w:rPr>
                <w:sz w:val="20"/>
                <w:szCs w:val="20"/>
                <w:color w:val="auto"/>
              </w:rPr>
            </w:pPr>
            <w:r>
              <w:rPr>
                <w:rFonts w:ascii="Times New Roman" w:cs="Times New Roman" w:eastAsia="Times New Roman" w:hAnsi="Times New Roman"/>
                <w:sz w:val="22"/>
                <w:szCs w:val="22"/>
                <w:b w:val="1"/>
                <w:bCs w:val="1"/>
                <w:color w:val="auto"/>
                <w:w w:val="98"/>
              </w:rPr>
              <w:t>000-19319</w:t>
            </w:r>
          </w:p>
        </w:tc>
        <w:tc>
          <w:tcPr>
            <w:tcW w:w="2660" w:type="dxa"/>
            <w:vAlign w:val="bottom"/>
          </w:tcPr>
          <w:p>
            <w:pPr>
              <w:jc w:val="right"/>
              <w:ind w:right="546"/>
              <w:spacing w:after="0"/>
              <w:rPr>
                <w:sz w:val="20"/>
                <w:szCs w:val="20"/>
                <w:color w:val="auto"/>
              </w:rPr>
            </w:pPr>
            <w:r>
              <w:rPr>
                <w:rFonts w:ascii="Times New Roman" w:cs="Times New Roman" w:eastAsia="Times New Roman" w:hAnsi="Times New Roman"/>
                <w:sz w:val="22"/>
                <w:szCs w:val="22"/>
                <w:b w:val="1"/>
                <w:bCs w:val="1"/>
                <w:color w:val="auto"/>
              </w:rPr>
              <w:t>04-3039129</w:t>
            </w:r>
          </w:p>
        </w:tc>
      </w:tr>
      <w:tr>
        <w:trPr>
          <w:trHeight w:val="225"/>
        </w:trPr>
        <w:tc>
          <w:tcPr>
            <w:tcW w:w="3080" w:type="dxa"/>
            <w:vAlign w:val="bottom"/>
          </w:tcPr>
          <w:p>
            <w:pPr>
              <w:jc w:val="center"/>
              <w:ind w:right="106"/>
              <w:spacing w:after="0"/>
              <w:rPr>
                <w:sz w:val="20"/>
                <w:szCs w:val="20"/>
                <w:color w:val="auto"/>
              </w:rPr>
            </w:pPr>
            <w:r>
              <w:rPr>
                <w:rFonts w:ascii="Times New Roman" w:cs="Times New Roman" w:eastAsia="Times New Roman" w:hAnsi="Times New Roman"/>
                <w:sz w:val="16"/>
                <w:szCs w:val="16"/>
                <w:i w:val="1"/>
                <w:iCs w:val="1"/>
                <w:color w:val="auto"/>
              </w:rPr>
              <w:t>(State or other jurisdiction of incorporation)</w:t>
            </w:r>
          </w:p>
        </w:tc>
        <w:tc>
          <w:tcPr>
            <w:tcW w:w="4340" w:type="dxa"/>
            <w:vAlign w:val="bottom"/>
          </w:tcPr>
          <w:p>
            <w:pPr>
              <w:jc w:val="center"/>
              <w:ind w:right="42"/>
              <w:spacing w:after="0"/>
              <w:rPr>
                <w:sz w:val="20"/>
                <w:szCs w:val="20"/>
                <w:color w:val="auto"/>
              </w:rPr>
            </w:pPr>
            <w:r>
              <w:rPr>
                <w:rFonts w:ascii="Times New Roman" w:cs="Times New Roman" w:eastAsia="Times New Roman" w:hAnsi="Times New Roman"/>
                <w:sz w:val="16"/>
                <w:szCs w:val="16"/>
                <w:i w:val="1"/>
                <w:iCs w:val="1"/>
                <w:color w:val="auto"/>
              </w:rPr>
              <w:t>(Commission File Number)</w:t>
            </w:r>
          </w:p>
        </w:tc>
        <w:tc>
          <w:tcPr>
            <w:tcW w:w="2660" w:type="dxa"/>
            <w:vAlign w:val="bottom"/>
          </w:tcPr>
          <w:p>
            <w:pPr>
              <w:jc w:val="center"/>
              <w:ind w:left="246"/>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tc>
      </w:tr>
      <w:tr>
        <w:trPr>
          <w:trHeight w:val="396"/>
        </w:trPr>
        <w:tc>
          <w:tcPr>
            <w:tcW w:w="3080" w:type="dxa"/>
            <w:vAlign w:val="bottom"/>
          </w:tcPr>
          <w:p>
            <w:pPr>
              <w:spacing w:after="0"/>
              <w:rPr>
                <w:sz w:val="24"/>
                <w:szCs w:val="24"/>
                <w:color w:val="auto"/>
              </w:rPr>
            </w:pPr>
          </w:p>
        </w:tc>
        <w:tc>
          <w:tcPr>
            <w:tcW w:w="4340" w:type="dxa"/>
            <w:vAlign w:val="bottom"/>
          </w:tcPr>
          <w:p>
            <w:pPr>
              <w:jc w:val="center"/>
              <w:ind w:right="22"/>
              <w:spacing w:after="0"/>
              <w:rPr>
                <w:sz w:val="20"/>
                <w:szCs w:val="20"/>
                <w:color w:val="auto"/>
              </w:rPr>
            </w:pPr>
            <w:r>
              <w:rPr>
                <w:rFonts w:ascii="Times New Roman" w:cs="Times New Roman" w:eastAsia="Times New Roman" w:hAnsi="Times New Roman"/>
                <w:sz w:val="22"/>
                <w:szCs w:val="22"/>
                <w:b w:val="1"/>
                <w:bCs w:val="1"/>
                <w:color w:val="auto"/>
                <w:w w:val="96"/>
              </w:rPr>
              <w:t>50 Northern Avenue</w:t>
            </w:r>
          </w:p>
        </w:tc>
        <w:tc>
          <w:tcPr>
            <w:tcW w:w="2660" w:type="dxa"/>
            <w:vAlign w:val="bottom"/>
          </w:tcPr>
          <w:p>
            <w:pPr>
              <w:spacing w:after="0"/>
              <w:rPr>
                <w:sz w:val="24"/>
                <w:szCs w:val="24"/>
                <w:color w:val="auto"/>
              </w:rPr>
            </w:pPr>
          </w:p>
        </w:tc>
      </w:tr>
      <w:tr>
        <w:trPr>
          <w:trHeight w:val="324"/>
        </w:trPr>
        <w:tc>
          <w:tcPr>
            <w:tcW w:w="3080" w:type="dxa"/>
            <w:vAlign w:val="bottom"/>
          </w:tcPr>
          <w:p>
            <w:pPr>
              <w:spacing w:after="0"/>
              <w:rPr>
                <w:sz w:val="24"/>
                <w:szCs w:val="24"/>
                <w:color w:val="auto"/>
              </w:rPr>
            </w:pPr>
          </w:p>
        </w:tc>
        <w:tc>
          <w:tcPr>
            <w:tcW w:w="4340" w:type="dxa"/>
            <w:vAlign w:val="bottom"/>
          </w:tcPr>
          <w:p>
            <w:pPr>
              <w:jc w:val="center"/>
              <w:ind w:right="42"/>
              <w:spacing w:after="0"/>
              <w:rPr>
                <w:sz w:val="20"/>
                <w:szCs w:val="20"/>
                <w:color w:val="auto"/>
              </w:rPr>
            </w:pPr>
            <w:r>
              <w:rPr>
                <w:rFonts w:ascii="Times New Roman" w:cs="Times New Roman" w:eastAsia="Times New Roman" w:hAnsi="Times New Roman"/>
                <w:sz w:val="22"/>
                <w:szCs w:val="22"/>
                <w:b w:val="1"/>
                <w:bCs w:val="1"/>
                <w:color w:val="auto"/>
                <w:w w:val="98"/>
              </w:rPr>
              <w:t>Boston, Massachusetts 02210</w:t>
            </w:r>
          </w:p>
        </w:tc>
        <w:tc>
          <w:tcPr>
            <w:tcW w:w="2660" w:type="dxa"/>
            <w:vAlign w:val="bottom"/>
          </w:tcPr>
          <w:p>
            <w:pPr>
              <w:spacing w:after="0"/>
              <w:rPr>
                <w:sz w:val="24"/>
                <w:szCs w:val="24"/>
                <w:color w:val="auto"/>
              </w:rPr>
            </w:pPr>
          </w:p>
        </w:tc>
      </w:tr>
      <w:tr>
        <w:trPr>
          <w:trHeight w:val="225"/>
        </w:trPr>
        <w:tc>
          <w:tcPr>
            <w:tcW w:w="3080" w:type="dxa"/>
            <w:vAlign w:val="bottom"/>
          </w:tcPr>
          <w:p>
            <w:pPr>
              <w:spacing w:after="0"/>
              <w:rPr>
                <w:sz w:val="19"/>
                <w:szCs w:val="19"/>
                <w:color w:val="auto"/>
              </w:rPr>
            </w:pPr>
          </w:p>
        </w:tc>
        <w:tc>
          <w:tcPr>
            <w:tcW w:w="4340" w:type="dxa"/>
            <w:vAlign w:val="bottom"/>
          </w:tcPr>
          <w:p>
            <w:pPr>
              <w:jc w:val="center"/>
              <w:ind w:right="42"/>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(Zip Code)</w:t>
            </w:r>
          </w:p>
        </w:tc>
        <w:tc>
          <w:tcPr>
            <w:tcW w:w="2660" w:type="dxa"/>
            <w:vAlign w:val="bottom"/>
          </w:tcPr>
          <w:p>
            <w:pPr>
              <w:spacing w:after="0"/>
              <w:rPr>
                <w:sz w:val="19"/>
                <w:szCs w:val="19"/>
                <w:color w:val="auto"/>
              </w:rPr>
            </w:pPr>
          </w:p>
        </w:tc>
      </w:tr>
      <w:tr>
        <w:trPr>
          <w:trHeight w:val="539"/>
        </w:trPr>
        <w:tc>
          <w:tcPr>
            <w:tcW w:w="3080" w:type="dxa"/>
            <w:vAlign w:val="bottom"/>
          </w:tcPr>
          <w:p>
            <w:pPr>
              <w:spacing w:after="0"/>
              <w:rPr>
                <w:sz w:val="24"/>
                <w:szCs w:val="24"/>
                <w:color w:val="auto"/>
              </w:rPr>
            </w:pPr>
          </w:p>
        </w:tc>
        <w:tc>
          <w:tcPr>
            <w:tcW w:w="4340" w:type="dxa"/>
            <w:vAlign w:val="bottom"/>
          </w:tcPr>
          <w:p>
            <w:pPr>
              <w:jc w:val="center"/>
              <w:ind w:right="42"/>
              <w:spacing w:after="0"/>
              <w:rPr>
                <w:sz w:val="20"/>
                <w:szCs w:val="20"/>
                <w:color w:val="auto"/>
              </w:rPr>
            </w:pPr>
            <w:r>
              <w:rPr>
                <w:rFonts w:ascii="Times New Roman" w:cs="Times New Roman" w:eastAsia="Times New Roman" w:hAnsi="Times New Roman"/>
                <w:sz w:val="22"/>
                <w:szCs w:val="22"/>
                <w:b w:val="1"/>
                <w:bCs w:val="1"/>
                <w:color w:val="auto"/>
                <w:w w:val="98"/>
              </w:rPr>
              <w:t>(617) 341-6100</w:t>
            </w:r>
          </w:p>
        </w:tc>
        <w:tc>
          <w:tcPr>
            <w:tcW w:w="2660" w:type="dxa"/>
            <w:vAlign w:val="bottom"/>
          </w:tcPr>
          <w:p>
            <w:pPr>
              <w:spacing w:after="0"/>
              <w:rPr>
                <w:sz w:val="24"/>
                <w:szCs w:val="24"/>
                <w:color w:val="auto"/>
              </w:rPr>
            </w:pPr>
          </w:p>
        </w:tc>
      </w:tr>
      <w:tr>
        <w:trPr>
          <w:trHeight w:val="236"/>
        </w:trPr>
        <w:tc>
          <w:tcPr>
            <w:tcW w:w="3080" w:type="dxa"/>
            <w:vAlign w:val="bottom"/>
          </w:tcPr>
          <w:p>
            <w:pPr>
              <w:spacing w:after="0"/>
              <w:rPr>
                <w:sz w:val="20"/>
                <w:szCs w:val="20"/>
                <w:color w:val="auto"/>
              </w:rPr>
            </w:pPr>
          </w:p>
        </w:tc>
        <w:tc>
          <w:tcPr>
            <w:tcW w:w="4340" w:type="dxa"/>
            <w:vAlign w:val="bottom"/>
          </w:tcPr>
          <w:p>
            <w:pPr>
              <w:jc w:val="center"/>
              <w:ind w:right="22"/>
              <w:spacing w:after="0"/>
              <w:rPr>
                <w:sz w:val="20"/>
                <w:szCs w:val="20"/>
                <w:color w:val="auto"/>
              </w:rPr>
            </w:pPr>
            <w:r>
              <w:rPr>
                <w:rFonts w:ascii="Times New Roman" w:cs="Times New Roman" w:eastAsia="Times New Roman" w:hAnsi="Times New Roman"/>
                <w:sz w:val="18"/>
                <w:szCs w:val="18"/>
                <w:i w:val="1"/>
                <w:iCs w:val="1"/>
                <w:color w:val="auto"/>
                <w:w w:val="99"/>
              </w:rPr>
              <w:t>(Registrant's telephone number, including area code)</w:t>
            </w:r>
          </w:p>
        </w:tc>
        <w:tc>
          <w:tcPr>
            <w:tcW w:w="2660" w:type="dxa"/>
            <w:vAlign w:val="bottom"/>
          </w:tcPr>
          <w:p>
            <w:pPr>
              <w:spacing w:after="0"/>
              <w:rPr>
                <w:sz w:val="20"/>
                <w:szCs w:val="20"/>
                <w:color w:val="auto"/>
              </w:rPr>
            </w:pPr>
          </w:p>
        </w:tc>
      </w:tr>
    </w:tbl>
    <w:p>
      <w:pPr>
        <w:spacing w:after="0" w:line="200" w:lineRule="exact"/>
        <w:rPr>
          <w:sz w:val="24"/>
          <w:szCs w:val="24"/>
          <w:color w:val="auto"/>
        </w:rPr>
      </w:pP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General Instruction A.2. below):</w:t>
      </w:r>
    </w:p>
    <w:p>
      <w:pPr>
        <w:spacing w:after="0" w:line="271" w:lineRule="exact"/>
        <w:rPr>
          <w:sz w:val="24"/>
          <w:szCs w:val="24"/>
          <w:color w:val="auto"/>
        </w:rPr>
      </w:pPr>
    </w:p>
    <w:p>
      <w:pPr>
        <w:ind w:left="360" w:hanging="31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360" w:hanging="31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Soliciting material pursuant to Rule 14a-12 under the Exchange Act (17 CFR 240.14a-12)</w:t>
      </w:r>
    </w:p>
    <w:p>
      <w:pPr>
        <w:spacing w:after="0" w:line="126" w:lineRule="exact"/>
        <w:rPr>
          <w:rFonts w:ascii="MS PGothic" w:cs="MS PGothic" w:eastAsia="MS PGothic" w:hAnsi="MS PGothic"/>
          <w:sz w:val="16"/>
          <w:szCs w:val="16"/>
          <w:color w:val="auto"/>
        </w:rPr>
      </w:pPr>
    </w:p>
    <w:p>
      <w:pPr>
        <w:ind w:left="360" w:hanging="31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360" w:hanging="31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231F20"/>
        </w:rPr>
        <w:t>Pre-commencement communications pursuant to Rule 13e-4(c) under the Exchange Act (17 CFR 240.13e-4(c))</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6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56"/>
        </w:trPr>
        <w:tc>
          <w:tcPr>
            <w:tcW w:w="4620" w:type="dxa"/>
            <w:vAlign w:val="bottom"/>
            <w:gridSpan w:val="2"/>
          </w:tcPr>
          <w:p>
            <w:pPr>
              <w:jc w:val="center"/>
              <w:ind w:right="440"/>
              <w:spacing w:after="0"/>
              <w:rPr>
                <w:sz w:val="20"/>
                <w:szCs w:val="20"/>
                <w:color w:val="auto"/>
              </w:rPr>
            </w:pPr>
            <w:r>
              <w:rPr>
                <w:rFonts w:ascii="Times New Roman" w:cs="Times New Roman" w:eastAsia="Times New Roman" w:hAnsi="Times New Roman"/>
                <w:sz w:val="16"/>
                <w:szCs w:val="16"/>
                <w:color w:val="auto"/>
              </w:rPr>
              <w:t>Title of each class</w:t>
            </w:r>
          </w:p>
        </w:tc>
        <w:tc>
          <w:tcPr>
            <w:tcW w:w="24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color w:val="auto"/>
              </w:rPr>
              <w:t>Trading Symbol</w:t>
            </w:r>
          </w:p>
        </w:tc>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47"/>
        </w:trPr>
        <w:tc>
          <w:tcPr>
            <w:tcW w:w="418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4180" w:type="dxa"/>
            <w:vAlign w:val="bottom"/>
            <w:tcBorders>
              <w:bottom w:val="single" w:sz="8" w:color="auto"/>
            </w:tcBorders>
          </w:tcPr>
          <w:p>
            <w:pPr>
              <w:spacing w:after="0"/>
              <w:rPr>
                <w:sz w:val="4"/>
                <w:szCs w:val="4"/>
                <w:color w:val="auto"/>
              </w:rPr>
            </w:pPr>
          </w:p>
        </w:tc>
      </w:tr>
      <w:tr>
        <w:trPr>
          <w:trHeight w:val="204"/>
        </w:trPr>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$0.01 Par Value Per Share</w:t>
            </w:r>
          </w:p>
        </w:tc>
        <w:tc>
          <w:tcPr>
            <w:tcW w:w="44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VRTX</w:t>
            </w:r>
          </w:p>
        </w:tc>
        <w:tc>
          <w:tcPr>
            <w:tcW w:w="440" w:type="dxa"/>
            <w:vAlign w:val="bottom"/>
          </w:tcPr>
          <w:p>
            <w:pPr>
              <w:spacing w:after="0"/>
              <w:rPr>
                <w:sz w:val="17"/>
                <w:szCs w:val="17"/>
                <w:color w:val="auto"/>
              </w:rPr>
            </w:pPr>
          </w:p>
        </w:tc>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40"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231F20"/>
        </w:rPr>
        <w:t xml:space="preserve">Emerging growth company </w:t>
      </w:r>
      <w:r>
        <w:rPr>
          <w:rFonts w:ascii="MS PGothic" w:cs="MS PGothic" w:eastAsia="MS PGothic" w:hAnsi="MS PGothic"/>
          <w:sz w:val="16"/>
          <w:szCs w:val="16"/>
          <w:color w:val="000000"/>
        </w:rPr>
        <w:t>☐</w:t>
      </w:r>
    </w:p>
    <w:p>
      <w:pPr>
        <w:spacing w:after="0" w:line="284"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523240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Item 7.01 Regulation FD Disclosure.</w:t>
      </w:r>
    </w:p>
    <w:p>
      <w:pPr>
        <w:spacing w:after="0" w:line="23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0"/>
          <w:szCs w:val="20"/>
          <w:color w:val="auto"/>
        </w:rPr>
        <w:t>On December 20, 2024, the U.S. Food and Drug Administration approved ALYFTREK™ (vanzacaftor/tezacaftor/deutivacaftor) for the treatment of cystic fibrosis in people 6 years and older who have at least one F508del mutation or another mutation in the cystic fibrosis transmembrane conductance regulator gene that is responsive to ALYFTREK.</w:t>
      </w:r>
    </w:p>
    <w:p>
      <w:pPr>
        <w:spacing w:after="0" w:line="181"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20"/>
          <w:szCs w:val="20"/>
          <w:color w:val="auto"/>
        </w:rPr>
        <w:t>We have established a wholesale acquisition cost for ALYFTREK in the United States of $370,269 on an annual basis ($28,404 per 28-day pack).</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 Information.</w:t>
      </w:r>
    </w:p>
    <w:p>
      <w:pPr>
        <w:spacing w:after="0" w:line="23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0"/>
          <w:szCs w:val="20"/>
          <w:color w:val="auto"/>
        </w:rPr>
        <w:t>The information set forth in this Item 7.01 shall not be deemed to be “filed” for purposes of Section 18 of the Securities Exchange Act of 1934, as amended,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69" w:right="47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341" w:lineRule="exact"/>
        <w:rPr>
          <w:sz w:val="20"/>
          <w:szCs w:val="20"/>
          <w:color w:val="auto"/>
        </w:rPr>
      </w:pPr>
    </w:p>
    <w:p>
      <w:pPr>
        <w:ind w:firstLine="648"/>
        <w:spacing w:after="0" w:line="32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3260" w:type="dxa"/>
            <w:vAlign w:val="bottom"/>
          </w:tcPr>
          <w:p>
            <w:pPr>
              <w:spacing w:after="0"/>
              <w:rPr>
                <w:sz w:val="22"/>
                <w:szCs w:val="22"/>
                <w:color w:val="auto"/>
              </w:rPr>
            </w:pPr>
          </w:p>
        </w:tc>
        <w:tc>
          <w:tcPr>
            <w:tcW w:w="67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VERTEX PHARMACEUTICALS INCORPORATED</w:t>
            </w:r>
          </w:p>
        </w:tc>
      </w:tr>
      <w:tr>
        <w:trPr>
          <w:trHeight w:val="258"/>
        </w:trPr>
        <w:tc>
          <w:tcPr>
            <w:tcW w:w="3260" w:type="dxa"/>
            <w:vAlign w:val="bottom"/>
          </w:tcPr>
          <w:p>
            <w:pPr>
              <w:spacing w:after="0"/>
              <w:rPr>
                <w:sz w:val="22"/>
                <w:szCs w:val="22"/>
                <w:color w:val="auto"/>
              </w:rPr>
            </w:pPr>
          </w:p>
        </w:tc>
        <w:tc>
          <w:tcPr>
            <w:tcW w:w="6700" w:type="dxa"/>
            <w:vAlign w:val="bottom"/>
          </w:tcPr>
          <w:p>
            <w:pPr>
              <w:ind w:left="1800"/>
              <w:spacing w:after="0"/>
              <w:rPr>
                <w:sz w:val="20"/>
                <w:szCs w:val="20"/>
                <w:color w:val="auto"/>
              </w:rPr>
            </w:pPr>
            <w:r>
              <w:rPr>
                <w:rFonts w:ascii="Times New Roman" w:cs="Times New Roman" w:eastAsia="Times New Roman" w:hAnsi="Times New Roman"/>
                <w:sz w:val="20"/>
                <w:szCs w:val="20"/>
                <w:color w:val="auto"/>
              </w:rPr>
              <w:t>(Registrant)</w:t>
            </w:r>
          </w:p>
        </w:tc>
      </w:tr>
      <w:tr>
        <w:trPr>
          <w:trHeight w:val="530"/>
        </w:trPr>
        <w:tc>
          <w:tcPr>
            <w:tcW w:w="3260" w:type="dxa"/>
            <w:vAlign w:val="bottom"/>
          </w:tcPr>
          <w:p>
            <w:pPr>
              <w:spacing w:after="0"/>
              <w:rPr>
                <w:sz w:val="20"/>
                <w:szCs w:val="20"/>
                <w:color w:val="auto"/>
              </w:rPr>
            </w:pPr>
            <w:r>
              <w:rPr>
                <w:rFonts w:ascii="Times New Roman" w:cs="Times New Roman" w:eastAsia="Times New Roman" w:hAnsi="Times New Roman"/>
                <w:sz w:val="20"/>
                <w:szCs w:val="20"/>
                <w:color w:val="auto"/>
              </w:rPr>
              <w:t>Date: December 20, 2024</w:t>
            </w:r>
          </w:p>
        </w:tc>
        <w:tc>
          <w:tcPr>
            <w:tcW w:w="6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Jonathan Biller</w:t>
            </w:r>
          </w:p>
        </w:tc>
      </w:tr>
      <w:tr>
        <w:trPr>
          <w:trHeight w:val="244"/>
        </w:trPr>
        <w:tc>
          <w:tcPr>
            <w:tcW w:w="3260" w:type="dxa"/>
            <w:vAlign w:val="bottom"/>
          </w:tcPr>
          <w:p>
            <w:pPr>
              <w:spacing w:after="0"/>
              <w:rPr>
                <w:sz w:val="21"/>
                <w:szCs w:val="21"/>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Jonathan Biller</w:t>
            </w:r>
          </w:p>
        </w:tc>
      </w:tr>
      <w:tr>
        <w:trPr>
          <w:trHeight w:val="258"/>
        </w:trPr>
        <w:tc>
          <w:tcPr>
            <w:tcW w:w="3260" w:type="dxa"/>
            <w:vAlign w:val="bottom"/>
          </w:tcPr>
          <w:p>
            <w:pPr>
              <w:spacing w:after="0"/>
              <w:rPr>
                <w:sz w:val="22"/>
                <w:szCs w:val="22"/>
                <w:color w:val="auto"/>
              </w:rPr>
            </w:pPr>
          </w:p>
        </w:tc>
        <w:tc>
          <w:tcPr>
            <w:tcW w:w="67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Executive Vice President, Chief Legal Officer</w:t>
            </w:r>
          </w:p>
        </w:tc>
      </w:tr>
    </w:tbl>
    <w:p>
      <w:pPr>
        <w:spacing w:after="0" w:line="1" w:lineRule="exact"/>
        <w:rPr>
          <w:sz w:val="20"/>
          <w:szCs w:val="20"/>
          <w:color w:val="auto"/>
        </w:rPr>
      </w:pPr>
    </w:p>
    <w:sectPr>
      <w:pgSz w:w="11900" w:h="16838" w:orient="portrait"/>
      <w:cols w:equalWidth="0" w:num="1">
        <w:col w:w="10940"/>
      </w:cols>
      <w:pgMar w:left="320" w:top="1125"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2024-12-20T14:57:21Z</dcterms:created>
  <dcterms:modified xsi:type="dcterms:W3CDTF">2024-12-20T14:57:21Z</dcterms:modified>
</cp:coreProperties>
</file>