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Report (Date of earliest event reported) December 8, 2023</w:t>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Vertex Pharmaceuticals Incorporated</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9" w:lineRule="exact"/>
        <w:rPr>
          <w:sz w:val="24"/>
          <w:szCs w:val="24"/>
          <w:color w:val="auto"/>
        </w:rPr>
      </w:pPr>
    </w:p>
    <w:tbl>
      <w:tblPr>
        <w:tblLayout w:type="fixed"/>
        <w:tblInd w:w="440" w:type="dxa"/>
        <w:tblCellMar>
          <w:top w:w="0" w:type="dxa"/>
          <w:left w:w="0" w:type="dxa"/>
          <w:bottom w:w="0" w:type="dxa"/>
          <w:right w:w="0" w:type="dxa"/>
        </w:tblCellMar>
      </w:tblPr>
      <w:tr>
        <w:trPr>
          <w:trHeight w:val="313"/>
        </w:trPr>
        <w:tc>
          <w:tcPr>
            <w:tcW w:w="3080" w:type="dxa"/>
            <w:vAlign w:val="bottom"/>
          </w:tcPr>
          <w:p>
            <w:pPr>
              <w:jc w:val="center"/>
              <w:ind w:right="106"/>
              <w:spacing w:after="0"/>
              <w:rPr>
                <w:sz w:val="20"/>
                <w:szCs w:val="20"/>
                <w:color w:val="auto"/>
              </w:rPr>
            </w:pPr>
            <w:r>
              <w:rPr>
                <w:rFonts w:ascii="Times New Roman" w:cs="Times New Roman" w:eastAsia="Times New Roman" w:hAnsi="Times New Roman"/>
                <w:sz w:val="22"/>
                <w:szCs w:val="22"/>
                <w:b w:val="1"/>
                <w:bCs w:val="1"/>
                <w:color w:val="auto"/>
                <w:w w:val="97"/>
              </w:rPr>
              <w:t>Massachusetts</w:t>
            </w:r>
          </w:p>
        </w:tc>
        <w:tc>
          <w:tcPr>
            <w:tcW w:w="4340" w:type="dxa"/>
            <w:vAlign w:val="bottom"/>
          </w:tcPr>
          <w:p>
            <w:pPr>
              <w:jc w:val="center"/>
              <w:ind w:right="62"/>
              <w:spacing w:after="0"/>
              <w:rPr>
                <w:sz w:val="20"/>
                <w:szCs w:val="20"/>
                <w:color w:val="auto"/>
              </w:rPr>
            </w:pPr>
            <w:r>
              <w:rPr>
                <w:rFonts w:ascii="Times New Roman" w:cs="Times New Roman" w:eastAsia="Times New Roman" w:hAnsi="Times New Roman"/>
                <w:sz w:val="22"/>
                <w:szCs w:val="22"/>
                <w:b w:val="1"/>
                <w:bCs w:val="1"/>
                <w:color w:val="auto"/>
                <w:w w:val="98"/>
              </w:rPr>
              <w:t>000-19319</w:t>
            </w:r>
          </w:p>
        </w:tc>
        <w:tc>
          <w:tcPr>
            <w:tcW w:w="2660" w:type="dxa"/>
            <w:vAlign w:val="bottom"/>
          </w:tcPr>
          <w:p>
            <w:pPr>
              <w:jc w:val="right"/>
              <w:ind w:right="546"/>
              <w:spacing w:after="0"/>
              <w:rPr>
                <w:sz w:val="20"/>
                <w:szCs w:val="20"/>
                <w:color w:val="auto"/>
              </w:rPr>
            </w:pPr>
            <w:r>
              <w:rPr>
                <w:rFonts w:ascii="Times New Roman" w:cs="Times New Roman" w:eastAsia="Times New Roman" w:hAnsi="Times New Roman"/>
                <w:sz w:val="22"/>
                <w:szCs w:val="22"/>
                <w:b w:val="1"/>
                <w:bCs w:val="1"/>
                <w:color w:val="auto"/>
              </w:rPr>
              <w:t>04-3039129</w:t>
            </w:r>
          </w:p>
        </w:tc>
      </w:tr>
      <w:tr>
        <w:trPr>
          <w:trHeight w:val="225"/>
        </w:trPr>
        <w:tc>
          <w:tcPr>
            <w:tcW w:w="3080" w:type="dxa"/>
            <w:vAlign w:val="bottom"/>
          </w:tcPr>
          <w:p>
            <w:pPr>
              <w:jc w:val="center"/>
              <w:ind w:right="106"/>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w:t>
            </w:r>
          </w:p>
        </w:tc>
        <w:tc>
          <w:tcPr>
            <w:tcW w:w="4340" w:type="dxa"/>
            <w:vAlign w:val="bottom"/>
          </w:tcPr>
          <w:p>
            <w:pPr>
              <w:jc w:val="center"/>
              <w:ind w:right="42"/>
              <w:spacing w:after="0"/>
              <w:rPr>
                <w:sz w:val="20"/>
                <w:szCs w:val="20"/>
                <w:color w:val="auto"/>
              </w:rPr>
            </w:pPr>
            <w:r>
              <w:rPr>
                <w:rFonts w:ascii="Times New Roman" w:cs="Times New Roman" w:eastAsia="Times New Roman" w:hAnsi="Times New Roman"/>
                <w:sz w:val="16"/>
                <w:szCs w:val="16"/>
                <w:i w:val="1"/>
                <w:iCs w:val="1"/>
                <w:color w:val="auto"/>
              </w:rPr>
              <w:t>(Commission File Number)</w:t>
            </w:r>
          </w:p>
        </w:tc>
        <w:tc>
          <w:tcPr>
            <w:tcW w:w="2660" w:type="dxa"/>
            <w:vAlign w:val="bottom"/>
          </w:tcPr>
          <w:p>
            <w:pPr>
              <w:jc w:val="center"/>
              <w:ind w:left="246"/>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r>
      <w:tr>
        <w:trPr>
          <w:trHeight w:val="396"/>
        </w:trPr>
        <w:tc>
          <w:tcPr>
            <w:tcW w:w="3080" w:type="dxa"/>
            <w:vAlign w:val="bottom"/>
          </w:tcPr>
          <w:p>
            <w:pPr>
              <w:spacing w:after="0"/>
              <w:rPr>
                <w:sz w:val="24"/>
                <w:szCs w:val="24"/>
                <w:color w:val="auto"/>
              </w:rPr>
            </w:pPr>
          </w:p>
        </w:tc>
        <w:tc>
          <w:tcPr>
            <w:tcW w:w="4340" w:type="dxa"/>
            <w:vAlign w:val="bottom"/>
          </w:tcPr>
          <w:p>
            <w:pPr>
              <w:jc w:val="center"/>
              <w:ind w:right="22"/>
              <w:spacing w:after="0"/>
              <w:rPr>
                <w:sz w:val="20"/>
                <w:szCs w:val="20"/>
                <w:color w:val="auto"/>
              </w:rPr>
            </w:pPr>
            <w:r>
              <w:rPr>
                <w:rFonts w:ascii="Times New Roman" w:cs="Times New Roman" w:eastAsia="Times New Roman" w:hAnsi="Times New Roman"/>
                <w:sz w:val="22"/>
                <w:szCs w:val="22"/>
                <w:b w:val="1"/>
                <w:bCs w:val="1"/>
                <w:color w:val="auto"/>
                <w:w w:val="96"/>
              </w:rPr>
              <w:t>50 Northern Avenue</w:t>
            </w:r>
          </w:p>
        </w:tc>
        <w:tc>
          <w:tcPr>
            <w:tcW w:w="2660" w:type="dxa"/>
            <w:vAlign w:val="bottom"/>
          </w:tcPr>
          <w:p>
            <w:pPr>
              <w:spacing w:after="0"/>
              <w:rPr>
                <w:sz w:val="24"/>
                <w:szCs w:val="24"/>
                <w:color w:val="auto"/>
              </w:rPr>
            </w:pPr>
          </w:p>
        </w:tc>
      </w:tr>
      <w:tr>
        <w:trPr>
          <w:trHeight w:val="324"/>
        </w:trPr>
        <w:tc>
          <w:tcPr>
            <w:tcW w:w="3080" w:type="dxa"/>
            <w:vAlign w:val="bottom"/>
          </w:tcPr>
          <w:p>
            <w:pPr>
              <w:spacing w:after="0"/>
              <w:rPr>
                <w:sz w:val="24"/>
                <w:szCs w:val="24"/>
                <w:color w:val="auto"/>
              </w:rPr>
            </w:pPr>
          </w:p>
        </w:tc>
        <w:tc>
          <w:tcPr>
            <w:tcW w:w="4340" w:type="dxa"/>
            <w:vAlign w:val="bottom"/>
          </w:tcPr>
          <w:p>
            <w:pPr>
              <w:jc w:val="center"/>
              <w:ind w:right="42"/>
              <w:spacing w:after="0"/>
              <w:rPr>
                <w:sz w:val="20"/>
                <w:szCs w:val="20"/>
                <w:color w:val="auto"/>
              </w:rPr>
            </w:pPr>
            <w:r>
              <w:rPr>
                <w:rFonts w:ascii="Times New Roman" w:cs="Times New Roman" w:eastAsia="Times New Roman" w:hAnsi="Times New Roman"/>
                <w:sz w:val="22"/>
                <w:szCs w:val="22"/>
                <w:b w:val="1"/>
                <w:bCs w:val="1"/>
                <w:color w:val="auto"/>
                <w:w w:val="98"/>
              </w:rPr>
              <w:t>Boston, Massachusetts 02210</w:t>
            </w:r>
          </w:p>
        </w:tc>
        <w:tc>
          <w:tcPr>
            <w:tcW w:w="2660" w:type="dxa"/>
            <w:vAlign w:val="bottom"/>
          </w:tcPr>
          <w:p>
            <w:pPr>
              <w:spacing w:after="0"/>
              <w:rPr>
                <w:sz w:val="24"/>
                <w:szCs w:val="24"/>
                <w:color w:val="auto"/>
              </w:rPr>
            </w:pPr>
          </w:p>
        </w:tc>
      </w:tr>
      <w:tr>
        <w:trPr>
          <w:trHeight w:val="225"/>
        </w:trPr>
        <w:tc>
          <w:tcPr>
            <w:tcW w:w="3080" w:type="dxa"/>
            <w:vAlign w:val="bottom"/>
          </w:tcPr>
          <w:p>
            <w:pPr>
              <w:spacing w:after="0"/>
              <w:rPr>
                <w:sz w:val="19"/>
                <w:szCs w:val="19"/>
                <w:color w:val="auto"/>
              </w:rPr>
            </w:pPr>
          </w:p>
        </w:tc>
        <w:tc>
          <w:tcPr>
            <w:tcW w:w="4340" w:type="dxa"/>
            <w:vAlign w:val="bottom"/>
          </w:tcPr>
          <w:p>
            <w:pPr>
              <w:jc w:val="center"/>
              <w:ind w:right="42"/>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tc>
        <w:tc>
          <w:tcPr>
            <w:tcW w:w="2660" w:type="dxa"/>
            <w:vAlign w:val="bottom"/>
          </w:tcPr>
          <w:p>
            <w:pPr>
              <w:spacing w:after="0"/>
              <w:rPr>
                <w:sz w:val="19"/>
                <w:szCs w:val="19"/>
                <w:color w:val="auto"/>
              </w:rPr>
            </w:pPr>
          </w:p>
        </w:tc>
      </w:tr>
      <w:tr>
        <w:trPr>
          <w:trHeight w:val="539"/>
        </w:trPr>
        <w:tc>
          <w:tcPr>
            <w:tcW w:w="3080" w:type="dxa"/>
            <w:vAlign w:val="bottom"/>
          </w:tcPr>
          <w:p>
            <w:pPr>
              <w:spacing w:after="0"/>
              <w:rPr>
                <w:sz w:val="24"/>
                <w:szCs w:val="24"/>
                <w:color w:val="auto"/>
              </w:rPr>
            </w:pPr>
          </w:p>
        </w:tc>
        <w:tc>
          <w:tcPr>
            <w:tcW w:w="4340" w:type="dxa"/>
            <w:vAlign w:val="bottom"/>
          </w:tcPr>
          <w:p>
            <w:pPr>
              <w:jc w:val="center"/>
              <w:ind w:right="42"/>
              <w:spacing w:after="0"/>
              <w:rPr>
                <w:sz w:val="20"/>
                <w:szCs w:val="20"/>
                <w:color w:val="auto"/>
              </w:rPr>
            </w:pPr>
            <w:r>
              <w:rPr>
                <w:rFonts w:ascii="Times New Roman" w:cs="Times New Roman" w:eastAsia="Times New Roman" w:hAnsi="Times New Roman"/>
                <w:sz w:val="22"/>
                <w:szCs w:val="22"/>
                <w:b w:val="1"/>
                <w:bCs w:val="1"/>
                <w:color w:val="auto"/>
                <w:w w:val="98"/>
              </w:rPr>
              <w:t>(617) 341-6100</w:t>
            </w:r>
          </w:p>
        </w:tc>
        <w:tc>
          <w:tcPr>
            <w:tcW w:w="2660" w:type="dxa"/>
            <w:vAlign w:val="bottom"/>
          </w:tcPr>
          <w:p>
            <w:pPr>
              <w:spacing w:after="0"/>
              <w:rPr>
                <w:sz w:val="24"/>
                <w:szCs w:val="24"/>
                <w:color w:val="auto"/>
              </w:rPr>
            </w:pPr>
          </w:p>
        </w:tc>
      </w:tr>
      <w:tr>
        <w:trPr>
          <w:trHeight w:val="236"/>
        </w:trPr>
        <w:tc>
          <w:tcPr>
            <w:tcW w:w="3080" w:type="dxa"/>
            <w:vAlign w:val="bottom"/>
          </w:tcPr>
          <w:p>
            <w:pPr>
              <w:spacing w:after="0"/>
              <w:rPr>
                <w:sz w:val="20"/>
                <w:szCs w:val="20"/>
                <w:color w:val="auto"/>
              </w:rPr>
            </w:pPr>
          </w:p>
        </w:tc>
        <w:tc>
          <w:tcPr>
            <w:tcW w:w="4340" w:type="dxa"/>
            <w:vAlign w:val="bottom"/>
          </w:tcPr>
          <w:p>
            <w:pPr>
              <w:jc w:val="center"/>
              <w:ind w:right="22"/>
              <w:spacing w:after="0"/>
              <w:rPr>
                <w:sz w:val="20"/>
                <w:szCs w:val="20"/>
                <w:color w:val="auto"/>
              </w:rPr>
            </w:pPr>
            <w:r>
              <w:rPr>
                <w:rFonts w:ascii="Times New Roman" w:cs="Times New Roman" w:eastAsia="Times New Roman" w:hAnsi="Times New Roman"/>
                <w:sz w:val="18"/>
                <w:szCs w:val="18"/>
                <w:i w:val="1"/>
                <w:iCs w:val="1"/>
                <w:color w:val="auto"/>
                <w:w w:val="99"/>
              </w:rPr>
              <w:t>(Registrant's telephone number, including area code)</w:t>
            </w:r>
          </w:p>
        </w:tc>
        <w:tc>
          <w:tcPr>
            <w:tcW w:w="2660" w:type="dxa"/>
            <w:vAlign w:val="bottom"/>
          </w:tcPr>
          <w:p>
            <w:pPr>
              <w:spacing w:after="0"/>
              <w:rPr>
                <w:sz w:val="20"/>
                <w:szCs w:val="20"/>
                <w:color w:val="auto"/>
              </w:rPr>
            </w:pPr>
          </w:p>
        </w:tc>
      </w:tr>
    </w:tbl>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271" w:lineRule="exact"/>
        <w:rPr>
          <w:sz w:val="24"/>
          <w:szCs w:val="24"/>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56"/>
        </w:trPr>
        <w:tc>
          <w:tcPr>
            <w:tcW w:w="46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Title of each class</w:t>
            </w:r>
          </w:p>
        </w:tc>
        <w:tc>
          <w:tcPr>
            <w:tcW w:w="24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Trading Symbol</w:t>
            </w:r>
          </w:p>
        </w:tc>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418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r>
      <w:tr>
        <w:trPr>
          <w:trHeight w:val="204"/>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44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VRTX</w:t>
            </w:r>
          </w:p>
        </w:tc>
        <w:tc>
          <w:tcPr>
            <w:tcW w:w="440" w:type="dxa"/>
            <w:vAlign w:val="bottom"/>
          </w:tcPr>
          <w:p>
            <w:pPr>
              <w:spacing w:after="0"/>
              <w:rPr>
                <w:sz w:val="17"/>
                <w:szCs w:val="17"/>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40"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231F20"/>
        </w:rPr>
        <w:t xml:space="preserve">Emerging growth company </w:t>
      </w:r>
      <w:r>
        <w:rPr>
          <w:rFonts w:ascii="MS PGothic" w:cs="MS PGothic" w:eastAsia="MS PGothic" w:hAnsi="MS PGothic"/>
          <w:sz w:val="16"/>
          <w:szCs w:val="16"/>
          <w:color w:val="000000"/>
        </w:rPr>
        <w:t>☐</w:t>
      </w:r>
    </w:p>
    <w:p>
      <w:pPr>
        <w:spacing w:after="0" w:line="284"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523240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8.01. Other Events.</w:t>
      </w:r>
    </w:p>
    <w:p>
      <w:pPr>
        <w:spacing w:after="0" w:line="287" w:lineRule="exact"/>
        <w:rPr>
          <w:sz w:val="20"/>
          <w:szCs w:val="20"/>
          <w:color w:val="auto"/>
        </w:rPr>
      </w:pPr>
    </w:p>
    <w:p>
      <w:pPr>
        <w:jc w:val="both"/>
        <w:ind w:firstLine="648"/>
        <w:spacing w:after="0" w:line="240" w:lineRule="exact"/>
        <w:rPr>
          <w:sz w:val="20"/>
          <w:szCs w:val="20"/>
          <w:color w:val="auto"/>
        </w:rPr>
      </w:pPr>
      <w:r>
        <w:rPr>
          <w:rFonts w:ascii="Times New Roman" w:cs="Times New Roman" w:eastAsia="Times New Roman" w:hAnsi="Times New Roman"/>
          <w:sz w:val="20"/>
          <w:szCs w:val="20"/>
          <w:color w:val="auto"/>
        </w:rPr>
        <w:t>On December 8, 2023, the U.S. Food and Drug Administration approved CASGEVY™ (exagamglogene autotemcel). CASGEVY is an autologous genome edited hematopoietic stem cell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based gene therapy indicated for the treatment of sickle cell disease in people 12 years and older with recurrent vaso</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occlusive crises.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have established a wholesale acquisition cost for CASGEVY in the United States of $2.2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2" w:right="41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41" w:lineRule="exact"/>
        <w:rPr>
          <w:sz w:val="20"/>
          <w:szCs w:val="20"/>
          <w:color w:val="auto"/>
        </w:rPr>
      </w:pPr>
    </w:p>
    <w:p>
      <w:pPr>
        <w:ind w:firstLine="648"/>
        <w:spacing w:after="0" w:line="32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3260" w:type="dxa"/>
            <w:vAlign w:val="bottom"/>
          </w:tcPr>
          <w:p>
            <w:pPr>
              <w:spacing w:after="0"/>
              <w:rPr>
                <w:sz w:val="22"/>
                <w:szCs w:val="22"/>
                <w:color w:val="auto"/>
              </w:rPr>
            </w:pPr>
          </w:p>
        </w:tc>
        <w:tc>
          <w:tcPr>
            <w:tcW w:w="67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VERTEX PHARMACEUTICALS INCORPORATED</w:t>
            </w:r>
          </w:p>
        </w:tc>
      </w:tr>
      <w:tr>
        <w:trPr>
          <w:trHeight w:val="258"/>
        </w:trPr>
        <w:tc>
          <w:tcPr>
            <w:tcW w:w="3260" w:type="dxa"/>
            <w:vAlign w:val="bottom"/>
          </w:tcPr>
          <w:p>
            <w:pPr>
              <w:spacing w:after="0"/>
              <w:rPr>
                <w:sz w:val="22"/>
                <w:szCs w:val="22"/>
                <w:color w:val="auto"/>
              </w:rPr>
            </w:pPr>
          </w:p>
        </w:tc>
        <w:tc>
          <w:tcPr>
            <w:tcW w:w="670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(Registrant)</w:t>
            </w:r>
          </w:p>
        </w:tc>
      </w:tr>
      <w:tr>
        <w:trPr>
          <w:trHeight w:val="530"/>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Date: December 8, 2023</w:t>
            </w:r>
          </w:p>
        </w:tc>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Jonathan Biller</w:t>
            </w:r>
          </w:p>
        </w:tc>
      </w:tr>
      <w:tr>
        <w:trPr>
          <w:trHeight w:val="244"/>
        </w:trPr>
        <w:tc>
          <w:tcPr>
            <w:tcW w:w="326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Jonathan Biller</w:t>
            </w:r>
          </w:p>
        </w:tc>
      </w:tr>
      <w:tr>
        <w:trPr>
          <w:trHeight w:val="258"/>
        </w:trPr>
        <w:tc>
          <w:tcPr>
            <w:tcW w:w="3260" w:type="dxa"/>
            <w:vAlign w:val="bottom"/>
          </w:tcPr>
          <w:p>
            <w:pPr>
              <w:spacing w:after="0"/>
              <w:rPr>
                <w:sz w:val="22"/>
                <w:szCs w:val="22"/>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Executive Vice President, Chief Legal Officer</w:t>
            </w:r>
          </w:p>
        </w:tc>
      </w:tr>
    </w:tbl>
    <w:p>
      <w:pPr>
        <w:spacing w:after="0" w:line="1" w:lineRule="exact"/>
        <w:rPr>
          <w:sz w:val="20"/>
          <w:szCs w:val="20"/>
          <w:color w:val="auto"/>
        </w:rPr>
      </w:pPr>
    </w:p>
    <w:sectPr>
      <w:pgSz w:w="11900" w:h="16838" w:orient="portrait"/>
      <w:cols w:equalWidth="0" w:num="1">
        <w:col w:w="10940"/>
      </w:cols>
      <w:pgMar w:left="320" w:top="1125"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2023-12-08T12:02:43Z</dcterms:created>
  <dcterms:modified xsi:type="dcterms:W3CDTF">2023-12-08T12:02:43Z</dcterms:modified>
</cp:coreProperties>
</file>