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68580</wp:posOffset>
            </wp:positionH>
            <wp:positionV relativeFrom="paragraph">
              <wp:posOffset>689610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647065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________________________________________________________</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44" w:lineRule="exact"/>
        <w:rPr>
          <w:sz w:val="24"/>
          <w:szCs w:val="24"/>
          <w:color w:val="auto"/>
        </w:rPr>
      </w:pPr>
    </w:p>
    <w:p>
      <w:pPr>
        <w:ind w:left="200" w:hanging="200"/>
        <w:spacing w:after="0"/>
        <w:tabs>
          <w:tab w:leader="none" w:pos="2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200" w:hanging="200"/>
        <w:spacing w:after="0"/>
        <w:tabs>
          <w:tab w:leader="none" w:pos="20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88" w:lineRule="exact"/>
        <w:rPr>
          <w:sz w:val="24"/>
          <w:szCs w:val="24"/>
          <w:color w:val="auto"/>
        </w:rPr>
      </w:pPr>
    </w:p>
    <w:p>
      <w:pPr>
        <w:ind w:left="37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4487545</wp:posOffset>
            </wp:positionH>
            <wp:positionV relativeFrom="paragraph">
              <wp:posOffset>-7620</wp:posOffset>
            </wp:positionV>
            <wp:extent cx="5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-7620</wp:posOffset>
            </wp:positionV>
            <wp:extent cx="5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9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000-19319</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Vertex Pharmaceuticals Incorporated</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040" w:type="dxa"/>
            <w:vAlign w:val="bottom"/>
          </w:tcPr>
          <w:p>
            <w:pPr>
              <w:jc w:val="center"/>
              <w:ind w:right="1564"/>
              <w:spacing w:after="0"/>
              <w:rPr>
                <w:sz w:val="20"/>
                <w:szCs w:val="20"/>
                <w:color w:val="auto"/>
              </w:rPr>
            </w:pPr>
            <w:r>
              <w:rPr>
                <w:rFonts w:ascii="Arial" w:cs="Arial" w:eastAsia="Arial" w:hAnsi="Arial"/>
                <w:sz w:val="18"/>
                <w:szCs w:val="18"/>
                <w:b w:val="1"/>
                <w:bCs w:val="1"/>
                <w:color w:val="auto"/>
                <w:w w:val="86"/>
              </w:rPr>
              <w:t>Massachusetts</w:t>
            </w:r>
          </w:p>
        </w:tc>
        <w:tc>
          <w:tcPr>
            <w:tcW w:w="3480" w:type="dxa"/>
            <w:vAlign w:val="bottom"/>
          </w:tcPr>
          <w:p>
            <w:pPr>
              <w:jc w:val="right"/>
              <w:ind w:right="404"/>
              <w:spacing w:after="0"/>
              <w:rPr>
                <w:sz w:val="20"/>
                <w:szCs w:val="20"/>
                <w:color w:val="auto"/>
              </w:rPr>
            </w:pPr>
            <w:r>
              <w:rPr>
                <w:rFonts w:ascii="Arial" w:cs="Arial" w:eastAsia="Arial" w:hAnsi="Arial"/>
                <w:sz w:val="18"/>
                <w:szCs w:val="18"/>
                <w:b w:val="1"/>
                <w:bCs w:val="1"/>
                <w:color w:val="auto"/>
              </w:rPr>
              <w:t>04-3039129</w:t>
            </w:r>
          </w:p>
        </w:tc>
      </w:tr>
      <w:tr>
        <w:trPr>
          <w:trHeight w:val="160"/>
        </w:trPr>
        <w:tc>
          <w:tcPr>
            <w:tcW w:w="5040" w:type="dxa"/>
            <w:vAlign w:val="bottom"/>
          </w:tcPr>
          <w:p>
            <w:pPr>
              <w:ind w:left="120"/>
              <w:spacing w:after="0"/>
              <w:rPr>
                <w:sz w:val="20"/>
                <w:szCs w:val="20"/>
                <w:color w:val="auto"/>
              </w:rPr>
            </w:pPr>
            <w:r>
              <w:rPr>
                <w:rFonts w:ascii="Arial" w:cs="Arial" w:eastAsia="Arial" w:hAnsi="Arial"/>
                <w:sz w:val="13"/>
                <w:szCs w:val="13"/>
                <w:color w:val="auto"/>
              </w:rPr>
              <w:t>(State or other jurisdiction of incorporation or organization)</w:t>
            </w:r>
          </w:p>
        </w:tc>
        <w:tc>
          <w:tcPr>
            <w:tcW w:w="3480" w:type="dxa"/>
            <w:vAlign w:val="bottom"/>
          </w:tcPr>
          <w:p>
            <w:pPr>
              <w:jc w:val="center"/>
              <w:ind w:left="1564"/>
              <w:spacing w:after="0"/>
              <w:rPr>
                <w:sz w:val="20"/>
                <w:szCs w:val="20"/>
                <w:color w:val="auto"/>
              </w:rPr>
            </w:pPr>
            <w:r>
              <w:rPr>
                <w:rFonts w:ascii="Arial" w:cs="Arial" w:eastAsia="Arial" w:hAnsi="Arial"/>
                <w:sz w:val="13"/>
                <w:szCs w:val="13"/>
                <w:color w:val="auto"/>
                <w:w w:val="91"/>
              </w:rPr>
              <w:t>(I.R.S. Employer Identification No.)</w:t>
            </w:r>
          </w:p>
        </w:tc>
      </w:tr>
      <w:tr>
        <w:trPr>
          <w:trHeight w:val="609"/>
        </w:trPr>
        <w:tc>
          <w:tcPr>
            <w:tcW w:w="5040" w:type="dxa"/>
            <w:vAlign w:val="bottom"/>
          </w:tcPr>
          <w:p>
            <w:pPr>
              <w:jc w:val="center"/>
              <w:ind w:right="1584"/>
              <w:spacing w:after="0"/>
              <w:rPr>
                <w:sz w:val="20"/>
                <w:szCs w:val="20"/>
                <w:color w:val="auto"/>
              </w:rPr>
            </w:pPr>
            <w:r>
              <w:rPr>
                <w:rFonts w:ascii="Arial" w:cs="Arial" w:eastAsia="Arial" w:hAnsi="Arial"/>
                <w:sz w:val="18"/>
                <w:szCs w:val="18"/>
                <w:b w:val="1"/>
                <w:bCs w:val="1"/>
                <w:color w:val="auto"/>
                <w:w w:val="88"/>
              </w:rPr>
              <w:t>50 Northern Avenue, Boston, Massachusetts</w:t>
            </w:r>
          </w:p>
        </w:tc>
        <w:tc>
          <w:tcPr>
            <w:tcW w:w="3480" w:type="dxa"/>
            <w:vAlign w:val="bottom"/>
          </w:tcPr>
          <w:p>
            <w:pPr>
              <w:jc w:val="right"/>
              <w:ind w:right="624"/>
              <w:spacing w:after="0"/>
              <w:rPr>
                <w:sz w:val="20"/>
                <w:szCs w:val="20"/>
                <w:color w:val="auto"/>
              </w:rPr>
            </w:pPr>
            <w:r>
              <w:rPr>
                <w:rFonts w:ascii="Arial" w:cs="Arial" w:eastAsia="Arial" w:hAnsi="Arial"/>
                <w:sz w:val="18"/>
                <w:szCs w:val="18"/>
                <w:b w:val="1"/>
                <w:bCs w:val="1"/>
                <w:color w:val="auto"/>
              </w:rPr>
              <w:t>02210</w:t>
            </w:r>
          </w:p>
        </w:tc>
      </w:tr>
      <w:tr>
        <w:trPr>
          <w:trHeight w:val="160"/>
        </w:trPr>
        <w:tc>
          <w:tcPr>
            <w:tcW w:w="5040" w:type="dxa"/>
            <w:vAlign w:val="bottom"/>
          </w:tcPr>
          <w:p>
            <w:pPr>
              <w:jc w:val="center"/>
              <w:ind w:right="1564"/>
              <w:spacing w:after="0"/>
              <w:rPr>
                <w:sz w:val="20"/>
                <w:szCs w:val="20"/>
                <w:color w:val="auto"/>
              </w:rPr>
            </w:pPr>
            <w:r>
              <w:rPr>
                <w:rFonts w:ascii="Arial" w:cs="Arial" w:eastAsia="Arial" w:hAnsi="Arial"/>
                <w:sz w:val="13"/>
                <w:szCs w:val="13"/>
                <w:color w:val="auto"/>
                <w:w w:val="89"/>
              </w:rPr>
              <w:t>(Address of principal executive offices)</w:t>
            </w:r>
          </w:p>
        </w:tc>
        <w:tc>
          <w:tcPr>
            <w:tcW w:w="3480" w:type="dxa"/>
            <w:vAlign w:val="bottom"/>
          </w:tcPr>
          <w:p>
            <w:pPr>
              <w:jc w:val="center"/>
              <w:ind w:left="1564"/>
              <w:spacing w:after="0"/>
              <w:rPr>
                <w:sz w:val="20"/>
                <w:szCs w:val="20"/>
                <w:color w:val="auto"/>
              </w:rPr>
            </w:pPr>
            <w:r>
              <w:rPr>
                <w:rFonts w:ascii="Arial" w:cs="Arial" w:eastAsia="Arial" w:hAnsi="Arial"/>
                <w:sz w:val="13"/>
                <w:szCs w:val="13"/>
                <w:color w:val="auto"/>
                <w:w w:val="91"/>
              </w:rPr>
              <w:t>(Zip Code)</w:t>
            </w:r>
          </w:p>
        </w:tc>
      </w:tr>
    </w:tbl>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341-6100</w:t>
      </w:r>
    </w:p>
    <w:p>
      <w:pPr>
        <w:spacing w:after="0" w:line="6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54" w:lineRule="exact"/>
        <w:rPr>
          <w:sz w:val="24"/>
          <w:szCs w:val="24"/>
          <w:color w:val="auto"/>
        </w:rPr>
      </w:pPr>
    </w:p>
    <w:tbl>
      <w:tblPr>
        <w:tblLayout w:type="fixed"/>
        <w:tblInd w:w="100" w:type="dxa"/>
        <w:tblCellMar>
          <w:top w:w="0" w:type="dxa"/>
          <w:left w:w="0" w:type="dxa"/>
          <w:bottom w:w="0" w:type="dxa"/>
          <w:right w:w="0" w:type="dxa"/>
        </w:tblCellMar>
      </w:tblPr>
      <w:tr>
        <w:trPr>
          <w:trHeight w:val="206"/>
        </w:trPr>
        <w:tc>
          <w:tcPr>
            <w:tcW w:w="3640" w:type="dxa"/>
            <w:vAlign w:val="bottom"/>
          </w:tcPr>
          <w:p>
            <w:pPr>
              <w:spacing w:after="0"/>
              <w:rPr>
                <w:sz w:val="17"/>
                <w:szCs w:val="17"/>
                <w:color w:val="auto"/>
              </w:rPr>
            </w:pPr>
          </w:p>
        </w:tc>
        <w:tc>
          <w:tcPr>
            <w:tcW w:w="39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17"/>
                <w:szCs w:val="17"/>
                <w:color w:val="auto"/>
              </w:rPr>
            </w:pPr>
          </w:p>
        </w:tc>
      </w:tr>
      <w:tr>
        <w:trPr>
          <w:trHeight w:val="256"/>
        </w:trPr>
        <w:tc>
          <w:tcPr>
            <w:tcW w:w="3640" w:type="dxa"/>
            <w:vAlign w:val="bottom"/>
          </w:tcPr>
          <w:p>
            <w:pPr>
              <w:jc w:val="center"/>
              <w:ind w:left="519"/>
              <w:spacing w:after="0"/>
              <w:rPr>
                <w:sz w:val="20"/>
                <w:szCs w:val="20"/>
                <w:color w:val="auto"/>
              </w:rPr>
            </w:pPr>
            <w:r>
              <w:rPr>
                <w:rFonts w:ascii="Arial" w:cs="Arial" w:eastAsia="Arial" w:hAnsi="Arial"/>
                <w:sz w:val="16"/>
                <w:szCs w:val="16"/>
                <w:color w:val="auto"/>
                <w:w w:val="90"/>
              </w:rPr>
              <w:t>Title of each class</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80" w:type="dxa"/>
            <w:vAlign w:val="bottom"/>
            <w:gridSpan w:val="3"/>
          </w:tcPr>
          <w:p>
            <w:pPr>
              <w:jc w:val="center"/>
              <w:ind w:right="980"/>
              <w:spacing w:after="0"/>
              <w:rPr>
                <w:sz w:val="20"/>
                <w:szCs w:val="20"/>
                <w:color w:val="auto"/>
              </w:rPr>
            </w:pPr>
            <w:r>
              <w:rPr>
                <w:rFonts w:ascii="Arial" w:cs="Arial" w:eastAsia="Arial" w:hAnsi="Arial"/>
                <w:sz w:val="16"/>
                <w:szCs w:val="16"/>
                <w:color w:val="auto"/>
                <w:w w:val="92"/>
              </w:rPr>
              <w:t>Trading Symbol</w:t>
            </w:r>
          </w:p>
        </w:tc>
        <w:tc>
          <w:tcPr>
            <w:tcW w:w="3640" w:type="dxa"/>
            <w:vAlign w:val="bottom"/>
          </w:tcPr>
          <w:p>
            <w:pPr>
              <w:jc w:val="center"/>
              <w:ind w:right="499"/>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6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03"/>
        </w:trPr>
        <w:tc>
          <w:tcPr>
            <w:tcW w:w="3640" w:type="dxa"/>
            <w:vAlign w:val="bottom"/>
          </w:tcPr>
          <w:p>
            <w:pPr>
              <w:jc w:val="center"/>
              <w:ind w:left="499"/>
              <w:spacing w:after="0"/>
              <w:rPr>
                <w:sz w:val="20"/>
                <w:szCs w:val="20"/>
                <w:color w:val="auto"/>
              </w:rPr>
            </w:pPr>
            <w:r>
              <w:rPr>
                <w:rFonts w:ascii="Arial" w:cs="Arial" w:eastAsia="Arial" w:hAnsi="Arial"/>
                <w:sz w:val="16"/>
                <w:szCs w:val="16"/>
                <w:color w:val="auto"/>
                <w:w w:val="89"/>
              </w:rPr>
              <w:t>Common Stock, $0.01 Par Value Per Share</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80" w:type="dxa"/>
            <w:vAlign w:val="bottom"/>
            <w:gridSpan w:val="3"/>
          </w:tcPr>
          <w:p>
            <w:pPr>
              <w:jc w:val="center"/>
              <w:ind w:right="980"/>
              <w:spacing w:after="0"/>
              <w:rPr>
                <w:sz w:val="20"/>
                <w:szCs w:val="20"/>
                <w:color w:val="auto"/>
              </w:rPr>
            </w:pPr>
            <w:r>
              <w:rPr>
                <w:rFonts w:ascii="Arial" w:cs="Arial" w:eastAsia="Arial" w:hAnsi="Arial"/>
                <w:sz w:val="16"/>
                <w:szCs w:val="16"/>
                <w:color w:val="auto"/>
              </w:rPr>
              <w:t>VRTX</w:t>
            </w:r>
          </w:p>
        </w:tc>
        <w:tc>
          <w:tcPr>
            <w:tcW w:w="3640" w:type="dxa"/>
            <w:vAlign w:val="bottom"/>
          </w:tcPr>
          <w:p>
            <w:pPr>
              <w:jc w:val="center"/>
              <w:ind w:right="519"/>
              <w:spacing w:after="0"/>
              <w:rPr>
                <w:sz w:val="20"/>
                <w:szCs w:val="20"/>
                <w:color w:val="auto"/>
              </w:rPr>
            </w:pPr>
            <w:r>
              <w:rPr>
                <w:rFonts w:ascii="Arial" w:cs="Arial" w:eastAsia="Arial" w:hAnsi="Arial"/>
                <w:sz w:val="16"/>
                <w:szCs w:val="16"/>
                <w:color w:val="auto"/>
                <w:w w:val="91"/>
              </w:rPr>
              <w:t>The Nasdaq Global Select Market</w:t>
            </w:r>
          </w:p>
        </w:tc>
      </w:tr>
    </w:tbl>
    <w:p>
      <w:pPr>
        <w:spacing w:after="0" w:line="145" w:lineRule="exact"/>
        <w:rPr>
          <w:sz w:val="24"/>
          <w:szCs w:val="24"/>
          <w:color w:val="auto"/>
        </w:rPr>
      </w:pPr>
    </w:p>
    <w:p>
      <w:pPr>
        <w:jc w:val="both"/>
        <w:ind w:left="10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left="1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left="1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p>
      <w:pPr>
        <w:ind w:left="1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lef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00" w:right="2980"/>
        <w:spacing w:after="0" w:line="2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45" w:lineRule="exact"/>
        <w:rPr>
          <w:sz w:val="24"/>
          <w:szCs w:val="24"/>
          <w:color w:val="auto"/>
        </w:rPr>
      </w:pPr>
    </w:p>
    <w:p>
      <w:pPr>
        <w:ind w:left="820"/>
        <w:spacing w:after="0"/>
        <w:tabs>
          <w:tab w:leader="none" w:pos="5240" w:val="left"/>
          <w:tab w:leader="none" w:pos="7580" w:val="left"/>
        </w:tabs>
        <w:rPr>
          <w:sz w:val="20"/>
          <w:szCs w:val="20"/>
          <w:color w:val="auto"/>
        </w:rPr>
      </w:pPr>
      <w:r>
        <w:rPr>
          <w:rFonts w:ascii="Arial" w:cs="Arial" w:eastAsia="Arial" w:hAnsi="Arial"/>
          <w:sz w:val="16"/>
          <w:szCs w:val="16"/>
          <w:color w:val="auto"/>
        </w:rPr>
        <w:t>Common Stock, par value $0.01 per share</w:t>
      </w:r>
      <w:r>
        <w:rPr>
          <w:sz w:val="20"/>
          <w:szCs w:val="20"/>
          <w:color w:val="auto"/>
        </w:rPr>
        <w:tab/>
      </w:r>
      <w:r>
        <w:rPr>
          <w:rFonts w:ascii="Arial" w:cs="Arial" w:eastAsia="Arial" w:hAnsi="Arial"/>
          <w:sz w:val="16"/>
          <w:szCs w:val="16"/>
          <w:color w:val="auto"/>
        </w:rPr>
        <w:t>256,459,482</w:t>
      </w:r>
      <w:r>
        <w:rPr>
          <w:sz w:val="20"/>
          <w:szCs w:val="20"/>
          <w:color w:val="auto"/>
        </w:rPr>
        <w:tab/>
      </w:r>
      <w:r>
        <w:rPr>
          <w:rFonts w:ascii="Arial" w:cs="Arial" w:eastAsia="Arial" w:hAnsi="Arial"/>
          <w:sz w:val="14"/>
          <w:szCs w:val="14"/>
          <w:color w:val="auto"/>
        </w:rPr>
        <w:t>Outstanding at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wp:posOffset>
            </wp:positionH>
            <wp:positionV relativeFrom="paragraph">
              <wp:posOffset>1008380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154940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112395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00" w:type="dxa"/>
            <w:vAlign w:val="bottom"/>
            <w:gridSpan w:val="18"/>
          </w:tcPr>
          <w:p>
            <w:pPr>
              <w:jc w:val="center"/>
              <w:ind w:right="2340"/>
              <w:spacing w:after="0"/>
              <w:rPr>
                <w:sz w:val="20"/>
                <w:szCs w:val="20"/>
                <w:color w:val="auto"/>
              </w:rPr>
            </w:pPr>
            <w:r>
              <w:rPr>
                <w:rFonts w:ascii="Arial" w:cs="Arial" w:eastAsia="Arial" w:hAnsi="Arial"/>
                <w:sz w:val="18"/>
                <w:szCs w:val="18"/>
                <w:b w:val="1"/>
                <w:bCs w:val="1"/>
                <w:color w:val="auto"/>
              </w:rPr>
              <w:t>VERTEX PHARMACEUTICALS INCORPORATED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40" w:type="dxa"/>
            <w:vAlign w:val="bottom"/>
            <w:gridSpan w:val="13"/>
          </w:tcPr>
          <w:p>
            <w:pPr>
              <w:jc w:val="center"/>
              <w:ind w:right="4380"/>
              <w:spacing w:after="0"/>
              <w:rPr>
                <w:sz w:val="20"/>
                <w:szCs w:val="20"/>
                <w:color w:val="auto"/>
              </w:rPr>
            </w:pPr>
            <w:r>
              <w:rPr>
                <w:rFonts w:ascii="Arial" w:cs="Arial" w:eastAsia="Arial" w:hAnsi="Arial"/>
                <w:sz w:val="18"/>
                <w:szCs w:val="18"/>
                <w:b w:val="1"/>
                <w:bCs w:val="1"/>
                <w:color w:val="auto"/>
                <w:w w:val="99"/>
              </w:rPr>
              <w:t>FORM 10-Q</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00" w:type="dxa"/>
            <w:vAlign w:val="bottom"/>
            <w:gridSpan w:val="18"/>
          </w:tcPr>
          <w:p>
            <w:pPr>
              <w:ind w:left="1040"/>
              <w:spacing w:after="0"/>
              <w:rPr>
                <w:sz w:val="20"/>
                <w:szCs w:val="20"/>
                <w:color w:val="auto"/>
              </w:rPr>
            </w:pPr>
            <w:r>
              <w:rPr>
                <w:rFonts w:ascii="Arial" w:cs="Arial" w:eastAsia="Arial" w:hAnsi="Arial"/>
                <w:sz w:val="18"/>
                <w:szCs w:val="18"/>
                <w:b w:val="1"/>
                <w:bCs w:val="1"/>
                <w:color w:val="auto"/>
              </w:rPr>
              <w:t>FOR THE QUARTER ENDED JUNE 30, 2022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gridSpan w:val="15"/>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gridSpan w:val="3"/>
          </w:tcPr>
          <w:p>
            <w:pPr>
              <w:ind w:left="1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2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6200" w:type="dxa"/>
            <w:vAlign w:val="bottom"/>
            <w:gridSpan w:val="16"/>
            <w:vMerge w:val="restart"/>
          </w:tcPr>
          <w:p>
            <w:pPr>
              <w:jc w:val="center"/>
              <w:ind w:right="3960"/>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0" w:type="dxa"/>
            <w:vAlign w:val="bottom"/>
            <w:gridSpan w:val="16"/>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0" w:type="dxa"/>
            <w:vAlign w:val="bottom"/>
            <w:gridSpan w:val="3"/>
          </w:tcPr>
          <w:p>
            <w:pPr>
              <w:spacing w:after="0"/>
              <w:rPr>
                <w:sz w:val="18"/>
                <w:szCs w:val="18"/>
                <w:color w:val="auto"/>
              </w:rPr>
            </w:pPr>
          </w:p>
        </w:tc>
        <w:tc>
          <w:tcPr>
            <w:tcW w:w="1500" w:type="dxa"/>
            <w:vAlign w:val="bottom"/>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760" w:type="dxa"/>
            <w:vAlign w:val="bottom"/>
            <w:gridSpan w:val="3"/>
          </w:tcPr>
          <w:p>
            <w:pPr>
              <w:spacing w:after="0"/>
              <w:rPr>
                <w:sz w:val="18"/>
                <w:szCs w:val="18"/>
                <w:color w:val="auto"/>
              </w:rPr>
            </w:pPr>
          </w:p>
        </w:tc>
        <w:tc>
          <w:tcPr>
            <w:tcW w:w="2240" w:type="dxa"/>
            <w:vAlign w:val="bottom"/>
            <w:tcBorders>
              <w:top w:val="single" w:sz="8" w:color="0000FF"/>
            </w:tcBorders>
            <w:gridSpan w:val="9"/>
          </w:tcPr>
          <w:p>
            <w:pPr>
              <w:spacing w:after="0"/>
              <w:rPr>
                <w:sz w:val="18"/>
                <w:szCs w:val="18"/>
                <w:color w:val="auto"/>
              </w:rPr>
            </w:pPr>
          </w:p>
        </w:tc>
        <w:tc>
          <w:tcPr>
            <w:tcW w:w="3960" w:type="dxa"/>
            <w:vAlign w:val="bottom"/>
            <w:gridSpan w:val="7"/>
          </w:tcPr>
          <w:p>
            <w:pPr>
              <w:spacing w:after="0"/>
              <w:rPr>
                <w:sz w:val="18"/>
                <w:szCs w:val="18"/>
                <w:color w:val="auto"/>
              </w:rPr>
            </w:pPr>
          </w:p>
        </w:tc>
        <w:tc>
          <w:tcPr>
            <w:tcW w:w="340" w:type="dxa"/>
            <w:vAlign w:val="bottom"/>
            <w:gridSpan w:val="2"/>
          </w:tcPr>
          <w:p>
            <w:pPr>
              <w:jc w:val="center"/>
              <w:ind w:left="17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240" w:type="dxa"/>
            <w:vAlign w:val="bottom"/>
            <w:gridSpan w:val="11"/>
          </w:tcPr>
          <w:p>
            <w:pPr>
              <w:spacing w:after="0"/>
              <w:rPr>
                <w:sz w:val="18"/>
                <w:szCs w:val="18"/>
                <w:color w:val="auto"/>
              </w:rPr>
            </w:pPr>
          </w:p>
        </w:tc>
        <w:tc>
          <w:tcPr>
            <w:tcW w:w="340" w:type="dxa"/>
            <w:vAlign w:val="bottom"/>
            <w:gridSpan w:val="2"/>
          </w:tcPr>
          <w:p>
            <w:pPr>
              <w:jc w:val="center"/>
              <w:ind w:left="17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gridSpan w:val="2"/>
            <w:shd w:val="clear" w:color="auto" w:fill="0000EE"/>
          </w:tcPr>
          <w:p>
            <w:pPr>
              <w:spacing w:after="0" w:line="20" w:lineRule="exact"/>
              <w:rPr>
                <w:sz w:val="1"/>
                <w:szCs w:val="1"/>
                <w:color w:val="auto"/>
              </w:rPr>
            </w:pPr>
          </w:p>
        </w:tc>
        <w:tc>
          <w:tcPr>
            <w:tcW w:w="128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gridSpan w:val="2"/>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60" w:type="dxa"/>
            <w:vAlign w:val="bottom"/>
            <w:gridSpan w:val="23"/>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Operations - </w:t>
              </w:r>
            </w:hyperlink>
            <w:r>
              <w:rPr>
                <w:rFonts w:ascii="Arial" w:cs="Arial" w:eastAsia="Arial" w:hAnsi="Arial"/>
                <w:sz w:val="18"/>
                <w:szCs w:val="18"/>
                <w:color w:val="0000EE"/>
              </w:rPr>
              <w:t>Three</w:t>
            </w:r>
            <w:r>
              <w:rPr>
                <w:rFonts w:ascii="Arial" w:cs="Arial" w:eastAsia="Arial" w:hAnsi="Arial"/>
                <w:sz w:val="18"/>
                <w:szCs w:val="18"/>
                <w:color w:val="0000FF"/>
              </w:rPr>
              <w:t xml:space="preserve"> </w:t>
            </w:r>
            <w:r>
              <w:rPr>
                <w:rFonts w:ascii="Arial" w:cs="Arial" w:eastAsia="Arial" w:hAnsi="Arial"/>
                <w:sz w:val="18"/>
                <w:szCs w:val="18"/>
                <w:color w:val="0000EE"/>
              </w:rPr>
              <w:t>and Six Months Ended June 30, 2022 and 2021</w:t>
            </w:r>
          </w:p>
        </w:tc>
        <w:tc>
          <w:tcPr>
            <w:tcW w:w="340" w:type="dxa"/>
            <w:vAlign w:val="bottom"/>
            <w:gridSpan w:val="2"/>
          </w:tcPr>
          <w:p>
            <w:pPr>
              <w:jc w:val="center"/>
              <w:ind w:left="171"/>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28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gridSpan w:val="2"/>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3"/>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 xml:space="preserve">Condensed Consolidated Statements of Comprehensive Income - </w:t>
              </w:r>
            </w:hyperlink>
            <w:r>
              <w:rPr>
                <w:rFonts w:ascii="Arial" w:cs="Arial" w:eastAsia="Arial" w:hAnsi="Arial"/>
                <w:sz w:val="18"/>
                <w:szCs w:val="18"/>
                <w:color w:val="0000EE"/>
                <w:w w:val="98"/>
              </w:rPr>
              <w:t>Three</w:t>
            </w:r>
            <w:r>
              <w:rPr>
                <w:rFonts w:ascii="Arial" w:cs="Arial" w:eastAsia="Arial" w:hAnsi="Arial"/>
                <w:sz w:val="18"/>
                <w:szCs w:val="18"/>
                <w:color w:val="0000FF"/>
                <w:w w:val="98"/>
              </w:rPr>
              <w:t xml:space="preserve"> </w:t>
            </w:r>
            <w:r>
              <w:rPr>
                <w:rFonts w:ascii="Arial" w:cs="Arial" w:eastAsia="Arial" w:hAnsi="Arial"/>
                <w:sz w:val="18"/>
                <w:szCs w:val="18"/>
                <w:color w:val="0000EE"/>
                <w:w w:val="98"/>
              </w:rPr>
              <w:t>and Six Months Ended June 30, 2022 and 2021</w:t>
            </w:r>
          </w:p>
        </w:tc>
        <w:tc>
          <w:tcPr>
            <w:tcW w:w="340" w:type="dxa"/>
            <w:vAlign w:val="bottom"/>
            <w:gridSpan w:val="2"/>
          </w:tcPr>
          <w:p>
            <w:pPr>
              <w:jc w:val="center"/>
              <w:ind w:left="17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28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4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gridSpan w:val="2"/>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42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 </w:t>
              </w:r>
            </w:hyperlink>
            <w:r>
              <w:rPr>
                <w:rFonts w:ascii="Arial" w:cs="Arial" w:eastAsia="Arial" w:hAnsi="Arial"/>
                <w:sz w:val="18"/>
                <w:szCs w:val="18"/>
                <w:color w:val="0000EE"/>
              </w:rPr>
              <w:t>June</w:t>
            </w:r>
            <w:r>
              <w:rPr>
                <w:rFonts w:ascii="Arial" w:cs="Arial" w:eastAsia="Arial" w:hAnsi="Arial"/>
                <w:sz w:val="18"/>
                <w:szCs w:val="18"/>
                <w:color w:val="0000FF"/>
              </w:rPr>
              <w:t xml:space="preserve"> </w:t>
            </w:r>
            <w:r>
              <w:rPr>
                <w:rFonts w:ascii="Arial" w:cs="Arial" w:eastAsia="Arial" w:hAnsi="Arial"/>
                <w:sz w:val="18"/>
                <w:szCs w:val="18"/>
                <w:color w:val="0000EE"/>
              </w:rPr>
              <w:t>30, 2022 and December 31, 2021</w:t>
            </w:r>
          </w:p>
        </w:tc>
        <w:tc>
          <w:tcPr>
            <w:tcW w:w="340" w:type="dxa"/>
            <w:vAlign w:val="bottom"/>
            <w:gridSpan w:val="2"/>
          </w:tcPr>
          <w:p>
            <w:pPr>
              <w:jc w:val="center"/>
              <w:ind w:left="17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28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1080" w:type="dxa"/>
            <w:vAlign w:val="bottom"/>
            <w:tcBorders>
              <w:bottom w:val="single" w:sz="8" w:color="0000EE"/>
            </w:tcBorders>
            <w:gridSpan w:val="2"/>
          </w:tcPr>
          <w:p>
            <w:pPr>
              <w:spacing w:after="0" w:line="20" w:lineRule="exact"/>
              <w:rPr>
                <w:sz w:val="1"/>
                <w:szCs w:val="1"/>
                <w:color w:val="auto"/>
              </w:rPr>
            </w:pPr>
          </w:p>
        </w:tc>
        <w:tc>
          <w:tcPr>
            <w:tcW w:w="420" w:type="dxa"/>
            <w:vAlign w:val="bottom"/>
            <w:tcBorders>
              <w:bottom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 xml:space="preserve">Condensed Consolidated Statements of Shareholders' Equity - </w:t>
              </w:r>
            </w:hyperlink>
            <w:r>
              <w:rPr>
                <w:rFonts w:ascii="Arial" w:cs="Arial" w:eastAsia="Arial" w:hAnsi="Arial"/>
                <w:sz w:val="18"/>
                <w:szCs w:val="18"/>
                <w:color w:val="0000EE"/>
              </w:rPr>
              <w:t>Three and Six Months Ended June 30, 2022 and 2021</w:t>
            </w:r>
          </w:p>
        </w:tc>
        <w:tc>
          <w:tcPr>
            <w:tcW w:w="340" w:type="dxa"/>
            <w:vAlign w:val="bottom"/>
            <w:gridSpan w:val="2"/>
          </w:tcPr>
          <w:p>
            <w:pPr>
              <w:jc w:val="center"/>
              <w:ind w:left="17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gridSpan w:val="2"/>
          </w:tcPr>
          <w:p>
            <w:pPr>
              <w:spacing w:after="0" w:line="20" w:lineRule="exact"/>
              <w:rPr>
                <w:sz w:val="1"/>
                <w:szCs w:val="1"/>
                <w:color w:val="auto"/>
              </w:rPr>
            </w:pPr>
          </w:p>
        </w:tc>
        <w:tc>
          <w:tcPr>
            <w:tcW w:w="1600" w:type="dxa"/>
            <w:vAlign w:val="bottom"/>
            <w:tcBorders>
              <w:bottom w:val="single" w:sz="8" w:color="0000EE"/>
            </w:tcBorders>
            <w:gridSpan w:val="3"/>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1080" w:type="dxa"/>
            <w:vAlign w:val="bottom"/>
            <w:tcBorders>
              <w:bottom w:val="single" w:sz="8" w:color="0000EE"/>
            </w:tcBorders>
            <w:gridSpan w:val="2"/>
          </w:tcPr>
          <w:p>
            <w:pPr>
              <w:spacing w:after="0" w:line="20" w:lineRule="exact"/>
              <w:rPr>
                <w:sz w:val="1"/>
                <w:szCs w:val="1"/>
                <w:color w:val="auto"/>
              </w:rPr>
            </w:pPr>
          </w:p>
        </w:tc>
        <w:tc>
          <w:tcPr>
            <w:tcW w:w="1020" w:type="dxa"/>
            <w:vAlign w:val="bottom"/>
            <w:tcBorders>
              <w:bottom w:val="single" w:sz="8" w:color="0000EE"/>
            </w:tcBorders>
            <w:gridSpan w:val="3"/>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420" w:type="dxa"/>
            <w:vAlign w:val="bottom"/>
            <w:tcBorders>
              <w:bottom w:val="single" w:sz="8" w:color="0000EE"/>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Cash Flows - </w:t>
              </w:r>
            </w:hyperlink>
            <w:r>
              <w:rPr>
                <w:rFonts w:ascii="Arial" w:cs="Arial" w:eastAsia="Arial" w:hAnsi="Arial"/>
                <w:sz w:val="18"/>
                <w:szCs w:val="18"/>
                <w:color w:val="0000EE"/>
              </w:rPr>
              <w:t>Six</w:t>
            </w:r>
            <w:r>
              <w:rPr>
                <w:rFonts w:ascii="Arial" w:cs="Arial" w:eastAsia="Arial" w:hAnsi="Arial"/>
                <w:sz w:val="18"/>
                <w:szCs w:val="18"/>
                <w:color w:val="0000FF"/>
              </w:rPr>
              <w:t xml:space="preserve"> </w:t>
            </w:r>
            <w:r>
              <w:rPr>
                <w:rFonts w:ascii="Arial" w:cs="Arial" w:eastAsia="Arial" w:hAnsi="Arial"/>
                <w:sz w:val="18"/>
                <w:szCs w:val="18"/>
                <w:color w:val="0000EE"/>
              </w:rPr>
              <w:t>Months Ended June 30, 2022 and 2021</w:t>
            </w:r>
          </w:p>
        </w:tc>
        <w:tc>
          <w:tcPr>
            <w:tcW w:w="340" w:type="dxa"/>
            <w:vAlign w:val="bottom"/>
            <w:gridSpan w:val="2"/>
          </w:tcPr>
          <w:p>
            <w:pPr>
              <w:jc w:val="center"/>
              <w:ind w:left="171"/>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1600" w:type="dxa"/>
            <w:vAlign w:val="bottom"/>
            <w:gridSpan w:val="3"/>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gridSpan w:val="2"/>
            <w:shd w:val="clear" w:color="auto" w:fill="0000EE"/>
          </w:tcPr>
          <w:p>
            <w:pPr>
              <w:spacing w:after="0"/>
              <w:rPr>
                <w:sz w:val="2"/>
                <w:szCs w:val="2"/>
                <w:color w:val="auto"/>
              </w:rPr>
            </w:pPr>
          </w:p>
        </w:tc>
        <w:tc>
          <w:tcPr>
            <w:tcW w:w="1080" w:type="dxa"/>
            <w:vAlign w:val="bottom"/>
            <w:tcBorders>
              <w:left w:val="single" w:sz="8" w:color="0000EE"/>
            </w:tcBorders>
            <w:gridSpan w:val="2"/>
            <w:shd w:val="clear" w:color="auto" w:fill="0000EE"/>
          </w:tcPr>
          <w:p>
            <w:pPr>
              <w:spacing w:after="0"/>
              <w:rPr>
                <w:sz w:val="2"/>
                <w:szCs w:val="2"/>
                <w:color w:val="auto"/>
              </w:rPr>
            </w:pPr>
          </w:p>
        </w:tc>
        <w:tc>
          <w:tcPr>
            <w:tcW w:w="1020" w:type="dxa"/>
            <w:vAlign w:val="bottom"/>
            <w:gridSpan w:val="3"/>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50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6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40" w:type="dxa"/>
            <w:vAlign w:val="bottom"/>
            <w:gridSpan w:val="2"/>
          </w:tcPr>
          <w:p>
            <w:pPr>
              <w:jc w:val="center"/>
              <w:ind w:left="17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600" w:type="dxa"/>
            <w:vAlign w:val="bottom"/>
            <w:gridSpan w:val="3"/>
          </w:tcPr>
          <w:p>
            <w:pPr>
              <w:spacing w:after="0"/>
              <w:rPr>
                <w:sz w:val="18"/>
                <w:szCs w:val="18"/>
                <w:color w:val="auto"/>
              </w:rPr>
            </w:pPr>
          </w:p>
        </w:tc>
        <w:tc>
          <w:tcPr>
            <w:tcW w:w="6440" w:type="dxa"/>
            <w:vAlign w:val="bottom"/>
            <w:gridSpan w:val="1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gridSpan w:val="5"/>
          </w:tcPr>
          <w:p>
            <w:pPr>
              <w:spacing w:after="0"/>
              <w:rPr>
                <w:sz w:val="18"/>
                <w:szCs w:val="18"/>
                <w:color w:val="auto"/>
              </w:rPr>
            </w:pPr>
          </w:p>
        </w:tc>
        <w:tc>
          <w:tcPr>
            <w:tcW w:w="340" w:type="dxa"/>
            <w:vAlign w:val="bottom"/>
            <w:gridSpan w:val="2"/>
          </w:tcPr>
          <w:p>
            <w:pPr>
              <w:jc w:val="center"/>
              <w:ind w:left="7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600" w:type="dxa"/>
            <w:vAlign w:val="bottom"/>
            <w:gridSpan w:val="3"/>
          </w:tcPr>
          <w:p>
            <w:pPr>
              <w:spacing w:after="0"/>
              <w:rPr>
                <w:sz w:val="18"/>
                <w:szCs w:val="18"/>
                <w:color w:val="auto"/>
              </w:rPr>
            </w:pPr>
          </w:p>
        </w:tc>
        <w:tc>
          <w:tcPr>
            <w:tcW w:w="4340" w:type="dxa"/>
            <w:vAlign w:val="bottom"/>
            <w:gridSpan w:val="1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Quantitative and Qualitative Disclosures About Market Risk</w:t>
              </w:r>
            </w:hyperlink>
          </w:p>
        </w:tc>
        <w:tc>
          <w:tcPr>
            <w:tcW w:w="2100" w:type="dxa"/>
            <w:vAlign w:val="bottom"/>
            <w:gridSpan w:val="5"/>
          </w:tcPr>
          <w:p>
            <w:pPr>
              <w:spacing w:after="0"/>
              <w:rPr>
                <w:sz w:val="18"/>
                <w:szCs w:val="18"/>
                <w:color w:val="auto"/>
              </w:rPr>
            </w:pPr>
          </w:p>
        </w:tc>
        <w:tc>
          <w:tcPr>
            <w:tcW w:w="3020" w:type="dxa"/>
            <w:vAlign w:val="bottom"/>
            <w:gridSpan w:val="5"/>
          </w:tcPr>
          <w:p>
            <w:pPr>
              <w:spacing w:after="0"/>
              <w:rPr>
                <w:sz w:val="18"/>
                <w:szCs w:val="18"/>
                <w:color w:val="auto"/>
              </w:rPr>
            </w:pPr>
          </w:p>
        </w:tc>
        <w:tc>
          <w:tcPr>
            <w:tcW w:w="340" w:type="dxa"/>
            <w:vAlign w:val="bottom"/>
            <w:gridSpan w:val="2"/>
          </w:tcPr>
          <w:p>
            <w:pPr>
              <w:jc w:val="center"/>
              <w:ind w:left="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600" w:type="dxa"/>
            <w:vAlign w:val="bottom"/>
            <w:gridSpan w:val="3"/>
          </w:tcPr>
          <w:p>
            <w:pPr>
              <w:spacing w:after="0"/>
              <w:rPr>
                <w:sz w:val="18"/>
                <w:szCs w:val="18"/>
                <w:color w:val="auto"/>
              </w:rPr>
            </w:pPr>
          </w:p>
        </w:tc>
        <w:tc>
          <w:tcPr>
            <w:tcW w:w="434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120" w:type="dxa"/>
            <w:vAlign w:val="bottom"/>
            <w:gridSpan w:val="10"/>
          </w:tcPr>
          <w:p>
            <w:pPr>
              <w:spacing w:after="0"/>
              <w:rPr>
                <w:sz w:val="18"/>
                <w:szCs w:val="18"/>
                <w:color w:val="auto"/>
              </w:rPr>
            </w:pPr>
          </w:p>
        </w:tc>
        <w:tc>
          <w:tcPr>
            <w:tcW w:w="340" w:type="dxa"/>
            <w:vAlign w:val="bottom"/>
            <w:gridSpan w:val="2"/>
          </w:tcPr>
          <w:p>
            <w:pPr>
              <w:jc w:val="center"/>
              <w:ind w:left="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0" w:type="dxa"/>
            <w:vAlign w:val="bottom"/>
            <w:gridSpan w:val="16"/>
          </w:tcPr>
          <w:p>
            <w:pPr>
              <w:jc w:val="center"/>
              <w:ind w:right="3940"/>
              <w:spacing w:after="0"/>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Part II. Other Information</w:t>
              </w:r>
            </w:hyperlink>
          </w:p>
        </w:tc>
        <w:tc>
          <w:tcPr>
            <w:tcW w:w="2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600" w:type="dxa"/>
            <w:vAlign w:val="bottom"/>
            <w:gridSpan w:val="3"/>
          </w:tcPr>
          <w:p>
            <w:pPr>
              <w:spacing w:after="0"/>
              <w:rPr>
                <w:sz w:val="18"/>
                <w:szCs w:val="18"/>
                <w:color w:val="auto"/>
              </w:rPr>
            </w:pPr>
          </w:p>
        </w:tc>
        <w:tc>
          <w:tcPr>
            <w:tcW w:w="336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060" w:type="dxa"/>
            <w:vAlign w:val="bottom"/>
            <w:tcBorders>
              <w:top w:val="single" w:sz="8" w:color="0000EE"/>
            </w:tcBorders>
            <w:gridSpan w:val="7"/>
          </w:tcPr>
          <w:p>
            <w:pPr>
              <w:spacing w:after="0"/>
              <w:rPr>
                <w:sz w:val="18"/>
                <w:szCs w:val="18"/>
                <w:color w:val="auto"/>
              </w:rPr>
            </w:pPr>
          </w:p>
        </w:tc>
        <w:tc>
          <w:tcPr>
            <w:tcW w:w="4040" w:type="dxa"/>
            <w:vAlign w:val="bottom"/>
            <w:gridSpan w:val="8"/>
          </w:tcPr>
          <w:p>
            <w:pPr>
              <w:spacing w:after="0"/>
              <w:rPr>
                <w:sz w:val="18"/>
                <w:szCs w:val="18"/>
                <w:color w:val="auto"/>
              </w:rPr>
            </w:pPr>
          </w:p>
        </w:tc>
        <w:tc>
          <w:tcPr>
            <w:tcW w:w="340" w:type="dxa"/>
            <w:vAlign w:val="bottom"/>
            <w:gridSpan w:val="2"/>
          </w:tcPr>
          <w:p>
            <w:pPr>
              <w:jc w:val="center"/>
              <w:ind w:left="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946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40" w:type="dxa"/>
            <w:vAlign w:val="bottom"/>
            <w:gridSpan w:val="2"/>
          </w:tcPr>
          <w:p>
            <w:pPr>
              <w:jc w:val="center"/>
              <w:ind w:left="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46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340" w:type="dxa"/>
            <w:vAlign w:val="bottom"/>
            <w:gridSpan w:val="2"/>
          </w:tcPr>
          <w:p>
            <w:pPr>
              <w:jc w:val="center"/>
              <w:ind w:left="7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35</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600" w:type="dxa"/>
            <w:vAlign w:val="bottom"/>
            <w:gridSpan w:val="3"/>
          </w:tcPr>
          <w:p>
            <w:pPr>
              <w:spacing w:after="0"/>
              <w:rPr>
                <w:sz w:val="18"/>
                <w:szCs w:val="18"/>
                <w:color w:val="auto"/>
              </w:rPr>
            </w:pPr>
          </w:p>
        </w:tc>
        <w:tc>
          <w:tcPr>
            <w:tcW w:w="600" w:type="dxa"/>
            <w:vAlign w:val="bottom"/>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3740" w:type="dxa"/>
            <w:vAlign w:val="bottom"/>
            <w:gridSpan w:val="12"/>
          </w:tcPr>
          <w:p>
            <w:pPr>
              <w:spacing w:after="0"/>
              <w:rPr>
                <w:sz w:val="18"/>
                <w:szCs w:val="18"/>
                <w:color w:val="auto"/>
              </w:rPr>
            </w:pPr>
          </w:p>
        </w:tc>
        <w:tc>
          <w:tcPr>
            <w:tcW w:w="5120" w:type="dxa"/>
            <w:vAlign w:val="bottom"/>
            <w:gridSpan w:val="10"/>
          </w:tcPr>
          <w:p>
            <w:pPr>
              <w:spacing w:after="0"/>
              <w:rPr>
                <w:sz w:val="18"/>
                <w:szCs w:val="18"/>
                <w:color w:val="auto"/>
              </w:rPr>
            </w:pPr>
          </w:p>
        </w:tc>
        <w:tc>
          <w:tcPr>
            <w:tcW w:w="340" w:type="dxa"/>
            <w:vAlign w:val="bottom"/>
            <w:gridSpan w:val="2"/>
          </w:tcPr>
          <w:p>
            <w:pPr>
              <w:jc w:val="center"/>
              <w:ind w:left="7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jc w:val="center"/>
              <w:ind w:left="7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“Vertex,” “we,” “us,” and “our” as used in this Quarterly Report on Form 10-Q refer to Vertex Pharmaceuticals Incorporated, a Massachusetts corporation, and its subsidiaries.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“Vertex</w:t>
      </w:r>
      <w:r>
        <w:rPr>
          <w:rFonts w:ascii="Arial" w:cs="Arial" w:eastAsia="Arial" w:hAnsi="Arial"/>
          <w:sz w:val="22"/>
          <w:szCs w:val="22"/>
          <w:color w:val="auto"/>
          <w:vertAlign w:val="superscript"/>
        </w:rPr>
        <w:t>®</w:t>
      </w:r>
      <w:r>
        <w:rPr>
          <w:rFonts w:ascii="Arial" w:cs="Arial" w:eastAsia="Arial" w:hAnsi="Arial"/>
          <w:sz w:val="17"/>
          <w:szCs w:val="17"/>
          <w:color w:val="auto"/>
        </w:rPr>
        <w:t>,” “KALYDECO</w:t>
      </w:r>
      <w:r>
        <w:rPr>
          <w:rFonts w:ascii="Arial" w:cs="Arial" w:eastAsia="Arial" w:hAnsi="Arial"/>
          <w:sz w:val="22"/>
          <w:szCs w:val="22"/>
          <w:color w:val="auto"/>
          <w:vertAlign w:val="superscript"/>
        </w:rPr>
        <w:t>®</w:t>
      </w:r>
      <w:r>
        <w:rPr>
          <w:rFonts w:ascii="Arial" w:cs="Arial" w:eastAsia="Arial" w:hAnsi="Arial"/>
          <w:sz w:val="17"/>
          <w:szCs w:val="17"/>
          <w:color w:val="auto"/>
        </w:rPr>
        <w:t>,” “ORKAMBI</w:t>
      </w:r>
      <w:r>
        <w:rPr>
          <w:rFonts w:ascii="Arial" w:cs="Arial" w:eastAsia="Arial" w:hAnsi="Arial"/>
          <w:sz w:val="22"/>
          <w:szCs w:val="22"/>
          <w:color w:val="auto"/>
          <w:vertAlign w:val="superscript"/>
        </w:rPr>
        <w:t>®</w:t>
      </w:r>
      <w:r>
        <w:rPr>
          <w:rFonts w:ascii="Arial" w:cs="Arial" w:eastAsia="Arial" w:hAnsi="Arial"/>
          <w:sz w:val="17"/>
          <w:szCs w:val="17"/>
          <w:color w:val="auto"/>
        </w:rPr>
        <w:t>,” “SYMDEKO</w:t>
      </w:r>
      <w:r>
        <w:rPr>
          <w:rFonts w:ascii="Arial" w:cs="Arial" w:eastAsia="Arial" w:hAnsi="Arial"/>
          <w:sz w:val="22"/>
          <w:szCs w:val="22"/>
          <w:color w:val="auto"/>
          <w:vertAlign w:val="superscript"/>
        </w:rPr>
        <w:t>®</w:t>
      </w:r>
      <w:r>
        <w:rPr>
          <w:rFonts w:ascii="Arial" w:cs="Arial" w:eastAsia="Arial" w:hAnsi="Arial"/>
          <w:sz w:val="17"/>
          <w:szCs w:val="17"/>
          <w:color w:val="auto"/>
        </w:rPr>
        <w:t>,” “SYMKEVI</w:t>
      </w:r>
      <w:r>
        <w:rPr>
          <w:rFonts w:ascii="Arial" w:cs="Arial" w:eastAsia="Arial" w:hAnsi="Arial"/>
          <w:sz w:val="22"/>
          <w:szCs w:val="22"/>
          <w:color w:val="auto"/>
          <w:vertAlign w:val="superscript"/>
        </w:rPr>
        <w:t>®</w:t>
      </w:r>
      <w:r>
        <w:rPr>
          <w:rFonts w:ascii="Arial" w:cs="Arial" w:eastAsia="Arial" w:hAnsi="Arial"/>
          <w:sz w:val="17"/>
          <w:szCs w:val="17"/>
          <w:color w:val="auto"/>
        </w:rPr>
        <w:t>,” “TRIKAFTA</w:t>
      </w:r>
      <w:r>
        <w:rPr>
          <w:rFonts w:ascii="Arial" w:cs="Arial" w:eastAsia="Arial" w:hAnsi="Arial"/>
          <w:sz w:val="22"/>
          <w:szCs w:val="22"/>
          <w:color w:val="auto"/>
          <w:vertAlign w:val="superscript"/>
        </w:rPr>
        <w:t>®</w:t>
      </w:r>
      <w:r>
        <w:rPr>
          <w:rFonts w:ascii="Arial" w:cs="Arial" w:eastAsia="Arial" w:hAnsi="Arial"/>
          <w:sz w:val="17"/>
          <w:szCs w:val="17"/>
          <w:color w:val="auto"/>
        </w:rPr>
        <w:t>” and “KAFTRIO</w:t>
      </w:r>
      <w:r>
        <w:rPr>
          <w:rFonts w:ascii="Arial" w:cs="Arial" w:eastAsia="Arial" w:hAnsi="Arial"/>
          <w:sz w:val="22"/>
          <w:szCs w:val="22"/>
          <w:color w:val="auto"/>
          <w:vertAlign w:val="superscript"/>
        </w:rPr>
        <w:t>®</w:t>
      </w:r>
      <w:r>
        <w:rPr>
          <w:rFonts w:ascii="Arial" w:cs="Arial" w:eastAsia="Arial" w:hAnsi="Arial"/>
          <w:sz w:val="17"/>
          <w:szCs w:val="17"/>
          <w:color w:val="auto"/>
        </w:rPr>
        <w:t>” are registered trademarks of Vertex.</w:t>
      </w:r>
    </w:p>
    <w:p>
      <w:pPr>
        <w:spacing w:after="0"/>
        <w:rPr>
          <w:sz w:val="20"/>
          <w:szCs w:val="20"/>
          <w:color w:val="auto"/>
        </w:rPr>
      </w:pPr>
      <w:r>
        <w:rPr>
          <w:rFonts w:ascii="Arial" w:cs="Arial" w:eastAsia="Arial" w:hAnsi="Arial"/>
          <w:sz w:val="18"/>
          <w:szCs w:val="18"/>
          <w:color w:val="auto"/>
        </w:rPr>
        <w:t>Other brands, names and trademarks contained in this Quarterly Report on Form 10-Q are the property of their respective owners.</w:t>
      </w:r>
    </w:p>
    <w:p>
      <w:pPr>
        <w:spacing w:after="0" w:line="15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use the brand name for our products when we refer to the product that has been approved and with respect to the indications on the approved label. Otherwise, including in discussions of our cystic fibrosis development programs, we refer to our compounds by their scientific (or generic) name or VX developmental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5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960" w:type="dxa"/>
            <w:vAlign w:val="bottom"/>
            <w:gridSpan w:val="7"/>
          </w:tcPr>
          <w:p>
            <w:pPr>
              <w:jc w:val="center"/>
              <w:ind w:left="3190"/>
              <w:spacing w:after="0"/>
              <w:rPr>
                <w:sz w:val="20"/>
                <w:szCs w:val="20"/>
                <w:color w:val="auto"/>
              </w:rPr>
            </w:pPr>
            <w:r>
              <w:rPr>
                <w:rFonts w:ascii="Arial" w:cs="Arial" w:eastAsia="Arial" w:hAnsi="Arial"/>
                <w:sz w:val="18"/>
                <w:szCs w:val="18"/>
                <w:b w:val="1"/>
                <w:bCs w:val="1"/>
                <w:color w:val="auto"/>
              </w:rPr>
              <w:t>VERTEX PHARMACEUTICALS INCORPORATED</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7"/>
          </w:tcPr>
          <w:p>
            <w:pPr>
              <w:jc w:val="center"/>
              <w:ind w:left="321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gridSpan w:val="7"/>
          </w:tcPr>
          <w:p>
            <w:pPr>
              <w:jc w:val="center"/>
              <w:ind w:left="321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2,196.2</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1,793.4</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4,293.7</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3,516.7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revenues</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56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2,196.2</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1,793.4</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4,293.7</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3,517.7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w w:val="93"/>
              </w:rPr>
              <w:t>Acquired in-process research and development expenses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2,146.5</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2,667.8</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1,106.3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2,147.2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55"/>
        </w:trPr>
        <w:tc>
          <w:tcPr>
            <w:tcW w:w="4560" w:type="dxa"/>
            <w:vAlign w:val="bottom"/>
          </w:tcPr>
          <w:p>
            <w:pPr>
              <w:ind w:left="20"/>
              <w:spacing w:after="0" w:line="156" w:lineRule="exact"/>
              <w:rPr>
                <w:sz w:val="20"/>
                <w:szCs w:val="20"/>
                <w:color w:val="auto"/>
              </w:rPr>
            </w:pPr>
            <w:r>
              <w:rPr>
                <w:rFonts w:ascii="Arial" w:cs="Arial" w:eastAsia="Arial" w:hAnsi="Arial"/>
                <w:sz w:val="18"/>
                <w:szCs w:val="18"/>
                <w:color w:val="auto"/>
              </w:rPr>
              <w:t>Income (loss) before provision for (benefit from) income</w:t>
            </w:r>
          </w:p>
        </w:tc>
        <w:tc>
          <w:tcPr>
            <w:tcW w:w="2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1,024.4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1,979.2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per share calculations: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20" w:right="80" w:hanging="799"/>
        <w:spacing w:after="0" w:line="342" w:lineRule="auto"/>
        <w:rPr>
          <w:sz w:val="20"/>
          <w:szCs w:val="20"/>
          <w:color w:val="auto"/>
        </w:rPr>
      </w:pPr>
      <w:r>
        <w:rPr>
          <w:rFonts w:ascii="Arial" w:cs="Arial" w:eastAsia="Arial" w:hAnsi="Arial"/>
          <w:sz w:val="16"/>
          <w:szCs w:val="16"/>
          <w:color w:val="auto"/>
        </w:rPr>
        <w:t>Please refer to Note A, “Basis of Presentation and Accounting Policies,” for an explanation of amounts reclassified from “Research and development expenses” to “Acquired in-process research and development expenses” for the three and six months ended June 30, 2021.</w:t>
      </w:r>
    </w:p>
    <w:p>
      <w:pPr>
        <w:spacing w:after="0" w:line="7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810.5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Unrealized holding losses on marketable securities, net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5"/>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w w:val="91"/>
              </w:rPr>
              <w:t>Unrealized gains on foreign currency forward contracts, net</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400"/>
              <w:spacing w:after="0" w:line="176" w:lineRule="exact"/>
              <w:rPr>
                <w:sz w:val="20"/>
                <w:szCs w:val="20"/>
                <w:color w:val="auto"/>
              </w:rPr>
            </w:pPr>
            <w:r>
              <w:rPr>
                <w:rFonts w:ascii="Arial" w:cs="Arial" w:eastAsia="Arial" w:hAnsi="Arial"/>
                <w:sz w:val="18"/>
                <w:szCs w:val="18"/>
                <w:color w:val="auto"/>
              </w:rPr>
              <w:t>of tax of $(16.1), $(2.3), $(18.3) and $(11.6),</w:t>
            </w:r>
          </w:p>
        </w:tc>
        <w:tc>
          <w:tcPr>
            <w:tcW w:w="10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856.7</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7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348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8,702.2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6,795.0</w:t>
            </w: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729.9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1,136.8</w:t>
            </w: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367.7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207"/>
        </w:trPr>
        <w:tc>
          <w:tcPr>
            <w:tcW w:w="748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11,503.5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9,560.6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1,002.2</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26"/>
        </w:trPr>
        <w:tc>
          <w:tcPr>
            <w:tcW w:w="74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1,143.8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22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15,582.2</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440"/>
              <w:spacing w:after="0"/>
              <w:rPr>
                <w:sz w:val="20"/>
                <w:szCs w:val="20"/>
                <w:color w:val="auto"/>
              </w:rPr>
            </w:pPr>
            <w:r>
              <w:rPr>
                <w:rFonts w:ascii="Arial" w:cs="Arial" w:eastAsia="Arial" w:hAnsi="Arial"/>
                <w:sz w:val="16"/>
                <w:szCs w:val="16"/>
                <w:b w:val="1"/>
                <w:bCs w:val="1"/>
                <w:color w:val="auto"/>
              </w:rPr>
              <w:t>Liabilities and Shareholders’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198.0</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c>
          <w:tcPr>
            <w:tcW w:w="0" w:type="dxa"/>
            <w:vAlign w:val="bottom"/>
          </w:tcPr>
          <w:p>
            <w:pPr>
              <w:spacing w:after="0"/>
              <w:rPr>
                <w:sz w:val="1"/>
                <w:szCs w:val="1"/>
                <w:color w:val="auto"/>
              </w:rPr>
            </w:pPr>
          </w:p>
        </w:tc>
      </w:tr>
      <w:tr>
        <w:trPr>
          <w:trHeight w:val="227"/>
        </w:trPr>
        <w:tc>
          <w:tcPr>
            <w:tcW w:w="7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finance lease liabilities</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509.8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0" w:type="dxa"/>
            <w:vAlign w:val="bottom"/>
          </w:tcPr>
          <w:p>
            <w:pPr>
              <w:spacing w:after="0"/>
              <w:rPr>
                <w:sz w:val="1"/>
                <w:szCs w:val="1"/>
                <w:color w:val="auto"/>
              </w:rPr>
            </w:pPr>
          </w:p>
        </w:tc>
      </w:tr>
      <w:tr>
        <w:trPr>
          <w:trHeight w:val="226"/>
        </w:trPr>
        <w:tc>
          <w:tcPr>
            <w:tcW w:w="7480" w:type="dxa"/>
            <w:vAlign w:val="bottom"/>
          </w:tcPr>
          <w:p>
            <w:pPr>
              <w:ind w:left="20"/>
              <w:spacing w:after="0"/>
              <w:rPr>
                <w:sz w:val="20"/>
                <w:szCs w:val="20"/>
                <w:color w:val="auto"/>
              </w:rPr>
            </w:pPr>
            <w:r>
              <w:rPr>
                <w:rFonts w:ascii="Arial" w:cs="Arial" w:eastAsia="Arial" w:hAnsi="Arial"/>
                <w:sz w:val="16"/>
                <w:szCs w:val="16"/>
                <w:color w:val="auto"/>
              </w:rPr>
              <w:t>Long-term contingent consideration</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186.5</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07"/>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3,332.5</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$0.01 par value; 1,000,000 shares authorized; none issued and outstanding</w:t>
            </w:r>
          </w:p>
        </w:tc>
        <w:tc>
          <w:tcPr>
            <w:tcW w:w="3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240"/>
              <w:spacing w:after="0" w:line="166" w:lineRule="exact"/>
              <w:rPr>
                <w:sz w:val="20"/>
                <w:szCs w:val="20"/>
                <w:color w:val="auto"/>
              </w:rPr>
            </w:pPr>
            <w:r>
              <w:rPr>
                <w:rFonts w:ascii="Arial" w:cs="Arial" w:eastAsia="Arial" w:hAnsi="Arial"/>
                <w:sz w:val="16"/>
                <w:szCs w:val="16"/>
                <w:color w:val="auto"/>
                <w:w w:val="92"/>
              </w:rPr>
              <w:t>Common stock, $0.01 par value; 500,000,000 shares authorized, 256,026,201 and 254,479,046 shares issued</w:t>
            </w:r>
          </w:p>
        </w:tc>
        <w:tc>
          <w:tcPr>
            <w:tcW w:w="3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7480" w:type="dxa"/>
            <w:vAlign w:val="bottom"/>
          </w:tcPr>
          <w:p>
            <w:pPr>
              <w:ind w:left="400"/>
              <w:spacing w:after="0"/>
              <w:rPr>
                <w:sz w:val="20"/>
                <w:szCs w:val="20"/>
                <w:color w:val="auto"/>
              </w:rPr>
            </w:pPr>
            <w:r>
              <w:rPr>
                <w:rFonts w:ascii="Arial" w:cs="Arial" w:eastAsia="Arial" w:hAnsi="Arial"/>
                <w:sz w:val="16"/>
                <w:szCs w:val="16"/>
                <w:color w:val="auto"/>
              </w:rPr>
              <w:t>and outstanding, respectively</w:t>
            </w:r>
          </w:p>
        </w:tc>
        <w:tc>
          <w:tcPr>
            <w:tcW w:w="3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w:t>
            </w:r>
          </w:p>
        </w:tc>
        <w:tc>
          <w:tcPr>
            <w:tcW w:w="0" w:type="dxa"/>
            <w:vAlign w:val="bottom"/>
          </w:tcPr>
          <w:p>
            <w:pPr>
              <w:spacing w:after="0"/>
              <w:rPr>
                <w:sz w:val="1"/>
                <w:szCs w:val="1"/>
                <w:color w:val="auto"/>
              </w:rPr>
            </w:pP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4,773.4</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3,200.8</w:t>
            </w:r>
          </w:p>
        </w:tc>
        <w:tc>
          <w:tcPr>
            <w:tcW w:w="0" w:type="dxa"/>
            <w:vAlign w:val="bottom"/>
          </w:tcPr>
          <w:p>
            <w:pPr>
              <w:spacing w:after="0"/>
              <w:rPr>
                <w:sz w:val="1"/>
                <w:szCs w:val="1"/>
                <w:color w:val="auto"/>
              </w:rPr>
            </w:pPr>
          </w:p>
        </w:tc>
      </w:tr>
      <w:tr>
        <w:trPr>
          <w:trHeight w:val="206"/>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11,933.5</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10,100.0</w:t>
            </w:r>
          </w:p>
        </w:tc>
        <w:tc>
          <w:tcPr>
            <w:tcW w:w="0" w:type="dxa"/>
            <w:vAlign w:val="bottom"/>
          </w:tcPr>
          <w:p>
            <w:pPr>
              <w:spacing w:after="0"/>
              <w:rPr>
                <w:sz w:val="1"/>
                <w:szCs w:val="1"/>
                <w:color w:val="auto"/>
              </w:rPr>
            </w:pPr>
          </w:p>
        </w:tc>
      </w:tr>
      <w:tr>
        <w:trPr>
          <w:trHeight w:val="235"/>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15,582.2</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left="289"/>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240" w:type="dxa"/>
            <w:vAlign w:val="bottom"/>
          </w:tcPr>
          <w:p>
            <w:pPr>
              <w:spacing w:after="0"/>
              <w:rPr>
                <w:sz w:val="24"/>
                <w:szCs w:val="24"/>
                <w:color w:val="auto"/>
              </w:rPr>
            </w:pPr>
          </w:p>
        </w:tc>
        <w:tc>
          <w:tcPr>
            <w:tcW w:w="18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2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30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96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Retained</w:t>
            </w:r>
          </w:p>
        </w:tc>
        <w:tc>
          <w:tcPr>
            <w:tcW w:w="134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Total Shareholders’</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17"/>
                <w:szCs w:val="17"/>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7,499.2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8,980.3</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259.1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7,640.2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1,578.8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9,196.4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6,930.2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3,962.9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10,907.0</w:t>
            </w:r>
          </w:p>
        </w:tc>
        <w:tc>
          <w:tcPr>
            <w:tcW w:w="0" w:type="dxa"/>
            <w:vAlign w:val="bottom"/>
          </w:tcPr>
          <w:p>
            <w:pPr>
              <w:spacing w:after="0"/>
              <w:rPr>
                <w:sz w:val="1"/>
                <w:szCs w:val="1"/>
                <w:color w:val="auto"/>
              </w:rPr>
            </w:pPr>
          </w:p>
        </w:tc>
      </w:tr>
      <w:tr>
        <w:trPr>
          <w:trHeight w:val="190"/>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810.5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89"/>
        </w:trPr>
        <w:tc>
          <w:tcPr>
            <w:tcW w:w="4240" w:type="dxa"/>
            <w:vAlign w:val="bottom"/>
          </w:tcPr>
          <w:p>
            <w:pPr>
              <w:ind w:left="80"/>
              <w:spacing w:after="0"/>
              <w:rPr>
                <w:sz w:val="20"/>
                <w:szCs w:val="20"/>
                <w:color w:val="auto"/>
              </w:rPr>
            </w:pPr>
            <w:r>
              <w:rPr>
                <w:rFonts w:ascii="Arial" w:cs="Arial" w:eastAsia="Arial" w:hAnsi="Arial"/>
                <w:sz w:val="14"/>
                <w:szCs w:val="14"/>
                <w:b w:val="1"/>
                <w:bCs w:val="1"/>
                <w:color w:val="auto"/>
              </w:rPr>
              <w:t>Balance at June 30, 2022</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7,100.0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4,773.4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11,933.5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42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left="269"/>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240" w:type="dxa"/>
            <w:vAlign w:val="bottom"/>
          </w:tcPr>
          <w:p>
            <w:pPr>
              <w:spacing w:after="0"/>
              <w:rPr>
                <w:sz w:val="24"/>
                <w:szCs w:val="24"/>
                <w:color w:val="auto"/>
              </w:rPr>
            </w:pPr>
          </w:p>
        </w:tc>
        <w:tc>
          <w:tcPr>
            <w:tcW w:w="18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7"/>
        </w:trPr>
        <w:tc>
          <w:tcPr>
            <w:tcW w:w="42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30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96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8"/>
                <w:szCs w:val="8"/>
                <w:color w:val="auto"/>
              </w:rPr>
            </w:pPr>
          </w:p>
        </w:tc>
        <w:tc>
          <w:tcPr>
            <w:tcW w:w="1180" w:type="dxa"/>
            <w:vAlign w:val="bottom"/>
          </w:tcPr>
          <w:p>
            <w:pPr>
              <w:jc w:val="center"/>
              <w:ind w:right="88"/>
              <w:spacing w:after="0" w:line="102"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17"/>
                <w:szCs w:val="17"/>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7,894.0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8,686.8</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720.1</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(424.9)</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259.1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7,640.2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1,578.8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9,196.4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6,880.8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3,200.8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10,100.0</w:t>
            </w:r>
          </w:p>
        </w:tc>
        <w:tc>
          <w:tcPr>
            <w:tcW w:w="0" w:type="dxa"/>
            <w:vAlign w:val="bottom"/>
          </w:tcPr>
          <w:p>
            <w:pPr>
              <w:spacing w:after="0"/>
              <w:rPr>
                <w:sz w:val="1"/>
                <w:szCs w:val="1"/>
                <w:color w:val="auto"/>
              </w:rPr>
            </w:pPr>
          </w:p>
        </w:tc>
      </w:tr>
      <w:tr>
        <w:trPr>
          <w:trHeight w:val="190"/>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6"/>
        </w:trPr>
        <w:tc>
          <w:tcPr>
            <w:tcW w:w="42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1,572.6</w:t>
            </w:r>
          </w:p>
        </w:tc>
        <w:tc>
          <w:tcPr>
            <w:tcW w:w="0" w:type="dxa"/>
            <w:vAlign w:val="bottom"/>
          </w:tcPr>
          <w:p>
            <w:pPr>
              <w:spacing w:after="0"/>
              <w:rPr>
                <w:sz w:val="1"/>
                <w:szCs w:val="1"/>
                <w:color w:val="auto"/>
              </w:rPr>
            </w:pPr>
          </w:p>
        </w:tc>
      </w:tr>
      <w:tr>
        <w:trPr>
          <w:trHeight w:val="195"/>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withheld for employee tax obligations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Arial" w:cs="Arial" w:eastAsia="Arial" w:hAnsi="Arial"/>
                <w:sz w:val="14"/>
                <w:szCs w:val="14"/>
                <w:color w:val="auto"/>
              </w:rPr>
              <w:t>Issuance of common stock under benefit plans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w:t>
            </w: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7,100.0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4,773.4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11,933.5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10"/>
        </w:trPr>
        <w:tc>
          <w:tcPr>
            <w:tcW w:w="7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r>
      <w:tr>
        <w:trPr>
          <w:trHeight w:val="19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54"/>
        </w:trPr>
        <w:tc>
          <w:tcPr>
            <w:tcW w:w="74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1,572.6</w:t>
            </w:r>
          </w:p>
        </w:tc>
        <w:tc>
          <w:tcPr>
            <w:tcW w:w="160" w:type="dxa"/>
            <w:vAlign w:val="bottom"/>
          </w:tcPr>
          <w:p>
            <w:pPr>
              <w:spacing w:after="0"/>
              <w:rPr>
                <w:sz w:val="22"/>
                <w:szCs w:val="22"/>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720.1</w:t>
            </w:r>
          </w:p>
        </w:tc>
      </w:tr>
      <w:tr>
        <w:trPr>
          <w:trHeight w:val="219"/>
        </w:trPr>
        <w:tc>
          <w:tcPr>
            <w:tcW w:w="7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244.2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219.8</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expense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Decrease in fair value of contingent consideration</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Losses on equity securities</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159.8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non-cash items,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7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Accounts receivable,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13"/>
        </w:trPr>
        <w:tc>
          <w:tcPr>
            <w:tcW w:w="7480" w:type="dxa"/>
            <w:vAlign w:val="bottom"/>
          </w:tcPr>
          <w:p>
            <w:pPr>
              <w:ind w:left="900"/>
              <w:spacing w:after="0"/>
              <w:rPr>
                <w:sz w:val="20"/>
                <w:szCs w:val="20"/>
                <w:color w:val="auto"/>
              </w:rPr>
            </w:pPr>
            <w:r>
              <w:rPr>
                <w:rFonts w:ascii="Arial" w:cs="Arial" w:eastAsia="Arial" w:hAnsi="Arial"/>
                <w:sz w:val="16"/>
                <w:szCs w:val="16"/>
                <w:color w:val="auto"/>
              </w:rPr>
              <w:t>Inventories</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19"/>
        </w:trPr>
        <w:tc>
          <w:tcPr>
            <w:tcW w:w="7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Prepaid expenses and other assets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13"/>
        </w:trPr>
        <w:tc>
          <w:tcPr>
            <w:tcW w:w="7480" w:type="dxa"/>
            <w:vAlign w:val="bottom"/>
          </w:tcPr>
          <w:p>
            <w:pPr>
              <w:ind w:left="900"/>
              <w:spacing w:after="0"/>
              <w:rPr>
                <w:sz w:val="20"/>
                <w:szCs w:val="20"/>
                <w:color w:val="auto"/>
              </w:rPr>
            </w:pPr>
            <w:r>
              <w:rPr>
                <w:rFonts w:ascii="Arial" w:cs="Arial" w:eastAsia="Arial" w:hAnsi="Arial"/>
                <w:sz w:val="16"/>
                <w:szCs w:val="16"/>
                <w:color w:val="auto"/>
              </w:rPr>
              <w:t>Accounts payable</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9"/>
        </w:trPr>
        <w:tc>
          <w:tcPr>
            <w:tcW w:w="7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Accrued expenses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r>
      <w:tr>
        <w:trPr>
          <w:trHeight w:val="213"/>
        </w:trPr>
        <w:tc>
          <w:tcPr>
            <w:tcW w:w="748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Other liabilities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r>
      <w:tr>
        <w:trPr>
          <w:trHeight w:val="213"/>
        </w:trPr>
        <w:tc>
          <w:tcPr>
            <w:tcW w:w="74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2,096.0</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721.3</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available-for-sale debt securities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r>
      <w:tr>
        <w:trPr>
          <w:trHeight w:val="213"/>
        </w:trPr>
        <w:tc>
          <w:tcPr>
            <w:tcW w:w="7480" w:type="dxa"/>
            <w:vAlign w:val="bottom"/>
          </w:tcPr>
          <w:p>
            <w:pPr>
              <w:ind w:left="240"/>
              <w:spacing w:after="0"/>
              <w:rPr>
                <w:sz w:val="20"/>
                <w:szCs w:val="20"/>
                <w:color w:val="auto"/>
              </w:rPr>
            </w:pPr>
            <w:r>
              <w:rPr>
                <w:rFonts w:ascii="Arial" w:cs="Arial" w:eastAsia="Arial" w:hAnsi="Arial"/>
                <w:sz w:val="16"/>
                <w:szCs w:val="16"/>
                <w:color w:val="auto"/>
              </w:rPr>
              <w:t>Maturities of available-for-sale debt securities</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242.3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221.3</w:t>
            </w: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13"/>
        </w:trPr>
        <w:tc>
          <w:tcPr>
            <w:tcW w:w="7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Investment in equity securities and notes receivable</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74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9"/>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Issuances of common stock under benefit plans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26"/>
        </w:trPr>
        <w:tc>
          <w:tcPr>
            <w:tcW w:w="7480" w:type="dxa"/>
            <w:vAlign w:val="bottom"/>
          </w:tcPr>
          <w:p>
            <w:pPr>
              <w:ind w:left="240"/>
              <w:spacing w:after="0"/>
              <w:rPr>
                <w:sz w:val="20"/>
                <w:szCs w:val="20"/>
                <w:color w:val="auto"/>
              </w:rPr>
            </w:pPr>
            <w:r>
              <w:rPr>
                <w:rFonts w:ascii="Arial" w:cs="Arial" w:eastAsia="Arial" w:hAnsi="Arial"/>
                <w:sz w:val="16"/>
                <w:szCs w:val="16"/>
                <w:color w:val="auto"/>
              </w:rPr>
              <w:t>Repurchases of common stock</w:t>
            </w:r>
          </w:p>
        </w:tc>
        <w:tc>
          <w:tcPr>
            <w:tcW w:w="1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(424.9)</w:t>
            </w: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in connection with common stock withheld for employee tax obligations</w:t>
            </w: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r>
      <w:tr>
        <w:trPr>
          <w:trHeight w:val="226"/>
        </w:trPr>
        <w:tc>
          <w:tcPr>
            <w:tcW w:w="7480" w:type="dxa"/>
            <w:vAlign w:val="bottom"/>
          </w:tcPr>
          <w:p>
            <w:pPr>
              <w:ind w:left="240"/>
              <w:spacing w:after="0"/>
              <w:rPr>
                <w:sz w:val="20"/>
                <w:szCs w:val="20"/>
                <w:color w:val="auto"/>
              </w:rPr>
            </w:pPr>
            <w:r>
              <w:rPr>
                <w:rFonts w:ascii="Arial" w:cs="Arial" w:eastAsia="Arial" w:hAnsi="Arial"/>
                <w:sz w:val="16"/>
                <w:szCs w:val="16"/>
                <w:color w:val="auto"/>
              </w:rPr>
              <w:t>Payments on finance leases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finance leases</w:t>
            </w:r>
          </w:p>
        </w:tc>
        <w:tc>
          <w:tcPr>
            <w:tcW w:w="1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3"/>
        </w:trPr>
        <w:tc>
          <w:tcPr>
            <w:tcW w:w="7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financing activities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74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used in financing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(485.1)</w:t>
            </w:r>
          </w:p>
        </w:tc>
      </w:tr>
      <w:tr>
        <w:trPr>
          <w:trHeight w:val="20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changes in exchange rates on cash</w:t>
            </w: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74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increase in cash, cash equivalents and restricted cash</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r>
      <w:tr>
        <w:trPr>
          <w:trHeight w:val="22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6,800.1</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5,988.9</w:t>
            </w:r>
          </w:p>
        </w:tc>
      </w:tr>
      <w:tr>
        <w:trPr>
          <w:trHeight w:val="23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8,704.1</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6"/>
        </w:trPr>
        <w:tc>
          <w:tcPr>
            <w:tcW w:w="748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27.1</w:t>
            </w:r>
          </w:p>
        </w:tc>
        <w:tc>
          <w:tcPr>
            <w:tcW w:w="160" w:type="dxa"/>
            <w:vAlign w:val="bottom"/>
          </w:tcPr>
          <w:p>
            <w:pPr>
              <w:spacing w:after="0"/>
              <w:rPr>
                <w:sz w:val="19"/>
                <w:szCs w:val="19"/>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33"/>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478.3</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Basis of Presentation and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accompanying condensed consolidated financial statements are unaudited and have been prepared by Vertex Pharmaceuticals Incorporated (“Vertex,” “we,” “us” or “our”) in accordance with accounting principles generally accepted in the United States of America (“U.S. GAAP”).</w:t>
      </w:r>
    </w:p>
    <w:p>
      <w:pPr>
        <w:spacing w:after="0" w:line="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condensed consolidated financial statements reflect the operations of Vertex and our wholly-owned subsidiaries. All material intercompany balances and transactions have been eliminated. We operate in one segment, pharmaceuticals.</w:t>
      </w:r>
    </w:p>
    <w:p>
      <w:pPr>
        <w:spacing w:after="0" w:line="11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Beginning with the second quarter of 2022, we are separately classifying upfront, contingent milestone, and other payments pursuant to our business development transactions, including collaborations, licenses of third-party technologies, and asset acquisitions as “Acquired in-process research and development expenses” in our condensed consolidated statements of operations. To conform prior periods to current presentation, we reclassified $958.4 million and $960.1 million from “Research and development expenses” to “Acquired in-process research and development expenses” for the three and six months ended June 30, 2021, respectively. Please refer to Note C, “Acquired In-Process Research and Development and Other Arrangements,” for further information on these transactions.</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Certain information and footnote disclosures normally included in our Annual Report on Form 10-K for the fiscal year ended December 31, 2021 (the “2021 Annual Report on Form 10-K”) have been condensed or omitted. These interim financial statements, in the opinion of management, reflect all normal recurring adjustments necessary for a fair presentation of the financial position and results of operations for the interim periods ended June 30, 2022 and 2021.</w:t>
      </w:r>
    </w:p>
    <w:p>
      <w:pPr>
        <w:spacing w:after="0" w:line="13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the full fiscal year. These interim financial statements should be read in conjunction with the audited financial statements for the year ended December 31, 2021, which are contained in our 2021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preparation of condensed consolidated financial statements in accordance with U.S. GAAP requires us to make certain estimates and assumptions that affect the reported amounts of assets and liabilities and disclosure of contingent assets and liabilities at the date of our condensed consolidated financial statements, and the amounts of revenues and expenses during the reported periods. We base our estimates on historical experience and various other assumptions, including in certain circumstances future projections that we believe to be reasonable under the circumstances. Actual results could differ from those estimates. Changes in estimates are reflected in reported results in the period in which they become known.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and Issued Accounting Standards</w:t>
      </w:r>
    </w:p>
    <w:p>
      <w:pPr>
        <w:spacing w:after="0" w:line="17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a discussion of recently adopted accounting pronouncements please refer to Note A, “Nature of Business and Accounting Policies,” in our 2021 Annual Report on Form 10-K. We do not expect any recently issued accounting standards to have a significant impact on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significant accounting policies are described in Note A, “Nature of Business and Accounting Policies,”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B.  Revenue Recognition</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Disaggregation of Revenue</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Revenues by Product</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98"/>
        </w:trPr>
        <w:tc>
          <w:tcPr>
            <w:tcW w:w="34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Product revenues, net consisted of the following:</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4"/>
                <w:szCs w:val="24"/>
                <w:color w:val="auto"/>
              </w:rPr>
            </w:pPr>
          </w:p>
        </w:tc>
        <w:tc>
          <w:tcPr>
            <w:tcW w:w="27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2,448.8</w:t>
            </w:r>
          </w:p>
        </w:tc>
      </w:tr>
      <w:tr>
        <w:trPr>
          <w:trHeight w:val="229"/>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SYMDEKO/SYMKEVI</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258.6</w:t>
            </w:r>
          </w:p>
        </w:tc>
      </w:tr>
      <w:tr>
        <w:trPr>
          <w:trHeight w:val="230"/>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r>
      <w:tr>
        <w:trPr>
          <w:trHeight w:val="229"/>
        </w:trPr>
        <w:tc>
          <w:tcPr>
            <w:tcW w:w="45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KALYDECO</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r>
      <w:tr>
        <w:trPr>
          <w:trHeight w:val="248"/>
        </w:trPr>
        <w:tc>
          <w:tcPr>
            <w:tcW w:w="4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product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4,293.7</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3,516.7</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Product Revenues by Geographic Location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net product revenues by geographic region, based on the location of the customer,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Pr>
          <w:p>
            <w:pPr>
              <w:spacing w:after="0"/>
              <w:rPr>
                <w:sz w:val="20"/>
                <w:szCs w:val="20"/>
                <w:color w:val="auto"/>
              </w:rPr>
            </w:pPr>
          </w:p>
        </w:tc>
        <w:tc>
          <w:tcPr>
            <w:tcW w:w="27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4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2,510.4</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Outside of the United States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r>
      <w:tr>
        <w:trPr>
          <w:trHeight w:val="243"/>
        </w:trPr>
        <w:tc>
          <w:tcPr>
            <w:tcW w:w="4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revenues outside of the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r>
      <w:tr>
        <w:trPr>
          <w:trHeight w:val="223"/>
        </w:trPr>
        <w:tc>
          <w:tcPr>
            <w:tcW w:w="4560" w:type="dxa"/>
            <w:vAlign w:val="bottom"/>
          </w:tcPr>
          <w:p>
            <w:pPr>
              <w:ind w:left="240"/>
              <w:spacing w:after="0"/>
              <w:rPr>
                <w:sz w:val="20"/>
                <w:szCs w:val="20"/>
                <w:color w:val="auto"/>
              </w:rPr>
            </w:pPr>
            <w:r>
              <w:rPr>
                <w:rFonts w:ascii="Arial" w:cs="Arial" w:eastAsia="Arial" w:hAnsi="Arial"/>
                <w:sz w:val="18"/>
                <w:szCs w:val="18"/>
                <w:color w:val="auto"/>
              </w:rPr>
              <w:t>Total product revenues,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2,196.2</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1,793.4</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4,293.7</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had contract liabilities of $134.8 million and $171.7 million as of June 30, 2022 and December 31, 2021, respectively, related to annual contracts with government-owned and supported customers in international markets that limit the amount of annual reimbursement we can receive. Upon exceeding the annual reimbursement amount, products are provided free of charge, which is a material right. These contracts include upfront payments and fees. We defer a portion of the consideration received for shipments made up to the annual reimbursement limit as a portion of “Other current liabilities.” The deferred amount is recognized as revenue when the free products are shipped. Our product revenue contracts include performance obligations that are one year or less.</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contract liabilities at the end of each fiscal year relate to contracts with annual reimbursement limits in international markets in which the annual period associated with the contract is not the same as our fiscal year. In these markets, we recognize revenues related to performance obligations satisfied in previous years; however, these revenues do not relate to any performance obligations that were satisfied more than 12 months prior to the beginning of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Acquired In-Process Research and Development and Other Arrangements</w:t>
      </w:r>
    </w:p>
    <w:p>
      <w:pPr>
        <w:spacing w:after="0" w:line="17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entered into numerous agreements with third parties to collaborate on research, development and commercialization programs, license technologies, or acquire assets. Our “Acquired in-process research and development expenses” included $61.9 million and $63.9 million for the three and six months ended June 30, 2022, respectively, and $958.4 million and $960.1 million, for the three and six months ended June 30, 2021, respectively, related to upfront, contingent milestone, or other payments pursuant to our business development transactions, including collaborations, licenses of third-party technologies, and asset acquisitions.</w:t>
      </w:r>
    </w:p>
    <w:p>
      <w:pPr>
        <w:spacing w:after="0" w:line="134"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Our collaboration, licensing and asset acquisition agreements that had a significant impact on our financial statements for the three and six months ended June 30, 2022 and 2021, or were new or materially revised during the three and six months ended June 30, 2022, are described below. Additional agreements were described in Note B, “Collaborative and Other Arrangements,” of our 2021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 Agreements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have entered into a number of in-license agreements in order to advance and obtain access to technologies and services related to our research and early-development activities. We are generally required to make an upfront payment upon execution of our license agreements; development, regulatory and commercialization milestones payments upon the achievement of certain product research, development and commercialization objectives; and royalty payments on future sales, if any, of commercial products resulting from our collaborations.</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terms of our in-license agreements, our collaborators typically lead the discovery efforts and we lead all preclinical, development and commercialization activities associated with the advancement of any product candidates and fund all expenses.</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typically can terminate our in-license agreements by providing advance notice to our collaborators; the required length of notice is dependent on whether any product developed under the license agreement has received marketing approval. Our license agreements may be terminated by either party for a material breach by the other, subject to notice and cure provisions. Unless earlier terminated, these license agreements generally remain in effect until the date on which the royalty term and all payment obligations with respect to all products in all countries have expired.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CRISPR Therapeutics AG - CRISPR-Cas9 Gene-editing Therapies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2015, we entered into a strategic collaboration, option and license agreement (the “CRISPR Agreement”) with CRISPR Therapeutics AG and its affiliates (“CRISPR”) to collaborate on the discovery and development of potential new treatments aimed at the underlying genetic causes of human diseases using CRISPR-Cas9 gene-editing technology. We had the exclusive right to license certain targets. In 2019, we elected to exclusively license three targets, including cystic fibrosis, pursuant to the CRISPR Agreement. For each of the three targets that we elected to license, CRISPR has the potential to receive up to an additional $410.0 million in development, regulatory and commercial milestones as well as royalties on net product sales.</w:t>
      </w:r>
    </w:p>
    <w:p>
      <w:pPr>
        <w:spacing w:after="0" w:line="10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2017, we entered into a joint development and commercialization agreement with CRISPR pursuant to the terms of the CRISPR Agreement (the “Original CTX001 JDCA”), under which we and CRISPR were co-developing and preparing to co-commercialize exagamglogene autotemcel (“exa-cel”), formerly known as CTX001, for the treatment of hemoglobinopathies, including treatments for sickle cell disease and transfusion-dependent beta thalassemia.</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second quarter of 2021, we and CRISPR amended and restated the Original CTX001 JDCA (the “A&amp;R JDCA”), pursuant to which the parties agreed to, among other things, (a) 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w:t>
      </w:r>
    </w:p>
    <w:p>
      <w:pPr>
        <w:spacing w:after="0" w:line="134"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Pursuant to the A&amp;R JDCA, we lead global development, manufacturing and commercialization of exa-cel, with support from CRISPR. Subject to the terms and conditions of the A&amp;R JDCA, we conduct all research, development, manufacturing and commercialization activities relating to the product candidates and products under the A&amp;R JDCA (including exa-cel) throughout the world subject to CRISPR’s reserved right to conduct certain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connection with the A&amp;R JDCA, we made a $900.0 million upfront payment to CRISPR in the second quarter of 2021. We concluded that we did not have any alternative future use for the acquired in-process research and development and recorded this upfront payment to “Acquired in-process research and development expenses.” CRISPR has the potential to receive an additional one-time $200.0 million milestone payment upon receipt of the first marketing approval of exa-cel from the U.S. Food and Drug Administration or the European Commission.</w:t>
      </w:r>
    </w:p>
    <w:p>
      <w:pPr>
        <w:spacing w:after="0" w:line="11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and CRISPR shared equally all expenses incurred under the Original CTX001 JDCA. On July 1, 2021, the net profits and net losses incurred with respect to exa-cel pursuant to the A&amp;R JDCA began to be allocated 60% to us and 40% to CRISPR, while all other product candidates and products continue to have net profits and net losses shared equally between the parties. We concluded that the Original CTX001 JDCA and the A&amp;R JDCA are cost-sharing arrangements, which result in the net impact of the arrangements being recorded in “Total costs and expenses” within our condensed consolidated statements of operations. During the three and six months ended June 30, 2022 and 2021, we recognized the following amounts in total, not including amounts recorded to “Acquired in-process research and development expenses,” related to these agreements: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0"/>
                <w:szCs w:val="20"/>
                <w:color w:val="auto"/>
              </w:rPr>
            </w:pPr>
          </w:p>
        </w:tc>
        <w:tc>
          <w:tcPr>
            <w:tcW w:w="2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(in millions)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Total expenses incurred under the Original CTX001 JDCA</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4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161.6</w:t>
            </w:r>
          </w:p>
        </w:tc>
        <w:tc>
          <w:tcPr>
            <w:tcW w:w="4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A&amp;R JDCA</w:t>
            </w:r>
          </w:p>
        </w:tc>
        <w:tc>
          <w:tcPr>
            <w:tcW w:w="2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1"/>
              </w:rPr>
              <w:t>Vertex’s share recognized in “Total costs and expenses” in our</w:t>
            </w:r>
          </w:p>
        </w:tc>
        <w:tc>
          <w:tcPr>
            <w:tcW w:w="280" w:type="dxa"/>
            <w:vAlign w:val="bottom"/>
          </w:tcPr>
          <w:p>
            <w:pPr>
              <w:spacing w:after="0"/>
              <w:rPr>
                <w:sz w:val="15"/>
                <w:szCs w:val="15"/>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50.9</w:t>
            </w:r>
          </w:p>
        </w:tc>
        <w:tc>
          <w:tcPr>
            <w:tcW w:w="460" w:type="dxa"/>
            <w:vAlign w:val="bottom"/>
          </w:tcPr>
          <w:p>
            <w:pPr>
              <w:spacing w:after="0"/>
              <w:rPr>
                <w:sz w:val="15"/>
                <w:szCs w:val="15"/>
                <w:color w:val="auto"/>
              </w:rPr>
            </w:pPr>
          </w:p>
        </w:tc>
        <w:tc>
          <w:tcPr>
            <w:tcW w:w="1200" w:type="dxa"/>
            <w:vAlign w:val="bottom"/>
            <w:vMerge w:val="restart"/>
          </w:tcPr>
          <w:p>
            <w:pPr>
              <w:ind w:left="80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rPr>
              <w:t>96.9</w:t>
            </w:r>
          </w:p>
        </w:tc>
        <w:tc>
          <w:tcPr>
            <w:tcW w:w="4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condensed consolidated statements of operations</w:t>
            </w:r>
          </w:p>
        </w:tc>
        <w:tc>
          <w:tcPr>
            <w:tcW w:w="2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Catalyst Biosciences, Inc. - Complement 3 Degrader Program</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May 2022, pursuant to an asset purchase agreement, we acquired Catalyst Biosciences, Inc.’s portfolio of protease medicines that target the complement system (the “complement portfolio”) and related intellectual property, including CB 2782-PEG, which is a pre-clinical complement component 3 degrader program for geographic atrophy in dry age-related macular degeneration. We determined that substantially all the fair value acquired is concentrated in the CB-2782 PEG in-process research and development assets, which do not constitute a business, and for which we determined there is no alternative future use. As a result, we recorded our $60.0 million upfront payment to “Acquired in-process research and development expenses” in the three and six months ended June 30,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a research, development and commercialization agreement that was originally entered into in 2004 with the Cystic Fibrosis Foundation, as successor in interest to the Cystic Fibrosis Foundation Therapeutics, Inc. This agreement was most recently amended in 2016. Pursuant to the agreement, as amended, we agreed to pay royalties ranging from low-single digits to mid-single digits on potential sales of certain compounds first synthesized and/or tested between March 1, 2014 and August 31, 2016, including elexacaftor, and tiered royalties ranging from single digits to sub-teens on covered compounds first synthesized and/or tested during a research term on or before February 28, 2014, including KALYDECO (ivacaftor), ORKAMBI (lumacaftor in combination with ivacaftor) and SYMDEKO/SYMKEVI (tezacaftor in combination with ivacaftor). For combination products, such as ORKAMBI, SYMDEKO/SYMKEVI and TRIKAFTA/KAFTRIO (elexacaftor/tezacaftor/ivacaftor and ivacaftor), sales are allocated equally to each of the active pharmaceutical ingredients in the combination product. We record our royalties payable to the Cystic Fibrosis Foundation to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common share for the periods ended: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5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5"/>
              </w:rPr>
              <w:t>(in millions, except per share amounts)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810.5</w:t>
            </w:r>
          </w:p>
        </w:tc>
        <w:tc>
          <w:tcPr>
            <w:tcW w:w="12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1,572.6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weighted-average common shares outstanding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potentially dilutive securities: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stock units (including PSUs)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stock purchase program</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259.0</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255.5</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459"/>
        </w:trPr>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1540" w:type="dxa"/>
            <w:vAlign w:val="bottom"/>
          </w:tcPr>
          <w:p>
            <w:pPr>
              <w:jc w:val="right"/>
              <w:spacing w:after="0"/>
              <w:rPr>
                <w:sz w:val="20"/>
                <w:szCs w:val="20"/>
                <w:color w:val="auto"/>
              </w:rPr>
            </w:pPr>
            <w:r>
              <w:rPr>
                <w:rFonts w:ascii="Arial" w:cs="Arial" w:eastAsia="Arial" w:hAnsi="Arial"/>
                <w:sz w:val="18"/>
                <w:szCs w:val="18"/>
                <w:color w:val="auto"/>
              </w:rPr>
              <w:t>258.7</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258.3</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-899795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-608330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-307975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40" w:space="620"/>
            <w:col w:w="66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8"/>
                <w:szCs w:val="18"/>
                <w:color w:val="auto"/>
              </w:rPr>
              <w:t>Basic net income per common share</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0.26</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net income per common share</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0.26</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24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did not include the securities in the following table in the computation of the diluted net income per common share because the effect would have been anti-dilutive during each period: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458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 millions)</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4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 (including PSUs)</w:t>
            </w:r>
          </w:p>
        </w:tc>
        <w:tc>
          <w:tcPr>
            <w:tcW w:w="1740" w:type="dxa"/>
            <w:vAlign w:val="bottom"/>
          </w:tcPr>
          <w:p>
            <w:pPr>
              <w:jc w:val="right"/>
              <w:ind w:right="1270"/>
              <w:spacing w:after="0"/>
              <w:rPr>
                <w:sz w:val="20"/>
                <w:szCs w:val="20"/>
                <w:color w:val="auto"/>
              </w:rPr>
            </w:pPr>
            <w:r>
              <w:rPr>
                <w:rFonts w:ascii="Arial" w:cs="Arial" w:eastAsia="Arial" w:hAnsi="Arial"/>
                <w:sz w:val="18"/>
                <w:szCs w:val="18"/>
                <w:color w:val="auto"/>
              </w:rPr>
              <w:t>0.0</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0.3</w:t>
            </w: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fair value hierarchy is used to classify assets and liabilities based on observable inputs and unobservable inputs used in order to determine the fair value of our financial assets and liabilities:</w:t>
      </w:r>
    </w:p>
    <w:p>
      <w:pPr>
        <w:spacing w:after="0" w:line="157" w:lineRule="exact"/>
        <w:rPr>
          <w:sz w:val="20"/>
          <w:szCs w:val="20"/>
          <w:color w:val="auto"/>
        </w:rPr>
      </w:pPr>
    </w:p>
    <w:p>
      <w:pPr>
        <w:ind w:left="2060" w:right="880" w:hanging="982"/>
        <w:spacing w:after="0" w:line="224" w:lineRule="auto"/>
        <w:tabs>
          <w:tab w:leader="none" w:pos="2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ind w:left="1080"/>
        <w:spacing w:after="0"/>
        <w:tabs>
          <w:tab w:leader="none" w:pos="2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Level 1 inputs. Examples of Level 2 inputs include quoted prices in active markets for</w:t>
      </w:r>
    </w:p>
    <w:p>
      <w:pPr>
        <w:ind w:left="2060"/>
        <w:spacing w:after="0"/>
        <w:rPr>
          <w:sz w:val="20"/>
          <w:szCs w:val="20"/>
          <w:color w:val="auto"/>
        </w:rPr>
      </w:pPr>
      <w:r>
        <w:rPr>
          <w:rFonts w:ascii="Arial" w:cs="Arial" w:eastAsia="Arial" w:hAnsi="Arial"/>
          <w:sz w:val="18"/>
          <w:szCs w:val="18"/>
          <w:color w:val="auto"/>
        </w:rPr>
        <w:t>similar assets or liabilities and quoted prices for identical assets or liabilities in markets that are not active.</w:t>
      </w:r>
    </w:p>
    <w:p>
      <w:pPr>
        <w:spacing w:after="0" w:line="7" w:lineRule="exact"/>
        <w:rPr>
          <w:sz w:val="20"/>
          <w:szCs w:val="20"/>
          <w:color w:val="auto"/>
        </w:rPr>
      </w:pPr>
    </w:p>
    <w:p>
      <w:pPr>
        <w:ind w:left="2060" w:right="640" w:hanging="982"/>
        <w:spacing w:after="0" w:line="234" w:lineRule="auto"/>
        <w:tabs>
          <w:tab w:leader="none" w:pos="2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244"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investment strategy is focused on capital preservation. We invest in instruments that meet the credit quality standards outlined in our investment policy, which also limits the amount of credit exposure to any one issue or type of instrument. We maintain strategic investments separately from the investment policy that governs our other cash, cash equivalents and marketable securities as described in Note F, “Marketable Securities and Equity Investments.” Additionally, we utilize foreign currency forward contracts intended to mitigate the effect of changes in foreign exchange rates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tables set forth our financial assets and liabilities subject to fair value measurements by level within the fair value hierarchy (and does not include $3.5 billion and $3.3 billion of cash as of June 30, 2022 and December 31, 2021,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As of December 31, 2021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5"/>
        </w:trPr>
        <w:tc>
          <w:tcPr>
            <w:tcW w:w="3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r>
      <w:tr>
        <w:trPr>
          <w:trHeight w:val="188"/>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instruments carried at fair value (asset positions):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Cash equivalents: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Money market funds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440"/>
              <w:spacing w:after="0"/>
              <w:rPr>
                <w:sz w:val="20"/>
                <w:szCs w:val="20"/>
                <w:color w:val="auto"/>
              </w:rPr>
            </w:pPr>
            <w:r>
              <w:rPr>
                <w:rFonts w:ascii="Arial" w:cs="Arial" w:eastAsia="Arial" w:hAnsi="Arial"/>
                <w:sz w:val="14"/>
                <w:szCs w:val="14"/>
                <w:color w:val="auto"/>
              </w:rPr>
              <w:t>Commercial paper</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Marketable securities: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440"/>
              <w:spacing w:after="0"/>
              <w:rPr>
                <w:sz w:val="20"/>
                <w:szCs w:val="20"/>
                <w:color w:val="auto"/>
              </w:rPr>
            </w:pPr>
            <w:r>
              <w:rPr>
                <w:rFonts w:ascii="Arial" w:cs="Arial" w:eastAsia="Arial" w:hAnsi="Arial"/>
                <w:sz w:val="14"/>
                <w:szCs w:val="14"/>
                <w:color w:val="auto"/>
              </w:rPr>
              <w:t>Corporate equity securities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U.S. Treasury securities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440"/>
              <w:spacing w:after="0"/>
              <w:rPr>
                <w:sz w:val="20"/>
                <w:szCs w:val="20"/>
                <w:color w:val="auto"/>
              </w:rPr>
            </w:pPr>
            <w:r>
              <w:rPr>
                <w:rFonts w:ascii="Arial" w:cs="Arial" w:eastAsia="Arial" w:hAnsi="Arial"/>
                <w:sz w:val="14"/>
                <w:szCs w:val="14"/>
                <w:color w:val="auto"/>
              </w:rPr>
              <w:t>Government-sponsored enterprise securities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Corporate debt securities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86"/>
        </w:trPr>
        <w:tc>
          <w:tcPr>
            <w:tcW w:w="3760" w:type="dxa"/>
            <w:vAlign w:val="bottom"/>
          </w:tcPr>
          <w:p>
            <w:pPr>
              <w:ind w:left="440"/>
              <w:spacing w:after="0"/>
              <w:rPr>
                <w:sz w:val="20"/>
                <w:szCs w:val="20"/>
                <w:color w:val="auto"/>
              </w:rPr>
            </w:pPr>
            <w:r>
              <w:rPr>
                <w:rFonts w:ascii="Arial" w:cs="Arial" w:eastAsia="Arial" w:hAnsi="Arial"/>
                <w:sz w:val="14"/>
                <w:szCs w:val="14"/>
                <w:color w:val="auto"/>
              </w:rPr>
              <w:t>Commercial paper</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44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44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208"/>
        </w:trPr>
        <w:tc>
          <w:tcPr>
            <w:tcW w:w="37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financial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Financial instruments carried at fair value (liability positions):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97"/>
        </w:trPr>
        <w:tc>
          <w:tcPr>
            <w:tcW w:w="3760" w:type="dxa"/>
            <w:vAlign w:val="bottom"/>
          </w:tcPr>
          <w:p>
            <w:pPr>
              <w:ind w:left="180"/>
              <w:spacing w:after="0"/>
              <w:rPr>
                <w:sz w:val="20"/>
                <w:szCs w:val="20"/>
                <w:color w:val="auto"/>
              </w:rPr>
            </w:pPr>
            <w:r>
              <w:rPr>
                <w:rFonts w:ascii="Arial" w:cs="Arial" w:eastAsia="Arial" w:hAnsi="Arial"/>
                <w:sz w:val="14"/>
                <w:szCs w:val="14"/>
                <w:color w:val="auto"/>
              </w:rPr>
              <w:t>Long-term contingent consideration</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w w:val="94"/>
              </w:rPr>
              <w:t>(129.8)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w w:val="94"/>
              </w:rPr>
              <w:t>(186.5)</w:t>
            </w:r>
          </w:p>
        </w:tc>
      </w:tr>
      <w:tr>
        <w:trPr>
          <w:trHeight w:val="195"/>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3760" w:type="dxa"/>
            <w:vAlign w:val="bottom"/>
          </w:tcPr>
          <w:p>
            <w:pPr>
              <w:ind w:left="440"/>
              <w:spacing w:after="0"/>
              <w:rPr>
                <w:sz w:val="20"/>
                <w:szCs w:val="20"/>
                <w:color w:val="auto"/>
              </w:rPr>
            </w:pPr>
            <w:r>
              <w:rPr>
                <w:rFonts w:ascii="Arial" w:cs="Arial" w:eastAsia="Arial" w:hAnsi="Arial"/>
                <w:sz w:val="14"/>
                <w:szCs w:val="14"/>
                <w:color w:val="auto"/>
              </w:rPr>
              <w:t>Foreign currency forward contracts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208"/>
        </w:trPr>
        <w:tc>
          <w:tcPr>
            <w:tcW w:w="37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financial liabilities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4"/>
              </w:rPr>
              <w:t>(129.8)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4"/>
              </w:rPr>
              <w:t>(186.5)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Please refer to Note F, “Marketable Securities and Equity Investments,” for the carrying amount and related unrealized gains (losses) by type of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Corporate Equity Securities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classify our investments in publicly traded corporate equity securities as “Marketable securities” on our condensed consolidated balance sheets. Generally, our investments in the common stock of publicly traded companies are valued based on Level 1 inputs because they have readily determinable fair values. However, certain of our investments in publicly traded companies have been or continue to be valued based on Level 2 inputs due to transfer restrictions associated with these investments. Please refer to Note F, “Marketable Securities and Equity Investments,” for further information on these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w:t>
      </w:r>
    </w:p>
    <w:p>
      <w:pPr>
        <w:spacing w:after="0" w:line="17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2019, we acquired Exonics Therapeutics, Inc. (“Exonics”), a privately-held company focused on creating transformative gene-editing therapies to repair mutations that cause duchenne muscular dystrophy and other severe neuromuscular diseases, including myotonic dystrophy type 1. Our Level 3 contingent consideration liabilities are related to $678.3 million of development and regulatory milestones potentially payable to former Exonics equity holders. We base our estimates of the probability of achieving the milestones relevant to the fair value of contingent payments on industry data attributable to rare diseases and our knowledge of the progress and viability of the programs. The discount rates used in the valuation model for contingent payments, which were between 3.9% and 4.2% as of June 30, 2022, represent a measure of credit risk and market risk associated with settling the liabilities. Significant judgment is used in determining the appropriateness of these assumptions at each reporting period. Due to the uncertainties associated with development and commercialization of product candidates in the pharmaceutical industry and the effects of changes in other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including discount rates, we expect our estimates regarding the fair value of contingent consideration to change in the future, resulting in adjustments to the fair value of our contingent consideration liabilities, and the effect of any such adjustments could be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the fair value of our contingent consideration liabilities:</w:t>
      </w:r>
    </w:p>
    <w:p>
      <w:pPr>
        <w:spacing w:after="0" w:line="19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Six Months Ended June 30,</w:t>
      </w:r>
    </w:p>
    <w:p>
      <w:pPr>
        <w:jc w:val="center"/>
        <w:ind w:left="664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4445</wp:posOffset>
            </wp:positionV>
            <wp:extent cx="14319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ind w:left="8480"/>
        <w:spacing w:after="0"/>
        <w:rPr>
          <w:sz w:val="20"/>
          <w:szCs w:val="20"/>
          <w:color w:val="auto"/>
        </w:rPr>
      </w:pPr>
      <w:r>
        <w:rPr>
          <w:rFonts w:ascii="Arial" w:cs="Arial" w:eastAsia="Arial" w:hAnsi="Arial"/>
          <w:sz w:val="18"/>
          <w:szCs w:val="18"/>
          <w:b w:val="1"/>
          <w:bCs w:val="1"/>
          <w:color w:val="auto"/>
        </w:rPr>
        <w:t>(in millions)</w:t>
      </w:r>
    </w:p>
    <w:p>
      <w:pPr>
        <w:spacing w:after="0" w:line="47"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186.5</w:t>
            </w:r>
          </w:p>
        </w:tc>
      </w:tr>
      <w:tr>
        <w:trPr>
          <w:trHeight w:val="24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fair value of contingent payments</w:t>
            </w:r>
          </w:p>
        </w:tc>
        <w:tc>
          <w:tcPr>
            <w:tcW w:w="9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3"/>
              </w:rPr>
              <w:t>(56.7)</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at June 30, 2022</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129.8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decrease in fair value of contingent consideration during the six months ended June 30, 2022 was primarily due to a revision to the scope of certain acquired gene-editing programs in the second quarter of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Intangible Assets</w:t>
      </w:r>
    </w:p>
    <w:p>
      <w:pPr>
        <w:spacing w:after="0" w:line="171"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As of June 30, 2022 and December 31, 2021, we had $387.0 million and $400.0 million, respectively, of in-process research and development intangible assets classified as “Intangible assets” on our condensed consolidated balance sheets associated with our 2019 acquisitions of Semma Therapeutics, Inc and Exonics. In the three and six months ended June 30, 2022, we recorded a $13.0 million impairment of an in-process research and development intangible asset to “Research and development expenses,” due to a decision to revise the scope of certain acquired gene-editing programs.</w:t>
      </w:r>
    </w:p>
    <w:p>
      <w:pPr>
        <w:spacing w:after="0" w:line="200" w:lineRule="exact"/>
        <w:rPr>
          <w:sz w:val="20"/>
          <w:szCs w:val="20"/>
          <w:color w:val="auto"/>
        </w:rPr>
      </w:pPr>
    </w:p>
    <w:p>
      <w:pPr>
        <w:spacing w:after="0" w:line="30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Marketable Securities and Equity Investments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 summary of our cash equivalents and marketable securities, which are recorded at fair value (and do not include $3.5 billion and $3.3 billion of cash as of June 30, 2022 and December 31, 2021, respectively), is shown below:</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As of June 30, 2022</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9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80" w:type="dxa"/>
            <w:vAlign w:val="bottom"/>
          </w:tcPr>
          <w:p>
            <w:pPr>
              <w:ind w:left="240"/>
              <w:spacing w:after="0"/>
              <w:rPr>
                <w:sz w:val="20"/>
                <w:szCs w:val="20"/>
                <w:color w:val="auto"/>
              </w:rPr>
            </w:pPr>
            <w:r>
              <w:rPr>
                <w:rFonts w:ascii="Arial" w:cs="Arial" w:eastAsia="Arial" w:hAnsi="Arial"/>
                <w:sz w:val="14"/>
                <w:szCs w:val="14"/>
                <w:color w:val="auto"/>
              </w:rPr>
              <w:t>Money market funds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5,186.8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5,186.8</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3,478.1</w:t>
            </w:r>
          </w:p>
        </w:tc>
        <w:tc>
          <w:tcPr>
            <w:tcW w:w="0" w:type="dxa"/>
            <w:vAlign w:val="bottom"/>
          </w:tcPr>
          <w:p>
            <w:pPr>
              <w:spacing w:after="0"/>
              <w:rPr>
                <w:sz w:val="1"/>
                <w:szCs w:val="1"/>
                <w:color w:val="auto"/>
              </w:rPr>
            </w:pPr>
          </w:p>
        </w:tc>
      </w:tr>
      <w:tr>
        <w:trPr>
          <w:trHeight w:val="192"/>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paper</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460"/>
              <w:spacing w:after="0"/>
              <w:rPr>
                <w:sz w:val="20"/>
                <w:szCs w:val="20"/>
                <w:color w:val="auto"/>
              </w:rPr>
            </w:pPr>
            <w:r>
              <w:rPr>
                <w:rFonts w:ascii="Arial" w:cs="Arial" w:eastAsia="Arial" w:hAnsi="Arial"/>
                <w:sz w:val="14"/>
                <w:szCs w:val="14"/>
                <w:color w:val="auto"/>
              </w:rPr>
              <w:t>Total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5,203.0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5,203.0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3,478.1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3,478.1</w:t>
            </w: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80" w:type="dxa"/>
            <w:vAlign w:val="bottom"/>
          </w:tcPr>
          <w:p>
            <w:pPr>
              <w:ind w:left="240"/>
              <w:spacing w:after="0"/>
              <w:rPr>
                <w:sz w:val="20"/>
                <w:szCs w:val="20"/>
                <w:color w:val="auto"/>
              </w:rPr>
            </w:pPr>
            <w:r>
              <w:rPr>
                <w:rFonts w:ascii="Arial" w:cs="Arial" w:eastAsia="Arial" w:hAnsi="Arial"/>
                <w:sz w:val="14"/>
                <w:szCs w:val="14"/>
                <w:color w:val="auto"/>
              </w:rPr>
              <w:t>U.S. Treasury securities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155.4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153.5</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4"/>
              </w:rPr>
              <w:t>Government-sponsored enterprise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7"/>
        </w:trPr>
        <w:tc>
          <w:tcPr>
            <w:tcW w:w="2880" w:type="dxa"/>
            <w:vAlign w:val="bottom"/>
          </w:tcPr>
          <w:p>
            <w:pPr>
              <w:ind w:left="24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paper</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204"/>
        </w:trPr>
        <w:tc>
          <w:tcPr>
            <w:tcW w:w="2880" w:type="dxa"/>
            <w:vAlign w:val="bottom"/>
          </w:tcPr>
          <w:p>
            <w:pPr>
              <w:ind w:left="4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equity securities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198"/>
        </w:trPr>
        <w:tc>
          <w:tcPr>
            <w:tcW w:w="2880" w:type="dxa"/>
            <w:vAlign w:val="bottom"/>
          </w:tcPr>
          <w:p>
            <w:pPr>
              <w:ind w:left="460"/>
              <w:spacing w:after="0"/>
              <w:rPr>
                <w:sz w:val="20"/>
                <w:szCs w:val="20"/>
                <w:color w:val="auto"/>
              </w:rPr>
            </w:pPr>
            <w:r>
              <w:rPr>
                <w:rFonts w:ascii="Arial" w:cs="Arial" w:eastAsia="Arial" w:hAnsi="Arial"/>
                <w:sz w:val="14"/>
                <w:szCs w:val="14"/>
                <w:color w:val="auto"/>
              </w:rPr>
              <w:t>Total marketable securities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553.0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551.2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568.9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debt securities were classified on our condensed consolidated balance sheets at fair value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 of June 30, 2022</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 2021</w:t>
            </w:r>
          </w:p>
        </w:tc>
      </w:tr>
      <w:tr>
        <w:trPr>
          <w:trHeight w:val="223"/>
        </w:trPr>
        <w:tc>
          <w:tcPr>
            <w:tcW w:w="4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44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3,478.1</w:t>
            </w:r>
          </w:p>
        </w:tc>
      </w:tr>
      <w:tr>
        <w:trPr>
          <w:trHeight w:val="243"/>
        </w:trPr>
        <w:tc>
          <w:tcPr>
            <w:tcW w:w="440" w:type="dxa"/>
            <w:vAlign w:val="bottom"/>
          </w:tcPr>
          <w:p>
            <w:pPr>
              <w:spacing w:after="0"/>
              <w:rPr>
                <w:sz w:val="21"/>
                <w:szCs w:val="21"/>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Marketable securities</w:t>
            </w:r>
          </w:p>
        </w:tc>
        <w:tc>
          <w:tcPr>
            <w:tcW w:w="4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r>
      <w:tr>
        <w:trPr>
          <w:trHeight w:val="223"/>
        </w:trPr>
        <w:tc>
          <w:tcPr>
            <w:tcW w:w="440" w:type="dxa"/>
            <w:vAlign w:val="bottom"/>
          </w:tcPr>
          <w:p>
            <w:pPr>
              <w:spacing w:after="0"/>
              <w:rPr>
                <w:sz w:val="19"/>
                <w:szCs w:val="19"/>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r>
      <w:tr>
        <w:trPr>
          <w:trHeight w:val="473"/>
        </w:trPr>
        <w:tc>
          <w:tcPr>
            <w:tcW w:w="5340" w:type="dxa"/>
            <w:vAlign w:val="bottom"/>
            <w:gridSpan w:val="3"/>
          </w:tcPr>
          <w:p>
            <w:pPr>
              <w:jc w:val="right"/>
              <w:spacing w:after="0"/>
              <w:rPr>
                <w:sz w:val="20"/>
                <w:szCs w:val="20"/>
                <w:color w:val="auto"/>
              </w:rPr>
            </w:pPr>
            <w:r>
              <w:rPr>
                <w:rFonts w:ascii="Arial" w:cs="Arial" w:eastAsia="Arial" w:hAnsi="Arial"/>
                <w:sz w:val="18"/>
                <w:szCs w:val="18"/>
                <w:color w:val="auto"/>
                <w:w w:val="91"/>
              </w:rPr>
              <w:t>Available-for-sale debt securities by contractual maturity were as follows:</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8"/>
        </w:trPr>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 of June 30, 2022</w:t>
            </w: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 2021</w:t>
            </w:r>
          </w:p>
        </w:tc>
      </w:tr>
      <w:tr>
        <w:trPr>
          <w:trHeight w:val="223"/>
        </w:trPr>
        <w:tc>
          <w:tcPr>
            <w:tcW w:w="4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44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Matures within one year</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3,912.3</w:t>
            </w:r>
          </w:p>
        </w:tc>
      </w:tr>
      <w:tr>
        <w:trPr>
          <w:trHeight w:val="243"/>
        </w:trPr>
        <w:tc>
          <w:tcPr>
            <w:tcW w:w="440" w:type="dxa"/>
            <w:vAlign w:val="bottom"/>
          </w:tcPr>
          <w:p>
            <w:pPr>
              <w:spacing w:after="0"/>
              <w:rPr>
                <w:sz w:val="21"/>
                <w:szCs w:val="21"/>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Matures after one year through five years</w:t>
            </w:r>
          </w:p>
        </w:tc>
        <w:tc>
          <w:tcPr>
            <w:tcW w:w="4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23"/>
        </w:trPr>
        <w:tc>
          <w:tcPr>
            <w:tcW w:w="440" w:type="dxa"/>
            <w:vAlign w:val="bottom"/>
          </w:tcPr>
          <w:p>
            <w:pPr>
              <w:spacing w:after="0"/>
              <w:rPr>
                <w:sz w:val="19"/>
                <w:szCs w:val="19"/>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r>
    </w:tbl>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a limited number of available-for-sale debt securities in insignificant loss positions as of June 30, 2022, which we do not intend to sell and have concluded we will not be required to sell before recovery of the amortized costs for the investments at maturity. We did not record any allowances for credit losses to adjust the fair value of available-for-sale debt securities or gross realized gains or losses in the three and six months ended June 30, 2022 and 2021.</w:t>
      </w:r>
    </w:p>
    <w:p>
      <w:pPr>
        <w:spacing w:after="0" w:line="133"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record changes in the fair value of our investments in corporate equity securities to “Other (expense) income, net” in our condensed consolidated statements of operations. During the three and six months ended June 30, 2022 and 2021, our net unrealized (losses) gains on corporate equity securities held at the conclusion of each period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5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4"/>
              </w:rPr>
              <w:t>(in millions)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(losses) gains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(84.2)</w:t>
            </w:r>
          </w:p>
        </w:tc>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bl>
    <w:p>
      <w:pPr>
        <w:spacing w:after="0" w:line="200" w:lineRule="exact"/>
        <w:rPr>
          <w:sz w:val="20"/>
          <w:szCs w:val="20"/>
          <w:color w:val="auto"/>
        </w:rPr>
      </w:pPr>
    </w:p>
    <w:p>
      <w:pPr>
        <w:spacing w:after="0" w:line="258"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As of June 30, 2022, the carrying value of our equity investments without readily determinable fair values, which are recorded in “Other assets” on our condensed consolidated balance sheets, was $95.8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Unrealized Holding Gains (Losses), Net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of Tax</w:t>
            </w:r>
          </w:p>
        </w:tc>
        <w:tc>
          <w:tcPr>
            <w:tcW w:w="1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Foreign Currency</w:t>
            </w: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On Available-For-</w:t>
            </w:r>
          </w:p>
        </w:tc>
        <w:tc>
          <w:tcPr>
            <w:tcW w:w="260" w:type="dxa"/>
            <w:vAlign w:val="bottom"/>
          </w:tcPr>
          <w:p>
            <w:pPr>
              <w:spacing w:after="0"/>
              <w:rPr>
                <w:sz w:val="14"/>
                <w:szCs w:val="14"/>
                <w:color w:val="auto"/>
              </w:rPr>
            </w:pPr>
          </w:p>
        </w:tc>
        <w:tc>
          <w:tcPr>
            <w:tcW w:w="120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91"/>
              </w:rPr>
              <w:t>On Foreign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Translation</w:t>
            </w:r>
          </w:p>
        </w:tc>
        <w:tc>
          <w:tcPr>
            <w:tcW w:w="240" w:type="dxa"/>
            <w:vAlign w:val="bottom"/>
          </w:tcPr>
          <w:p>
            <w:pPr>
              <w:spacing w:after="0"/>
              <w:rPr>
                <w:sz w:val="15"/>
                <w:szCs w:val="15"/>
                <w:color w:val="auto"/>
              </w:rPr>
            </w:pPr>
          </w:p>
        </w:tc>
        <w:tc>
          <w:tcPr>
            <w:tcW w:w="138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Sale Debt</w:t>
            </w:r>
          </w:p>
        </w:tc>
        <w:tc>
          <w:tcPr>
            <w:tcW w:w="260" w:type="dxa"/>
            <w:vAlign w:val="bottom"/>
          </w:tcPr>
          <w:p>
            <w:pPr>
              <w:spacing w:after="0"/>
              <w:rPr>
                <w:sz w:val="15"/>
                <w:szCs w:val="15"/>
                <w:color w:val="auto"/>
              </w:rPr>
            </w:pPr>
          </w:p>
        </w:tc>
        <w:tc>
          <w:tcPr>
            <w:tcW w:w="136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5"/>
              </w:rPr>
              <w:t>Forward</w:t>
            </w:r>
          </w:p>
        </w:tc>
        <w:tc>
          <w:tcPr>
            <w:tcW w:w="240" w:type="dxa"/>
            <w:vAlign w:val="bottom"/>
          </w:tcPr>
          <w:p>
            <w:pPr>
              <w:spacing w:after="0"/>
              <w:rPr>
                <w:sz w:val="15"/>
                <w:szCs w:val="15"/>
                <w:color w:val="auto"/>
              </w:rPr>
            </w:pPr>
          </w:p>
        </w:tc>
        <w:tc>
          <w:tcPr>
            <w:tcW w:w="8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Securities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Contracts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5"/>
              </w:rPr>
              <w:t>15.9</w:t>
            </w:r>
          </w:p>
        </w:tc>
        <w:tc>
          <w:tcPr>
            <w:tcW w:w="0" w:type="dxa"/>
            <w:vAlign w:val="bottom"/>
          </w:tcPr>
          <w:p>
            <w:pPr>
              <w:spacing w:after="0"/>
              <w:rPr>
                <w:sz w:val="1"/>
                <w:szCs w:val="1"/>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Other comprehensive (loss) income before reclassifications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30"/>
              <w:spacing w:after="0"/>
              <w:rPr>
                <w:sz w:val="20"/>
                <w:szCs w:val="20"/>
                <w:color w:val="auto"/>
              </w:rPr>
            </w:pPr>
            <w:r>
              <w:rPr>
                <w:rFonts w:ascii="Arial" w:cs="Arial" w:eastAsia="Arial" w:hAnsi="Arial"/>
                <w:sz w:val="18"/>
                <w:szCs w:val="18"/>
                <w:color w:val="auto"/>
                <w:w w:val="85"/>
              </w:rPr>
              <w:t>92.6</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center"/>
              <w:ind w:left="310"/>
              <w:spacing w:after="0"/>
              <w:rPr>
                <w:sz w:val="20"/>
                <w:szCs w:val="20"/>
                <w:color w:val="auto"/>
              </w:rPr>
            </w:pPr>
            <w:r>
              <w:rPr>
                <w:rFonts w:ascii="Arial" w:cs="Arial" w:eastAsia="Arial" w:hAnsi="Arial"/>
                <w:sz w:val="18"/>
                <w:szCs w:val="18"/>
                <w:color w:val="auto"/>
                <w:w w:val="93"/>
              </w:rPr>
              <w:t>(51.0)</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color w:val="auto"/>
                <w:w w:val="85"/>
              </w:rPr>
              <w:t>41.6</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5"/>
              </w:rPr>
              <w:t>57.5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(68.5)</w:t>
            </w: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30"/>
              <w:spacing w:after="0"/>
              <w:rPr>
                <w:sz w:val="20"/>
                <w:szCs w:val="20"/>
                <w:color w:val="auto"/>
              </w:rPr>
            </w:pPr>
            <w:r>
              <w:rPr>
                <w:rFonts w:ascii="Arial" w:cs="Arial" w:eastAsia="Arial" w:hAnsi="Arial"/>
                <w:sz w:val="18"/>
                <w:szCs w:val="18"/>
                <w:color w:val="auto"/>
                <w:w w:val="85"/>
              </w:rPr>
              <w:t>16.6</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center"/>
              <w:ind w:left="330"/>
              <w:spacing w:after="0"/>
              <w:rPr>
                <w:sz w:val="20"/>
                <w:szCs w:val="20"/>
                <w:color w:val="auto"/>
              </w:rPr>
            </w:pPr>
            <w:r>
              <w:rPr>
                <w:rFonts w:ascii="Arial" w:cs="Arial" w:eastAsia="Arial" w:hAnsi="Arial"/>
                <w:sz w:val="18"/>
                <w:szCs w:val="18"/>
                <w:color w:val="auto"/>
                <w:w w:val="85"/>
              </w:rPr>
              <w:t>26.7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color w:val="auto"/>
                <w:w w:val="85"/>
              </w:rPr>
              <w:t>43.3</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3"/>
              </w:rPr>
              <w:t>(25.2)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Hedging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Designated as hedging instruments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maintain a hedging program intended to mitigate the effect of changes in foreign exchange rates for a portion of our forecasted product revenues denominated in certain foreign currencies. The program includes foreign currency forward contracts that are designated as cash flow hedges under U.S. GAAP having contractual durations from one to eighteen months. We recognize realized gains and losses for the effective portion of such contracts in “Product revenues, net” in our condensed consolidated statements of operations in the same period that we recognize the product revenues that were impacted by the hedged foreign exchange rate changes.</w:t>
      </w:r>
    </w:p>
    <w:p>
      <w:pPr>
        <w:spacing w:after="0" w:line="13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formally document the relationship between foreign currency forward contracts (hedging instruments) and forecasted product revenues (hedged items), as well as our risk management objective and strategy for undertaking various hedging activities, which includes matching all foreign currency forward contracts that are designated as cash flow hedges to forecasted transactions. We also formally assess, both at the hedge’s inception and on an ongoing basis, whether the foreign currency forward contracts are highly effective in offsetting changes in cash flows of hedged items on a prospective and retrospective basis. If we were to determine that a (i) foreign currency forward contract is not highly effective as a cash flow hedge, (ii) foreign currency forward contract has ceased to be a highly effective hedge or (iii) forecasted transaction is no longer probable of occurring, we would discontinue hedge accounting treatment prospectively. We measure effectiveness based on the change in fair value of the forward contracts and the fair value of the hypothetical foreign currency forward contracts with terms that match the critical terms of the risk being hedged. As of June 30, 2022, all hedges were determined to be highly effective.</w:t>
      </w:r>
    </w:p>
    <w:p>
      <w:pPr>
        <w:spacing w:after="0" w:line="127" w:lineRule="exact"/>
        <w:rPr>
          <w:sz w:val="20"/>
          <w:szCs w:val="20"/>
          <w:color w:val="auto"/>
        </w:rPr>
      </w:pPr>
    </w:p>
    <w:p>
      <w:pPr>
        <w:ind w:right="1480" w:firstLine="324"/>
        <w:spacing w:after="0" w:line="308" w:lineRule="auto"/>
        <w:rPr>
          <w:sz w:val="20"/>
          <w:szCs w:val="20"/>
          <w:color w:val="auto"/>
        </w:rPr>
      </w:pPr>
      <w:r>
        <w:rPr>
          <w:rFonts w:ascii="Arial" w:cs="Arial" w:eastAsia="Arial" w:hAnsi="Arial"/>
          <w:sz w:val="17"/>
          <w:szCs w:val="17"/>
          <w:color w:val="auto"/>
        </w:rPr>
        <w:t>We consider the impact of our counterparties’ credit risk on the fair value of the foreign currency forward contracts. As of June 30, 2022 and December 31, 2021, credit risk did not change the fair value of our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summarizes the notional amount in U.S. dollars of our outstanding foreign currency forward contracts designated as cash flow hedges under U.S. GAAP:</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Foreign Currency</w:t>
            </w: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As of June 30, 2022</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 2021</w:t>
            </w: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British pound sterling</w:t>
            </w:r>
          </w:p>
        </w:tc>
        <w:tc>
          <w:tcPr>
            <w:tcW w:w="3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263.0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3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Australian dollar</w:t>
            </w:r>
          </w:p>
        </w:tc>
        <w:tc>
          <w:tcPr>
            <w:tcW w:w="3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Swiss Franc</w:t>
            </w:r>
          </w:p>
        </w:tc>
        <w:tc>
          <w:tcPr>
            <w:tcW w:w="30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 foreign currency forward contracts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 Not designated as hedging instruments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also enter into foreign currency forward contracts with contractual maturities of less than one month, which are designed to mitigate the effect of changes in foreign exchange rates on monetary assets and liabilities, including intercompany balances. These contracts are not designated as hedging instruments under U.S. GAAP. We recognize realized gains and losses for such contracts in “Other (expense) income, net” in our condensed consolidated statements of operations each period. As of June 30, 2022, the notional amount of our outstanding foreign currency forward contracts where hedge accounting under U.S. GAAP is not applied was $628.1 million.</w:t>
      </w:r>
    </w:p>
    <w:p>
      <w:pPr>
        <w:spacing w:after="0" w:line="13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During the three and six months ended June 30, 2022 and 2021, we recognized the following related to foreign currency forward contracts in our condensed consolidated statements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Pr>
          <w:p>
            <w:pPr>
              <w:spacing w:after="0"/>
              <w:rPr>
                <w:sz w:val="20"/>
                <w:szCs w:val="20"/>
                <w:color w:val="auto"/>
              </w:rPr>
            </w:pPr>
          </w:p>
        </w:tc>
        <w:tc>
          <w:tcPr>
            <w:tcW w:w="2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4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millions)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3"/>
              </w:rPr>
              <w:t>Designated as hedging instruments - Reclassified from AOCI</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45.0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65.1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107"/>
        </w:trPr>
        <w:tc>
          <w:tcPr>
            <w:tcW w:w="618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61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Total reported in the Condensed Consolidated Statement of Operations</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Product revenues,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2,196.2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1,793.4</w:t>
            </w:r>
          </w:p>
        </w:tc>
        <w:tc>
          <w:tcPr>
            <w:tcW w:w="1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4,293.7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3,516.7</w:t>
            </w: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bl>
    <w:p>
      <w:pPr>
        <w:spacing w:after="0" w:line="229"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following table summarizes the fair value of our outstanding foreign currency forward contracts designated as cash flow hedges under U.S. GAAP included on our condensed 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0" w:type="dxa"/>
            <w:vAlign w:val="bottom"/>
            <w:tcBorders>
              <w:top w:val="single" w:sz="8" w:color="auto"/>
              <w:bottom w:val="single" w:sz="8" w:color="auto"/>
            </w:tcBorders>
          </w:tcPr>
          <w:p>
            <w:pPr>
              <w:ind w:left="23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420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3"/>
          </w:tcPr>
          <w:p>
            <w:pPr>
              <w:ind w:left="78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2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86"/>
              </w:rPr>
              <w:t>Prepaid expenses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200" w:type="dxa"/>
            <w:vAlign w:val="bottom"/>
            <w:tcBorders>
              <w:bottom w:val="single" w:sz="8" w:color="CCEEFF"/>
            </w:tcBorders>
          </w:tcPr>
          <w:p>
            <w:pPr>
              <w:jc w:val="right"/>
              <w:ind w:right="3210"/>
              <w:spacing w:after="0"/>
              <w:rPr>
                <w:sz w:val="20"/>
                <w:szCs w:val="20"/>
                <w:color w:val="auto"/>
              </w:rPr>
            </w:pPr>
            <w:r>
              <w:rPr>
                <w:rFonts w:ascii="Arial" w:cs="Arial" w:eastAsia="Arial" w:hAnsi="Arial"/>
                <w:sz w:val="18"/>
                <w:szCs w:val="18"/>
                <w:color w:val="auto"/>
                <w:w w:val="86"/>
              </w:rPr>
              <w:t>Other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48"/>
        </w:trPr>
        <w:tc>
          <w:tcPr>
            <w:tcW w:w="4200" w:type="dxa"/>
            <w:vAlign w:val="bottom"/>
            <w:tcBorders>
              <w:bottom w:val="single" w:sz="8" w:color="CCEEFF"/>
            </w:tcBorders>
            <w:shd w:val="clear" w:color="auto" w:fill="CCEEFF"/>
          </w:tcPr>
          <w:p>
            <w:pPr>
              <w:jc w:val="right"/>
              <w:ind w:right="299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0" w:type="dxa"/>
            <w:vAlign w:val="bottom"/>
            <w:tcBorders>
              <w:top w:val="single" w:sz="8" w:color="auto"/>
              <w:bottom w:val="single" w:sz="8" w:color="auto"/>
            </w:tcBorders>
          </w:tcPr>
          <w:p>
            <w:pPr>
              <w:ind w:left="23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420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3"/>
          </w:tcPr>
          <w:p>
            <w:pPr>
              <w:ind w:left="78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2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86"/>
              </w:rPr>
              <w:t>Prepaid expenses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200" w:type="dxa"/>
            <w:vAlign w:val="bottom"/>
            <w:tcBorders>
              <w:bottom w:val="single" w:sz="8" w:color="CCEEFF"/>
            </w:tcBorders>
          </w:tcPr>
          <w:p>
            <w:pPr>
              <w:jc w:val="right"/>
              <w:ind w:right="3210"/>
              <w:spacing w:after="0"/>
              <w:rPr>
                <w:sz w:val="20"/>
                <w:szCs w:val="20"/>
                <w:color w:val="auto"/>
              </w:rPr>
            </w:pPr>
            <w:r>
              <w:rPr>
                <w:rFonts w:ascii="Arial" w:cs="Arial" w:eastAsia="Arial" w:hAnsi="Arial"/>
                <w:sz w:val="18"/>
                <w:szCs w:val="18"/>
                <w:color w:val="auto"/>
                <w:w w:val="86"/>
              </w:rPr>
              <w:t>Other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4200" w:type="dxa"/>
            <w:vAlign w:val="bottom"/>
            <w:tcBorders>
              <w:bottom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of June 30, 2022, we expect the amounts that are related to foreign exchange forward contracts designated as cash flow hedges under U.S. GAAP recorded in “Prepaid expenses and other current assets” and “Other current liabilities” to be reclassified to earnings within twelve months.</w:t>
      </w:r>
    </w:p>
    <w:p>
      <w:pPr>
        <w:spacing w:after="0" w:line="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present the fair value of our foreign currency forward contracts on a gross basis within our condensed consolidated balance sheets. The following table summarizes the potential effect of offsetting derivatives by type of financial instrument designated as cash flow hedges under U.S. GAAP on our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June 30, 2022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4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142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7"/>
              </w:rPr>
              <w:t>Gross Amounts</w:t>
            </w:r>
          </w:p>
        </w:tc>
        <w:tc>
          <w:tcPr>
            <w:tcW w:w="16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440" w:type="dxa"/>
            <w:vAlign w:val="bottom"/>
            <w:gridSpan w:val="2"/>
          </w:tcPr>
          <w:p>
            <w:pPr>
              <w:jc w:val="right"/>
              <w:ind w:right="70"/>
              <w:spacing w:after="0" w:line="169" w:lineRule="exact"/>
              <w:rPr>
                <w:sz w:val="20"/>
                <w:szCs w:val="20"/>
                <w:color w:val="auto"/>
              </w:rPr>
            </w:pPr>
            <w:r>
              <w:rPr>
                <w:rFonts w:ascii="Arial" w:cs="Arial" w:eastAsia="Arial" w:hAnsi="Arial"/>
                <w:sz w:val="18"/>
                <w:szCs w:val="18"/>
                <w:b w:val="1"/>
                <w:bCs w:val="1"/>
                <w:color w:val="auto"/>
                <w:w w:val="93"/>
              </w:rPr>
              <w:t>Gross Amounts</w:t>
            </w:r>
          </w:p>
        </w:tc>
        <w:tc>
          <w:tcPr>
            <w:tcW w:w="240" w:type="dxa"/>
            <w:vAlign w:val="bottom"/>
          </w:tcPr>
          <w:p>
            <w:pPr>
              <w:spacing w:after="0"/>
              <w:rPr>
                <w:sz w:val="14"/>
                <w:szCs w:val="14"/>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2"/>
              </w:rPr>
              <w:t>Legal Offset</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Recognized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Offset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Presented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Not Offset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99"/>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8"/>
              </w:rPr>
              <w:t>As of December 31, 2021</w:t>
            </w: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4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142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7"/>
              </w:rPr>
              <w:t>Gross Amounts</w:t>
            </w:r>
          </w:p>
        </w:tc>
        <w:tc>
          <w:tcPr>
            <w:tcW w:w="16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440" w:type="dxa"/>
            <w:vAlign w:val="bottom"/>
            <w:gridSpan w:val="2"/>
          </w:tcPr>
          <w:p>
            <w:pPr>
              <w:jc w:val="right"/>
              <w:ind w:right="70"/>
              <w:spacing w:after="0" w:line="169" w:lineRule="exact"/>
              <w:rPr>
                <w:sz w:val="20"/>
                <w:szCs w:val="20"/>
                <w:color w:val="auto"/>
              </w:rPr>
            </w:pPr>
            <w:r>
              <w:rPr>
                <w:rFonts w:ascii="Arial" w:cs="Arial" w:eastAsia="Arial" w:hAnsi="Arial"/>
                <w:sz w:val="18"/>
                <w:szCs w:val="18"/>
                <w:b w:val="1"/>
                <w:bCs w:val="1"/>
                <w:color w:val="auto"/>
                <w:w w:val="93"/>
              </w:rPr>
              <w:t>Gross Amounts</w:t>
            </w:r>
          </w:p>
        </w:tc>
        <w:tc>
          <w:tcPr>
            <w:tcW w:w="240" w:type="dxa"/>
            <w:vAlign w:val="bottom"/>
          </w:tcPr>
          <w:p>
            <w:pPr>
              <w:spacing w:after="0"/>
              <w:rPr>
                <w:sz w:val="14"/>
                <w:szCs w:val="14"/>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2"/>
              </w:rPr>
              <w:t>Legal Offset</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Recognized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Offset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Presented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Not Offset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consisted of the following:</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of June 30, 2022</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As of December 31, 2021</w:t>
            </w:r>
          </w:p>
        </w:tc>
      </w:tr>
      <w:tr>
        <w:trPr>
          <w:trHeight w:val="223"/>
        </w:trPr>
        <w:tc>
          <w:tcPr>
            <w:tcW w:w="44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(in millions)</w:t>
            </w:r>
          </w:p>
        </w:tc>
        <w:tc>
          <w:tcPr>
            <w:tcW w:w="1340" w:type="dxa"/>
            <w:vAlign w:val="bottom"/>
          </w:tcPr>
          <w:p>
            <w:pPr>
              <w:spacing w:after="0"/>
              <w:rPr>
                <w:sz w:val="19"/>
                <w:szCs w:val="19"/>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4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Work-in-process</w:t>
            </w:r>
          </w:p>
        </w:tc>
        <w:tc>
          <w:tcPr>
            <w:tcW w:w="2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236.6</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100.7</w:t>
            </w: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367.7</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r>
      <w:tr>
        <w:trPr>
          <w:trHeight w:val="20"/>
        </w:trPr>
        <w:tc>
          <w:tcPr>
            <w:tcW w:w="44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Expense and Share Repurchase Programs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and six months ended June 30, 2022 and 2021, we recognized the following stock-based compensation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0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0"/>
                <w:szCs w:val="20"/>
                <w:color w:val="auto"/>
              </w:rPr>
            </w:pPr>
          </w:p>
        </w:tc>
        <w:tc>
          <w:tcPr>
            <w:tcW w:w="27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45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Restricted stock units (including PSUs)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103.0</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221.2</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4580" w:type="dxa"/>
            <w:vAlign w:val="bottom"/>
          </w:tcPr>
          <w:p>
            <w:pPr>
              <w:ind w:left="240"/>
              <w:spacing w:after="0"/>
              <w:rPr>
                <w:sz w:val="20"/>
                <w:szCs w:val="20"/>
                <w:color w:val="auto"/>
              </w:rPr>
            </w:pPr>
            <w:r>
              <w:rPr>
                <w:rFonts w:ascii="Arial" w:cs="Arial" w:eastAsia="Arial" w:hAnsi="Arial"/>
                <w:sz w:val="18"/>
                <w:szCs w:val="18"/>
                <w:color w:val="auto"/>
              </w:rPr>
              <w:t>ESPP share issuances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Stock-based compensation expense related to inventories</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156"/>
        </w:trPr>
        <w:tc>
          <w:tcPr>
            <w:tcW w:w="4580" w:type="dxa"/>
            <w:vAlign w:val="bottom"/>
          </w:tcPr>
          <w:p>
            <w:pPr>
              <w:ind w:left="460"/>
              <w:spacing w:after="0" w:line="156" w:lineRule="exact"/>
              <w:rPr>
                <w:sz w:val="20"/>
                <w:szCs w:val="20"/>
                <w:color w:val="auto"/>
              </w:rPr>
            </w:pPr>
            <w:r>
              <w:rPr>
                <w:rFonts w:ascii="Arial" w:cs="Arial" w:eastAsia="Arial" w:hAnsi="Arial"/>
                <w:sz w:val="18"/>
                <w:szCs w:val="18"/>
                <w:color w:val="auto"/>
                <w:w w:val="96"/>
              </w:rPr>
              <w:t>Total stock-based compensation expense included in</w:t>
            </w: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43"/>
        </w:trPr>
        <w:tc>
          <w:tcPr>
            <w:tcW w:w="4580" w:type="dxa"/>
            <w:vAlign w:val="bottom"/>
          </w:tcPr>
          <w:p>
            <w:pPr>
              <w:ind w:left="620"/>
              <w:spacing w:after="0"/>
              <w:rPr>
                <w:sz w:val="20"/>
                <w:szCs w:val="20"/>
                <w:color w:val="auto"/>
              </w:rPr>
            </w:pPr>
            <w:r>
              <w:rPr>
                <w:rFonts w:ascii="Arial" w:cs="Arial" w:eastAsia="Arial" w:hAnsi="Arial"/>
                <w:sz w:val="18"/>
                <w:szCs w:val="18"/>
                <w:color w:val="auto"/>
              </w:rPr>
              <w:t>“Total costs and expenses”</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113.9</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6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Stock-based compensation expense by line item:</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458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156"/>
        </w:trPr>
        <w:tc>
          <w:tcPr>
            <w:tcW w:w="4580" w:type="dxa"/>
            <w:vAlign w:val="bottom"/>
          </w:tcPr>
          <w:p>
            <w:pPr>
              <w:ind w:left="20"/>
              <w:spacing w:after="0" w:line="156" w:lineRule="exact"/>
              <w:rPr>
                <w:sz w:val="20"/>
                <w:szCs w:val="20"/>
                <w:color w:val="auto"/>
              </w:rPr>
            </w:pPr>
            <w:r>
              <w:rPr>
                <w:rFonts w:ascii="Arial" w:cs="Arial" w:eastAsia="Arial" w:hAnsi="Arial"/>
                <w:sz w:val="18"/>
                <w:szCs w:val="18"/>
                <w:color w:val="auto"/>
                <w:w w:val="89"/>
              </w:rPr>
              <w:t>Total stock-based compensation expense included in costs and</w:t>
            </w: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113.9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244.2</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219.8</w:t>
            </w: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effect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November 2020, our Board of Directors approved a share repurchase program (the “2020 Share Repurchase Program”), pursuant to which we repurchased $500.0 million of our common stock in 2020 and the first quarter of 2021. During the three months ended March 31, 2021, we repurchased 2.0 million shares of our common stock under the 2020 Share Repurchase Program for an aggregate of $424.9 million.</w:t>
      </w:r>
    </w:p>
    <w:p>
      <w:pPr>
        <w:spacing w:after="0" w:line="1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June 2021, our Board of Directors approved a share repurchase program (the “2021 Share Repurchase Program”), pursuant to which we are authorized to repurchase up to $1.5 billion of our common stock by December 31, 2022. During the six months ended June 30, 2022, we did not repurchase any shares of our common stock under the 2021 Share Repurchase Program. As of June 30, 2022, a total of $499.7 million remained authorized for repurchases of common stock under the 2021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Income Taxes</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are subject to U.S. federal, state, and foreign income taxes. During the three and six months ended June 30, 2022 and 2021, we recorded the following provisions for (benefits from) income taxes and effective tax rates as compared to our income (loss) before provision for (benefit from) income taxes: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2"/>
              </w:rPr>
              <w:t>(in millions, except percentages)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(loss) before provision for (benefit from) income</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1,024.4</w:t>
            </w:r>
          </w:p>
        </w:tc>
        <w:tc>
          <w:tcPr>
            <w:tcW w:w="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1,979.2</w:t>
            </w:r>
          </w:p>
        </w:tc>
        <w:tc>
          <w:tcPr>
            <w:tcW w:w="4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213.9</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406.6</w:t>
            </w: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21"/>
        </w:trPr>
        <w:tc>
          <w:tcPr>
            <w:tcW w:w="4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21 %</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251 %</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21 %</w:t>
            </w: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tax rate for the three and six months ended June 30, 2022 was similar to the U.S. statutory rate.</w:t>
      </w:r>
    </w:p>
    <w:p>
      <w:pPr>
        <w:spacing w:after="0" w:line="171"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Our effective tax rate for the three and six months ended June 30, 2021 was different than the U.S. statutory rate primarily due to a $99.7 million discrete tax benefit associated with an increase in the U.K.’s corporate tax rate from 19% to 25%, which was enacted in June 2021 and will become effective in April 2023.</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have reviewed the tax positions taken, or to be taken, in our tax returns for all tax years currently open to examination by a taxing authority. As of June 30, 2022 and December 31, 2021, we had $145.2 million and $129.5 million, respectively, of net unrecognized tax benefits, which would affect our tax rate if recognized.</w:t>
      </w:r>
    </w:p>
    <w:p>
      <w:pPr>
        <w:spacing w:after="0" w:line="13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Starting in 2022, our cash paid for income taxes is substantially increasing due to the elimination of the option in the U.S. to deduct research and development expenses in the period they are incurred and instead, as required by the Tax Cuts and Jobs Act of 2017, amortize them over a five year period if they are from the U.S. and fifteen years if they are from foreign jurisdictions.</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file U.S. federal income tax returns and income tax returns in various state, local and foreign jurisdictions. We have various income tax audits ongoing at any time throughout the world. Except for jurisdictions where we have net operating losses or tax credit carryforwards, we are no longer subject to any tax assessment from tax authorities for years prior to 2018.</w:t>
      </w:r>
    </w:p>
    <w:p>
      <w:pPr>
        <w:spacing w:after="0" w:line="200" w:lineRule="exact"/>
        <w:rPr>
          <w:sz w:val="20"/>
          <w:szCs w:val="20"/>
          <w:color w:val="auto"/>
        </w:rPr>
      </w:pPr>
    </w:p>
    <w:p>
      <w:pPr>
        <w:spacing w:after="0" w:line="3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L.</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71"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Vertex and certain of its subsidiaries have entered into several credit agreements (the “Credit Agreements”) with Bank of America, N.A., as administrative agent and the lenders referred to therein (the “Lenders”). The Credit Agreements were not drawn upon at closing and we have not drawn upon them to date. Amounts drawn pursuant to the Credit Agreements, if any, will be used for general corporate purposes. Any amounts borrowed under the Credit Agreements will bear interest, at our option, at either a base rate or an alternative rate described below, in each case plus an applicable margin based on our consolidated leverage ratio (the ratio of our total consolidated funded indebtedness to our consolidated EBITDA for the most recently completed four fiscal quarter period).</w:t>
      </w:r>
    </w:p>
    <w:p>
      <w:pPr>
        <w:spacing w:after="0" w:line="1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September 2019, Vertex and certain of its subsidiaries entered into a $500.0 million unsecured revolving facility (the “2019 Credit Agreement”) with the Lenders, which was scheduled to mature on September 17, 2024. Under the 2019 Credit Agreement, the applicable margins on base rate loans ranged from 0.125% to 0.500% and the applicable margins on Eurocurrency loans ranged from 1.125% to 1.500%. The 2019 Credit Agreement provided a sublimit of $50.0 million for letters of credit.</w:t>
      </w:r>
    </w:p>
    <w:p>
      <w:pPr>
        <w:spacing w:after="0" w:line="133"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In September 2020, Vertex and certain of its subsidiaries entered into a $2.0 billion unsecured revolving facility (the “2020 Credit Agreement”) with the Lenders, which matures on September 18, 2022. Under the 2020 Credit Agreement, the applicable margins on base rate loans range from 0.500% to 0.875% and the applicable margins on Eurocurrency loans range from 1.500% to 1.875%. The 2020 Credit Agreement does not support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July 2022, Vertex and certain of its subsidiaries terminated the 2019 Credit Agreement and entered into a $500.0 million unsecured revolving facility (the “2022 Credit Agreement”) with the Lenders, which matures on July 1, 2027. Under the 2022 Credit Agreement, the applicable margins on base rate loans range from 0.000% to 0.500% and the applicable margins on SOFR loans range from 1.000% to 1.500%. The 2022 Credit Agreement provides a sublimit of $100.0 million for letters of credit.</w:t>
      </w:r>
    </w:p>
    <w:p>
      <w:pPr>
        <w:spacing w:after="0" w:line="133"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Subject to satisfaction of certain conditions, we may request that the borrowing capacity for each of the 2020 Credit Agreement and the 2022 Credit Agreement be increased by an additional $500.0 million. Any amounts borrowed pursuant to the 2020 Credit Agreement and the 2022 Credit Agreement are guaranteed by certain of our existing and future domestic subsidiaries, subject to certain exceptions.</w:t>
      </w:r>
    </w:p>
    <w:p>
      <w:pPr>
        <w:spacing w:after="0" w:line="13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Each of the 2020 Credit Agreement and the 2022 Credit Agreement contain customary representations and warranties and affirmative and negative covenants, including a financial covenant to maintain subject to certain limited exceptions, a consolidated leverage ratio of 3.50 to 1.00, subject to an increase to 4.00 to 1.00 following a material acquisition. The 2020 Credit Agreement also includes a financial covenant to maintain subject to certain limited exceptions, a consolidated interest coverage ratio of 2.50 to 1.00. These financial covenants are measured on a quarterly basis. As of June 30, 2022, we were in compliance with the covenants described above. The Credit Agreements also contain customary events of default. In the case of a continuing event of default, the administrative agent would be entitled to exercise various remedies, including the acceleration of amounts due under outstanding loans.</w:t>
      </w:r>
    </w:p>
    <w:p>
      <w:pPr>
        <w:spacing w:after="0" w:line="14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Direct costs related to the Credit Agreements are recorded over the term of the respective Credit Agreements and were not material to our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Guaranties and Indemnifications</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As permitted under Massachusetts law, our Articles of Organization and By-laws provide that we will indemnify certain of our officers and directors for certain claims asserted against them in connection with their service as an officer or director. The maximum potential amount of future payments that we could be required to make under these indemnification provisions is unlimited. However, we have purchased directors’ and officers’ liability insurance policies that could reduce our monetary exposure and enable us to recover a portion of any future amounts paid. No indemnification claims currently are outstanding, and we believe the estimated fair value of these indemnification arrangements is minimal.</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customarily agree in the ordinary course of our business to indemnification provisions in agreements with clinical trial investigators and sites in our product development programs, sponsored research agreements with academic and not-for-profit institutions, various comparable agreements involving parties performing services for us, and our real estate leases. We also customarily agree to certain indemnification provisions in our drug discovery, development and commercialization collaboration agreements. With respect to our clinical trials and sponsored research agreements, these indemnification provisions typically apply to any claim asserted against the investigator or the investigator’s institution relating to personal injury or property damage, violations of law or certain breaches of our contractual obligations arising out of the research or clinical testing of our compounds or product candidates. With respect to lease agreements, the indemnification provisions typically apply to claims asserted against the landlord relating to personal injury or property damage caused by us, to violations of law by us or to certain breaches of our contractual obligations. The indemnification provisions appearing in our collaboration agreements are similar to those for the other agreements discussed above, but in addition provide some limited indemnification for our collaborator in the event of third-party claims alleging infringement of intellectual property rights. In each of the cases above, the indemnification obligation generally survives the termination of the agreement for some extended period, although we believe the obligation typically has the most relevance during the contract term and for a short period of time thereafter. The maximum potential amount of future payments that we could be required to make under these provisions is generally unlimited. We have purchased insurance policies covering personal injury, property damage and general liability that reduce our exposure for indemnification and would enable us in many cases to recover all or a portion of any future amounts paid. We have never paid any material amounts to defend lawsuits or settle claims related to these indemnification provisions. Accordingly, we believe the estimated fair value of these indemnification arrangements is minimal.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certain contingent liabilities that arise in the ordinary course of our business activities. We accrue a reserve for contingent liabilities when it is probable that future expenditures will be made, and such expenditures can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Other than our contingent consideration liabilities discussed in Note E, “Fair Value Measurements,” there were no material contingent liabilities accrued as of June 30, 2022 or December 31, 2021.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Additional Cash Flow Information</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cash, cash equivalents and restricted cash at the beginning and ending of each period presented in our condensed consolidated statements of cash flows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9"/>
              </w:rPr>
              <w:t>Beginning of</w:t>
            </w: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End of period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89"/>
              </w:rPr>
              <w:t>Beginning of</w:t>
            </w:r>
          </w:p>
        </w:tc>
        <w:tc>
          <w:tcPr>
            <w:tcW w:w="120" w:type="dxa"/>
            <w:vAlign w:val="bottom"/>
          </w:tcPr>
          <w:p>
            <w:pPr>
              <w:spacing w:after="0"/>
              <w:rPr>
                <w:sz w:val="14"/>
                <w:szCs w:val="14"/>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End of period</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56"/>
        </w:trPr>
        <w:tc>
          <w:tcPr>
            <w:tcW w:w="540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w w:val="92"/>
              </w:rPr>
              <w:t>Cash, cash equivalents and restricted cash per condensed consolidated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6,800.1</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8,704.1</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5,988.9</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6,071.1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statement of cash flows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5"/>
          <w:szCs w:val="15"/>
          <w:b w:val="1"/>
          <w:bCs w:val="1"/>
          <w:color w:val="auto"/>
        </w:rPr>
        <w:t>Subsequent Event</w:t>
      </w:r>
    </w:p>
    <w:p>
      <w:pPr>
        <w:spacing w:after="0" w:line="1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July 2022, we entered into an agreement to acquire ViaCyte, Inc. (“ViaCyte”), a privately held biotechnology company primarily focused on delivering novel stem cell-derived cell replacement therapies as a functional cure for type 1 diabetes. At closing, we will acquire all outstanding shares of ViaCyte in exchange for approximately $320.0 million in cash. The acquisition is subject to, among other things, the satisfaction of customary closing conditions and the expiration of the waiting period under the Hart-Scott-Rodino Antitrust Improvements Act. We will account for the acquisition in the period that it closes.</w:t>
      </w:r>
    </w:p>
    <w:p>
      <w:pPr>
        <w:spacing w:after="0" w:line="13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Also in July 2022, Vertex entered into a research collaboration with Verve Therapeutics, Inc. (“Verve”) focused on discovering and developing an in vivo gene editing program for a liver disease. Under the terms of the agreement, Vertex made a $25.0 million upfront payment to Verve and purchased $35.0 million of Verve’s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62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invest in scientific innovation to create transformative medicines for people with serious diseases with a focus on specialty markets. We have four approved medicines to treat cystic fibrosis, or CF, a life-threatening genetic disease, and are focused on increasing the number of people with CF eligible and able to receive our medicines through label expansions, approval of new medicines, and expanded reimbursement. We are broadening our pipeline into additional disease areas through internal research efforts and accessing external innovation through business development transactions.</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triple combination regimen, TRIKAFTA/KAFTRIO (elexacaftor/tezacaftor/ivacaftor and ivacaftor), was approved in 2019 in the United States, or U.S., and in 2020 in the European Union, or E.U. Collectively, our four medicines are being used by the majority of the approximately 83,000 people with CF in North America, Europe, and Australia. We are evaluating our medicines in additional patient populations, including younger children, with the goal of having small molecule treatments for approximately 90% of people with CF. We also are pursuing genetic therapies for the remaining people with CF who may not be helped by our current CF medicines.</w:t>
      </w:r>
    </w:p>
    <w:p>
      <w:pPr>
        <w:spacing w:after="0" w:line="13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Beyond CF, we continue to research and develop product candidates for the treatment of serious diseases, including sickle cell disease, beta thalassemia, APOL1-mediated kidney disease, type 1 diabetes, pain, alpha-1 antitrypsin deficiency, Duchenne muscular dystrophy, and myotonic dystrophy type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16"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6"/>
          <w:szCs w:val="16"/>
          <w:i w:val="1"/>
          <w:iCs w:val="1"/>
          <w:color w:val="auto"/>
        </w:rPr>
        <w:t>Revenues</w:t>
      </w:r>
      <w:r>
        <w:rPr>
          <w:sz w:val="20"/>
          <w:szCs w:val="20"/>
          <w:color w:val="auto"/>
        </w:rPr>
        <w:tab/>
      </w:r>
      <w:r>
        <w:rPr>
          <w:rFonts w:ascii="Arial" w:cs="Arial" w:eastAsia="Arial" w:hAnsi="Arial"/>
          <w:sz w:val="16"/>
          <w:szCs w:val="16"/>
          <w:color w:val="auto"/>
        </w:rPr>
        <w:t>In the second quarter of 2022, our net product revenues continued to increase due to the strong launches of TRIKAFTA/KAFTRIO in</w:t>
      </w:r>
    </w:p>
    <w:p>
      <w:pPr>
        <w:spacing w:after="0" w:line="60" w:lineRule="exact"/>
        <w:rPr>
          <w:sz w:val="20"/>
          <w:szCs w:val="20"/>
          <w:color w:val="auto"/>
        </w:rPr>
      </w:pPr>
    </w:p>
    <w:p>
      <w:pPr>
        <w:ind w:left="1360" w:right="60"/>
        <w:spacing w:after="0" w:line="260" w:lineRule="auto"/>
        <w:rPr>
          <w:sz w:val="20"/>
          <w:szCs w:val="20"/>
          <w:color w:val="auto"/>
        </w:rPr>
      </w:pPr>
      <w:r>
        <w:rPr>
          <w:rFonts w:ascii="Arial" w:cs="Arial" w:eastAsia="Arial" w:hAnsi="Arial"/>
          <w:sz w:val="18"/>
          <w:szCs w:val="18"/>
          <w:color w:val="auto"/>
        </w:rPr>
        <w:t>multiple countries internationally and the strong performance of TRIKAFTA in the U.S., including the June 2021 launch of TRIKAFTA for children with CF 6 through 11 years of age.</w:t>
      </w:r>
    </w:p>
    <w:p>
      <w:pPr>
        <w:sectPr>
          <w:pgSz w:w="11900" w:h="16838" w:orient="portrait"/>
          <w:cols w:equalWidth="0" w:num="1">
            <w:col w:w="11220"/>
          </w:cols>
          <w:pgMar w:left="320" w:top="121" w:right="359" w:bottom="1440" w:gutter="0" w:footer="0" w:header="0"/>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Cash</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total research and development, or R&amp;D, acquired in-process research and development, or AIPR&amp;D, and selling, general and administrative, or SG&amp;A, expenses decreased to $877.3 million in the second quarter of 2022 as compared to $1.6 billion in the second quarter of 2021. The decrease was primarily due to a $900.0 million upfront payment we made in the second quarter of 2021 to CRISPR in connection with an amendment to our exa-cel collaboration partially offset by the progression of several product candidates into mid-to late-stage clinical development. Cost of sales was 12% and 13% of our net product revenues in the second quarter of 2022 and 2021, respectively.</w:t>
      </w:r>
    </w:p>
    <w:p>
      <w:pPr>
        <w:spacing w:after="0" w:line="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cash, cash equivalent and marketable securities increased to $9.3 billion as of June 30, 2022 as compared to $7.5 billion as of December 31, 2021 primarily due to our net product revenues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160020</wp:posOffset>
            </wp:positionV>
            <wp:extent cx="5760720" cy="175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17576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660"/>
            <w:col w:w="98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Marketed Products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expect to continue to grow our CF business by increasing the number of people with CF eligible and able to receive our medicines and providing improved treatment options for people who are already eligible for one of our medicines. Recent and anticipated progress in activities supporting these efforts is included below.</w:t>
      </w:r>
    </w:p>
    <w:p>
      <w:pPr>
        <w:spacing w:after="0" w:line="130" w:lineRule="exact"/>
        <w:rPr>
          <w:sz w:val="20"/>
          <w:szCs w:val="20"/>
          <w:color w:val="auto"/>
        </w:rPr>
      </w:pPr>
    </w:p>
    <w:p>
      <w:pPr>
        <w:ind w:left="660" w:right="4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completed the Phase 3 study of TRIKAFTA/KAFTRIO in children 2 to 5 years old. We expect to present results from this trial at a medical forum later in 2022 and to submit global regulatory filings later this year.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Health Canada granted marketing authorization for TRIKAFTA in children 6 to 11 years of age.</w:t>
      </w:r>
    </w:p>
    <w:p>
      <w:pPr>
        <w:spacing w:after="0" w:line="171"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filed a supplemental New Drug Application with the U.S. Food and Drug Administration, or FDA, and a marketing authorization application with the European Medicines Agency, or EMA, for the use of ORKAMBI in children 12 months to less than 24 months old. The FDA has assigned a Prescription Drug User Fee Act (PDUFA) target date of September 4,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TRIKAFTA/KAFTRIO is now approved and reimbursed or accessible in more than 25 countries.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continue to advance a pipeline of potentially transformative small molecule and cell and genetic therapies aimed at treating serious diseases.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Recent and anticipated progress in activities supporting these efforts is included below.</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Cystic Fibrosis</w:t>
      </w:r>
    </w:p>
    <w:p>
      <w:pPr>
        <w:spacing w:after="0" w:line="171" w:lineRule="exact"/>
        <w:rPr>
          <w:sz w:val="20"/>
          <w:szCs w:val="20"/>
          <w:color w:val="auto"/>
        </w:rPr>
      </w:pPr>
    </w:p>
    <w:p>
      <w:pPr>
        <w:jc w:val="both"/>
        <w:ind w:left="660" w:right="20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conducting two Phase 3 global, randomized, double-blind, active-controlled clinical trials evaluating our new once-daily investigational triple combination of VX-121/tezacaftor/VX-561 in people with CF 12 years of age and older. Sites across both studies are open and enrolling, and enrollment in both trials is expected to be completed in late 2022 or early 2023. We also initiated a study of VX-121/tezacaftor/VX-561 in children with CF 6 to 11 years of age.</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collaboration with Moderna, we are developing CF mRNA therapeutics for the treatment of people with CF who do not produce any CFTR protein. We have completed IND-enabling studies and expect to submit an Investigational New Drug Application, or IND, for this program in the second half of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Beta Thalassemia and Sickle Cell Disease</w:t>
      </w:r>
    </w:p>
    <w:p>
      <w:pPr>
        <w:spacing w:after="0" w:line="171" w:lineRule="exact"/>
        <w:rPr>
          <w:sz w:val="20"/>
          <w:szCs w:val="20"/>
          <w:color w:val="auto"/>
        </w:rPr>
      </w:pPr>
    </w:p>
    <w:p>
      <w:pPr>
        <w:ind w:left="660" w:hanging="328"/>
        <w:spacing w:after="0" w:line="27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We are evaluating the use of a non-viral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CRISPR gene-editing therapy, exa-cel (formerly known as CTX001), for the treatment of sickle cell disease, or SCD, and transfusion-dependent beta thalassemia, or TDT. Enrollment is complete in the ongoing clinical trials evaluating exa-cel in SCD and TDT, and two additional Phase 3 studies of exa-cel have been initiated in pediatric patients, one in TDT and a second in SCD. In June 2022, data from 75 people with follow-up ranging from 1.2 to 37.2 months after exa-cel infusion were presented at the European Hematology Association Congress and continued to support the profile of exa-cel as a one-time functional cure for people with TDT and SCD, showing consistent and durable benefit with longer term data.</w:t>
      </w:r>
    </w:p>
    <w:p>
      <w:pPr>
        <w:spacing w:after="0" w:line="123" w:lineRule="exact"/>
        <w:rPr>
          <w:rFonts w:ascii="Arial" w:cs="Arial" w:eastAsia="Arial" w:hAnsi="Arial"/>
          <w:sz w:val="17"/>
          <w:szCs w:val="17"/>
          <w:color w:val="auto"/>
        </w:rPr>
      </w:pPr>
    </w:p>
    <w:p>
      <w:pPr>
        <w:ind w:left="660" w:right="60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completed discussions with the EMA and the United Kingdom’s Medicines and Healthcare products Regulatory Agency on the submission package for exa-cel and are on track to submit for regulatory approvals of exa-cel for SCD and TDT in Europe and the United Kingdom by the end of 2022. Discussions with the FDA are ongoing.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APOL1-Mediated Kidney Disease</w:t>
      </w:r>
    </w:p>
    <w:p>
      <w:pPr>
        <w:spacing w:after="0" w:line="171" w:lineRule="exact"/>
        <w:rPr>
          <w:sz w:val="20"/>
          <w:szCs w:val="20"/>
          <w:color w:val="auto"/>
        </w:rPr>
      </w:pPr>
    </w:p>
    <w:p>
      <w:pPr>
        <w:ind w:left="660" w:right="28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positive Phase 2 data for inaxaplin (formerly known as VX-147), our small molecule for the treatment of APOL1-mediated focal segmental glomerulosclerosis, or FSGS, we initiated pivotal development of inaxaplin in a single Phase 2/3 study in patients with two APOL1 mutations and proteinuric kidney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granted inaxaplin Breakthrough Therapy designation for APOL1-mediated FSGS and the EMA granted inaxaplin Priority Medicines, or PRIME, designation for APOL1-mediated kidney disease, or AMKD.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Pain</w:t>
      </w:r>
    </w:p>
    <w:p>
      <w:pPr>
        <w:spacing w:after="0" w:line="171" w:lineRule="exact"/>
        <w:rPr>
          <w:sz w:val="20"/>
          <w:szCs w:val="20"/>
          <w:color w:val="auto"/>
        </w:rPr>
      </w:pPr>
    </w:p>
    <w:p>
      <w:pPr>
        <w:ind w:left="660" w:right="6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discovered multiple selective small molecule inhibitors of NaV1.8 with the objective of creating a new class of pain medicines that have the potential to provide effective pain relief. In March, we announced positive Phase 2 data for VX-548, a NaV 1.8 inhibitor, for the non-opioid treatment of acute pain. We expect to initiate Phase 3 development of VX-548 for the treatment of acute pain in the fourth quarter of 2022.</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granted VX-548 Breakthrough Therapy designation for the treatment of moderate to severe acute pain.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intend to initiate a Phase 2 study of VX-548 in neuropathic pain by the end of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Type 1 Diabetes</w:t>
      </w:r>
    </w:p>
    <w:p>
      <w:pPr>
        <w:spacing w:after="0" w:line="171" w:lineRule="exact"/>
        <w:rPr>
          <w:sz w:val="20"/>
          <w:szCs w:val="20"/>
          <w:color w:val="auto"/>
        </w:rPr>
      </w:pPr>
    </w:p>
    <w:p>
      <w:pPr>
        <w:ind w:left="660" w:right="52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VX-880 is a stem cell-derived, allogeneic, fully differentiated, insulin-secreting islet cell replacement therapy, used in combination with immunosuppression to protect the implanted cells. VX-880 is being evaluated in a Phase 1/2 clinical trial as a potential treatment for type 1 diabetes, or T1D. The VX-880 Phase 1/2 clinical trial has resumed enrollment in the U.S. following a clinical hold imposed by the FDA.</w:t>
      </w:r>
    </w:p>
    <w:p>
      <w:pPr>
        <w:spacing w:after="0" w:line="94" w:lineRule="exact"/>
        <w:rPr>
          <w:rFonts w:ascii="Arial" w:cs="Arial" w:eastAsia="Arial" w:hAnsi="Arial"/>
          <w:sz w:val="16"/>
          <w:szCs w:val="16"/>
          <w:color w:val="auto"/>
        </w:rPr>
      </w:pPr>
    </w:p>
    <w:p>
      <w:pPr>
        <w:ind w:left="660" w:right="8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Earlier this year, we provided data on the first two T1D patients dosed in this clinical trial, including that both patients had achieved glucose-responsive insulin production, improvements in glycemic control, and reductions in exogenous insulin requirements. Additional data presented at American Diabetes Association Scientific Sessions Conference also demonstrated significant increases in the blood-glucose time-in-range compared to the baseline, following treatment with VX-880. VX-880 safety data to date is generally consistent with the immunosuppressive regimen used in the study and the perioperative period.</w:t>
      </w:r>
    </w:p>
    <w:p>
      <w:pPr>
        <w:spacing w:after="0" w:line="133"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continue to advance additional programs in T1D, in which these same stem cell-derived, fully differentiated, insulin-secreting islet cells are encapsulated and implanted in an immunoprotective device or modified to produce hypoimmune stem cells islets with the goal of eliminating the need for immunosuppression. We are conducting IND-enabling studies for the cells and device program, and we expect to submit an IND for this program in 2022.</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Alpha-1 Antitrypsin Deficiency</w:t>
      </w:r>
    </w:p>
    <w:p>
      <w:pPr>
        <w:spacing w:after="0" w:line="171" w:lineRule="exact"/>
        <w:rPr>
          <w:sz w:val="20"/>
          <w:szCs w:val="20"/>
          <w:color w:val="auto"/>
        </w:rPr>
      </w:pPr>
    </w:p>
    <w:p>
      <w:pPr>
        <w:ind w:left="660" w:right="6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working to address the underlying genetic cause of alpha-1 antitrypsin, or AAT, deficiency by developing novel small molecule correctors of Z-AAT protein folding, with the goal of enabling the secretion of functional AAT into the blood and addressing both the lung and the liver aspects of AAT deficiency. We plan to advance one or more small molecule Z-AAT correctors into the clinic in 2022.</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Duchenne Muscular Dystrophy</w:t>
      </w:r>
    </w:p>
    <w:p>
      <w:pPr>
        <w:spacing w:after="0" w:line="171" w:lineRule="exact"/>
        <w:rPr>
          <w:sz w:val="20"/>
          <w:szCs w:val="20"/>
          <w:color w:val="auto"/>
        </w:rPr>
      </w:pPr>
    </w:p>
    <w:p>
      <w:pPr>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We are investigating a novel approach to treating Duchenne muscular dystrophy, or DMD, which delivers CRISPR/Cas9 gene-editing technology to muscle cells, with the goal of restoring near-full length dystrophin protein expression by targeting specific mutations in the dystrophin gene that cause the disease. We have advanced our first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gene-editing therapy for DMD into IND-enabling studies. We expect to submit an IND for this program in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Environment</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net product revenues come from the sale of our medicines for the treatment of CF. Our CF strategy involves continuing to develop and obtain approval and reimbursement for treatment regimens that will provide benefits to all people with CF and increasing the number of people with CF eligible and able to receive our medicines, including through label expansions, expanded reimbursement, and the development of new medicines. We are actively pursuing a pipeline of product candidates for the treatment of serious diseases outside of CF. Our strategy is to combine transformative advances in the understanding of human disease biology and the science of therapeutics in order to discover and develop new medicines. This approach includes advancing multiple compounds from each program, spanning multiple modalities, into early clinical trials and evaluating patient data to inform discovery and development of additional compounds, with the goal of bringing first-in-class and best-in-class therapies to patients, and to provide durable clinical and commercial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pursuit of new product candidates and therapies in specialty markets, we invest in research and development. We believe that pursuing research in diverse areas allows us to balance the risks inherent in product development and may provide product candidates that will form our pipeline in future years. To supplement our internal research programs, we acquire technologies and programs and collaborate with biopharmaceutical and technology companies, leading academic research institutions, government laboratories, foundations and other organizations, as needed, to advance research in our areas of therapeutic interest and to access technologies needed to execute on our strategy.</w:t>
      </w:r>
    </w:p>
    <w:p>
      <w:pPr>
        <w:spacing w:after="0" w:line="12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Discovery and development of a new pharmaceutical or biological product is a difficult and lengthy process that requires significant financial resources along with extensive technical and regulatory expertise. Most potential drug or biological products never progress into development, and most products that do advance into development never receive marketing approval. Our investments in product candidates are subject to considerable risks. We closely monitor the results of our discovery, research, clinical trials and nonclinical studies and frequently evaluate our product development programs in light of new data and scientific, business and commercial insights, with the objective of balancing risk and potential. This process can result in rapid changes in focus and priorities as new information becomes available and as we gain additional understanding of our ongoing programs and potential new programs, as well as those of our competitors.</w:t>
      </w:r>
    </w:p>
    <w:p>
      <w:pPr>
        <w:spacing w:after="0" w:line="12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business also requires ensuring appropriate manufacturing and reimbursement of our products. As we advance our product candidates through clinical development toward commercialization and market and sell our approved products, we build and maintain our supply chain and quality assurance resources. We rely on a global network of third parties and our internal capabilities to manufacture and distribute our products for commercial sale and post-approval clinical trials and to manufacture and distribute our product candidates for clinical trials. In addition to establishing supply chains for each new approved product, we adapt our supply chain for existing products to include additional formulations or to increase scale of production for existing products as needed. The processes for cell and genetic therapies can be more complex than those required for small molecule drugs and require different systems, equipment, facilities and expertise. We are focused on ensuring the stability of the supply chains for our current products, as well as for our pipeline programs.</w:t>
      </w:r>
    </w:p>
    <w:p>
      <w:pPr>
        <w:spacing w:after="0" w:line="13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Sales of our products depend, to a large degree, on the extent to which our products are reimbursed by third-party payors, such as government health programs, commercial insurance and managed health care organizations. Reimbursement for our products, including our potential pipeline therapies, cannot be assured and may take significant periods of time to obtain. We dedicate substantial management and other resources in order to obtain and maintain appropriate levels of reimbursement for our products from third-party payors, including governmental organizations in the U.S. and ex-U.S. markets.</w:t>
      </w:r>
    </w:p>
    <w:p>
      <w:pPr>
        <w:spacing w:after="0" w:line="13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the U.S., we have worked successfully with third-party payors in order to promptly obtain appropriate levels of reimbursement for our CF medicines. We plan to continue to engage in discussions with numerous commercial insurers and managed health care organizations, along with government health programs that are typically managed by authorities in the individual states, to ensure that payors recognize the significant benefits that our medicines provide and provide patients with appropriate levels of access to our medicines now and in the future. In ex-U.S. markets, we seek government reimbursement for our medicines on a country-by-country or region-by-region basis, as required. This is necessary for each new medicine, as well as for label expansions for our current medicines. We expect to continue to focus significant resources to obtain expanded reimbursement for our CF medicines and, ultimately, pipeline therapies in U.S. and ex-U.S. markets.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continue to monitor the impacts of the COVID-19 global pandemic on our business, including in our clinical trials, manufacturing facilities and capabilities, and ability to access necessary resources. COVID-19 has not materially affected our supply chain or the demand for our medicines, and we believe that we will be able to continue to supply all of our approved medicines to patients globally. We adjusted our business operations in response to COVID-19 and have continued to monitor local COVID-19 trends and government guidance for each of our site locations. We are utilizing a site-specific approach to assess and permit employee access to our sites. Currently, our sites are open to certain employees where appropriate and permitted by local laws and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part of our business strategy, we seek to acquire products, product candidates and other technologies and businesses that are aligned with our corporate and research and development strategies and complement and advance our ongoing research and development efforts.</w:t>
      </w:r>
    </w:p>
    <w:p>
      <w:pPr>
        <w:spacing w:after="0" w:line="9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the second quarter of 2022, we acquired Catalyst Biosciences, Inc.’s, or Catalyst’s, portfolio of protease medicines that target the complement system and related intellectual property. In July 2022, we announced that we had entered into a definitive agreement under which we will acquire ViaCyte Inc., a privately held biotechnology company with tools, technologies and assets with potential to accelerate development of our T1D programs.</w:t>
      </w:r>
    </w:p>
    <w:p>
      <w:pPr>
        <w:spacing w:after="0" w:line="95" w:lineRule="exact"/>
        <w:rPr>
          <w:sz w:val="20"/>
          <w:szCs w:val="20"/>
          <w:color w:val="auto"/>
        </w:rPr>
      </w:pPr>
    </w:p>
    <w:p>
      <w:pPr>
        <w:ind w:right="1900" w:firstLine="324"/>
        <w:spacing w:after="0" w:line="438" w:lineRule="auto"/>
        <w:rPr>
          <w:sz w:val="20"/>
          <w:szCs w:val="20"/>
          <w:color w:val="auto"/>
        </w:rPr>
      </w:pPr>
      <w:r>
        <w:rPr>
          <w:rFonts w:ascii="Arial" w:cs="Arial" w:eastAsia="Arial" w:hAnsi="Arial"/>
          <w:sz w:val="18"/>
          <w:szCs w:val="18"/>
          <w:color w:val="auto"/>
        </w:rPr>
        <w:t xml:space="preserve">We expect to continue to identify and evaluate potential acquisitions and may include larger transactions or later-stage assets. </w:t>
      </w:r>
      <w:r>
        <w:rPr>
          <w:rFonts w:ascii="Arial" w:cs="Arial" w:eastAsia="Arial" w:hAnsi="Arial"/>
          <w:sz w:val="18"/>
          <w:szCs w:val="18"/>
          <w:i w:val="1"/>
          <w:iCs w:val="1"/>
          <w:color w:val="auto"/>
        </w:rPr>
        <w:t>Collaboration and In-Licensing Arrangements</w:t>
      </w:r>
    </w:p>
    <w:p>
      <w:pPr>
        <w:spacing w:after="0" w:line="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enter into arrangements with third parties, including collaboration and licensing arrangements, for the development, manufacture and commercialization of products, product candidates and other technologies that have the potential to complement our ongoing research and development efforts. Over the last several years, we entered into collaboration agreements with a number of companies, including Arbor Biotechnologies, Inc., CRISPR Therapeutics AG, Kymera Therapeutics, Inc., Mammoth Biosciences, Inc., Moderna, Inc., Obsidian Therapeutics, Inc., and Verve Therapeutics, Inc. Generally, when we in-license a technology or product candidate, we make upfront payments to the collaborator, assume the costs of the program and/or agree to make contingent payments, which could consist of milestone, royalty and option payments. Most of these collaboration payments are expensed as acquired in-process research and development expenses; however, depending on many factors, including the structure of the collaboration, the significance of the in-licensed product candidate to the collaborator’s operations and the other activities in which our collaborators are engaged, the accounting for these transactions can vary significantly. We expect to continue to identify and evaluate collaboration and licensing opportunities that may be similar to or different from the collaborations and licenses that we have engaged in previously.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the first half of 2022 and 2021, our AIPR&amp;D included $63.9 million and $960.1 million, respectively, related to upfront, contingent milestone, or other payments pursuant to our business development transactions, including the collaborations, licenses of third-party technologies, and asset acquisitions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Out-License Agreements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have out-licensed internally developed programs to collaborators who are leading the development of these programs. Pursuant to these out-licensing arrangements, our collaborators are responsible for the research, development, and commercialization costs associated with these programs, and we are entitled to receive contingent milestone and/or royalty payments. As a result, we do not expect to incur significant expenses in connection with these programs and have the potential for future collaborative and royalty revenues resulting from these programs. None of our out-license agreements had a significant impact on our condensed consolidated statement of operations during the first half of 2022 and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In connection with our business development activities, we have periodically made equity investments in our collaborators. As of June 30, 2022, we held strategic equity investments in certain public and private companies, and we expect to make additional strategic equity investments in the future. While we invest the majority of our cash, cash equivalents and marketable securities in instruments that meet specific credit quality standards and limit our exposure to any one issue or type of instrument, our strategic investments are maintained and managed separately from our other cash, cash equivalents and marketable securities. As discussed below in “Other Income (Expense), Net” in our </w:t>
      </w:r>
      <w:r>
        <w:rPr>
          <w:rFonts w:ascii="Arial" w:cs="Arial" w:eastAsia="Arial" w:hAnsi="Arial"/>
          <w:sz w:val="18"/>
          <w:szCs w:val="18"/>
          <w:i w:val="1"/>
          <w:iCs w:val="1"/>
          <w:color w:val="auto"/>
        </w:rPr>
        <w:t>Results of Operations</w:t>
      </w:r>
      <w:r>
        <w:rPr>
          <w:rFonts w:ascii="Arial" w:cs="Arial" w:eastAsia="Arial" w:hAnsi="Arial"/>
          <w:sz w:val="18"/>
          <w:szCs w:val="18"/>
          <w:color w:val="auto"/>
        </w:rPr>
        <w:t>, any changes in the fair value of equity investments with readily determinable fair values (including publicly traded securities) are recorded to other income (expense), net in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0"/>
              </w:rPr>
              <w:t>Three Months Ended June</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5"/>
          </w:tcPr>
          <w:p>
            <w:pPr>
              <w:jc w:val="center"/>
              <w:ind w:right="90"/>
              <w:spacing w:after="0"/>
              <w:rPr>
                <w:sz w:val="20"/>
                <w:szCs w:val="20"/>
                <w:color w:val="auto"/>
              </w:rPr>
            </w:pPr>
            <w:r>
              <w:rPr>
                <w:rFonts w:ascii="Arial" w:cs="Arial" w:eastAsia="Arial" w:hAnsi="Arial"/>
                <w:sz w:val="18"/>
                <w:szCs w:val="18"/>
                <w:b w:val="1"/>
                <w:bCs w:val="1"/>
                <w:color w:val="auto"/>
                <w:w w:val="95"/>
              </w:rPr>
              <w:t>30,</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0"/>
          </w:tcPr>
          <w:p>
            <w:pPr>
              <w:spacing w:after="0"/>
              <w:rPr>
                <w:sz w:val="20"/>
                <w:szCs w:val="20"/>
                <w:color w:val="auto"/>
              </w:rPr>
            </w:pPr>
            <w:r>
              <w:rPr>
                <w:rFonts w:ascii="Arial" w:cs="Arial" w:eastAsia="Arial" w:hAnsi="Arial"/>
                <w:sz w:val="18"/>
                <w:szCs w:val="18"/>
                <w:b w:val="1"/>
                <w:bCs w:val="1"/>
                <w:color w:val="auto"/>
                <w:w w:val="93"/>
              </w:rPr>
              <w:t>(in millions, except percentages and per share amounts)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4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3,517.7</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w:t>
            </w:r>
          </w:p>
        </w:tc>
        <w:tc>
          <w:tcPr>
            <w:tcW w:w="96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5"/>
              </w:rPr>
              <w:t>(40)%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2,667.8</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153%</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Other non-operating expense, net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1"/>
              </w:rPr>
              <w:t>118%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common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Diluted shares used in per share calculations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261.5</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color w:val="auto"/>
                <w:w w:val="97"/>
              </w:rPr>
              <w:t>** Not meaningful</w:t>
            </w:r>
          </w:p>
        </w:tc>
        <w:tc>
          <w:tcPr>
            <w:tcW w:w="0" w:type="dxa"/>
            <w:vAlign w:val="bottom"/>
          </w:tcPr>
          <w:p>
            <w:pPr>
              <w:spacing w:after="0"/>
              <w:rPr>
                <w:sz w:val="1"/>
                <w:szCs w:val="1"/>
                <w:color w:val="auto"/>
              </w:rPr>
            </w:pPr>
          </w:p>
        </w:tc>
      </w:tr>
      <w:tr>
        <w:trPr>
          <w:trHeight w:val="473"/>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1"/>
              </w:rPr>
              <w:t>Three Months Ended June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b w:val="1"/>
                <w:bCs w:val="1"/>
                <w:color w:val="auto"/>
                <w:w w:val="87"/>
              </w:rPr>
              <w:t>30,</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6"/>
          </w:tcPr>
          <w:p>
            <w:pPr>
              <w:ind w:left="68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TRIKAFTA/KAFTRIO</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4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2,448.8</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49%</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SYMDEKO/SYMKEVI</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133.5</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5"/>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258.6</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5"/>
              </w:rPr>
              <w:t>(58)%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ORKAMBI</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KALYDECO</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96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5"/>
              </w:rPr>
              <w:t>(24)%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3,516.7</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8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960" w:type="dxa"/>
            <w:vAlign w:val="bottom"/>
            <w:tcBorders>
              <w:top w:val="single" w:sz="8" w:color="CCEEFF"/>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4,293.7</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3,517.7</w:t>
            </w:r>
          </w:p>
        </w:tc>
        <w:tc>
          <w:tcPr>
            <w:tcW w:w="980" w:type="dxa"/>
            <w:vAlign w:val="bottom"/>
            <w:tcBorders>
              <w:top w:val="single" w:sz="8" w:color="CCEEFF"/>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ind w:left="460"/>
              <w:spacing w:after="0" w:line="204" w:lineRule="exact"/>
              <w:rPr>
                <w:sz w:val="20"/>
                <w:szCs w:val="20"/>
                <w:color w:val="auto"/>
              </w:rPr>
            </w:pPr>
            <w:r>
              <w:rPr>
                <w:rFonts w:ascii="Arial" w:cs="Arial" w:eastAsia="Arial" w:hAnsi="Arial"/>
                <w:sz w:val="18"/>
                <w:szCs w:val="18"/>
                <w:color w:val="auto"/>
                <w:w w:val="97"/>
              </w:rPr>
              <w:t>** Not meaningful</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Revenues, Net</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the second quarter and first half of 2022, our net product revenues increased by $402.8 million and $777.0 million, or 22% as compared to the second quarter and first half of 2021, respectively, primarily due to the strong launches of TRIKAFTA/KAFTRIO in multiple countries internationally and the strong performance of TRIKAFTA in the U.S., including the June 2021 launch of TRIKAFTA for children with CF 6 through 11 years of age. Decreases in revenues for our products other than TRIKAFTA/KAFTRIO were primarily the result of patients switching from these medicines to TRIKAFTA/KAFTRIO.</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product revenues from the U.S. and from ex-U.S. markets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0"/>
              </w:rPr>
              <w:t>Three Months Ended June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2,510.4</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ex-U.S.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96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Product revenues,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9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3,516.7</w:t>
            </w:r>
          </w:p>
        </w:tc>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Revenues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earned a collaborative milestone of $1.0 million in the first half of 2021 and did not have any “Other revenues” in the first half of 2022. Our “Other revenues” have historically fluctuated significantly from one period to another based on our collaborative out-license activities and may continue to fluctuate in the future.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Operating Costs and Expenses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20" w:type="dxa"/>
            <w:vAlign w:val="bottom"/>
            <w:vMerge w:val="restart"/>
          </w:tcPr>
          <w:p>
            <w:pPr>
              <w:ind w:left="2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1"/>
              </w:rPr>
              <w:t>Three Months Ended June</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52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6"/>
          </w:tcPr>
          <w:p>
            <w:pPr>
              <w:ind w:left="68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448.7</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4"/>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903.0</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Acquired in-process research and development expenses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(93)%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194.6</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386.7</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5"/>
              </w:rPr>
              <w:t>(40)%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2,667.8</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9860"/>
        <w:spacing w:after="0"/>
        <w:rPr>
          <w:sz w:val="20"/>
          <w:szCs w:val="20"/>
          <w:color w:val="auto"/>
        </w:rPr>
      </w:pPr>
      <w:r>
        <w:rPr>
          <w:rFonts w:ascii="Arial" w:cs="Arial" w:eastAsia="Arial" w:hAnsi="Arial"/>
          <w:sz w:val="17"/>
          <w:szCs w:val="17"/>
          <w:color w:val="auto"/>
        </w:rPr>
        <w:t>** Not meaningful</w:t>
      </w:r>
    </w:p>
    <w:p>
      <w:pPr>
        <w:spacing w:after="0" w:line="27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Beginning with the second quarter of 2022, we are classifying upfront, contingent milestone, or other payments pursuant to our business development transactions, including collaborations, licenses of third-party technologies, and asset acquisitions as “Acquired in-process research and development expenses,” or “AIPR&amp;D,” in our condensed consolidated statements of operations. To conform prior periods to our current presentation, we have reclassified $958.4 million and $960.1 million from “Research and development expenses” to “AIPR&amp;D” for the three and six months ended June 30, 2021,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cost of sales primarily consists of third-party royalties payable on net sales of our products as well as the cost of producing inventories. Pursuant to our agreement with the Cystic Fibrosis Foundation our tiered third-party royalties on sales of TRIKAFTA/KAFTRIO, SYMDEKO/SYMKEVI, KALYDECO, and ORKAMBI, calculated as a percentage of net sales, range from the single digits to the sub-teens, with royalties on sales of TRIKAFTA/KAFTRIO slightly lower than for our other products. Over the last several years, our cost of sales has been increasing due to increased net product revenues. Our cost of sales as a percentage of our net product revenues was 12% and 13% in the second quarter of 2022 and 2021, respectively. Our cost of sales as a percentage of our net product revenues was 12% in each of the first half of 2022 and 2021,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930"/>
              <w:spacing w:after="0"/>
              <w:rPr>
                <w:sz w:val="20"/>
                <w:szCs w:val="20"/>
                <w:color w:val="auto"/>
              </w:rPr>
            </w:pPr>
            <w:r>
              <w:rPr>
                <w:rFonts w:ascii="Arial" w:cs="Arial" w:eastAsia="Arial" w:hAnsi="Arial"/>
                <w:sz w:val="18"/>
                <w:szCs w:val="18"/>
                <w:b w:val="1"/>
                <w:bCs w:val="1"/>
                <w:color w:val="auto"/>
                <w:w w:val="87"/>
              </w:rPr>
              <w:t>Research and Development Expenses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w w:val="90"/>
              </w:rPr>
              <w:t>Three Months Ended June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vMerge w:val="restart"/>
          </w:tcPr>
          <w:p>
            <w:pPr>
              <w:jc w:val="right"/>
              <w:ind w:right="32"/>
              <w:spacing w:after="0"/>
              <w:rPr>
                <w:sz w:val="20"/>
                <w:szCs w:val="20"/>
                <w:color w:val="auto"/>
              </w:rPr>
            </w:pPr>
            <w:r>
              <w:rPr>
                <w:rFonts w:ascii="Arial" w:cs="Arial" w:eastAsia="Arial" w:hAnsi="Arial"/>
                <w:sz w:val="18"/>
                <w:szCs w:val="18"/>
                <w:b w:val="1"/>
                <w:bCs w:val="1"/>
                <w:color w:val="auto"/>
                <w:w w:val="89"/>
              </w:rPr>
              <w:t>Six Months Ended June 30,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79"/>
              </w:rPr>
              <w:t>30,</w:t>
            </w: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expenses</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96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35%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37%</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jc w:val="center"/>
              <w:ind w:right="990"/>
              <w:spacing w:after="0"/>
              <w:rPr>
                <w:sz w:val="20"/>
                <w:szCs w:val="20"/>
                <w:color w:val="auto"/>
              </w:rPr>
            </w:pPr>
            <w:r>
              <w:rPr>
                <w:rFonts w:ascii="Arial" w:cs="Arial" w:eastAsia="Arial" w:hAnsi="Arial"/>
                <w:sz w:val="18"/>
                <w:szCs w:val="18"/>
                <w:color w:val="auto"/>
                <w:w w:val="87"/>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9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33%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0" w:firstLine="324"/>
        <w:spacing w:after="0" w:line="257" w:lineRule="auto"/>
        <w:rPr>
          <w:sz w:val="20"/>
          <w:szCs w:val="20"/>
          <w:color w:val="auto"/>
        </w:rPr>
      </w:pPr>
      <w:r>
        <w:rPr>
          <w:rFonts w:ascii="Arial" w:cs="Arial" w:eastAsia="Arial" w:hAnsi="Arial"/>
          <w:sz w:val="18"/>
          <w:szCs w:val="18"/>
          <w:color w:val="auto"/>
        </w:rPr>
        <w:t>Our research and development expenses include internal and external costs incurred for research and development of our products and product candidates. We do not assign our internal costs, such as salary and benefits, stock-based compensation expense, laboratory supplies and other direct expenses and infrastructure costs, to individual products or product candidates, because the employees within our research and development groups typically are deployed across multiple research and development programs. We assign external costs of services provided to us by clinical research organizations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outsourced research by individual program. Our internal costs are significantly greater than our external costs. All research and development costs for our products and product candidates are expensed as incurred.</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Since January 2020, we have incurred approximately $6.1 billion in total research and development and AIPR&amp;D expenses associated with product discovery and development. The successful development of our product candidates is highly uncertain and subject to a number of risks. In addition, the duration of clinical trials may vary substantially according to the type, complexity and novelty of the product candidate and the disease indication being targeted. The FDA and comparable agencies in foreign countries impose substantial requirements on the introduction of therapeutic pharmaceutical products, typically requiring lengthy and detailed laboratory and clinical testing procedures, sampling activities and other costly and time-consuming procedures. Data obtained from nonclinical and clinical activities at any step in the testing process may be adverse and lead to discontinuation or redirection of development activities. Data obtained from these activities also are susceptible to varying interpretations, which could delay, limit or prevent regulatory approval. The duration and cost of discovery, nonclinical studies and clinical trials may vary significantly over the life of a project and are difficult to predict. Therefore, accurate and meaningful estimates of the ultimate costs to bring our product candidates to market are not available.</w:t>
      </w:r>
    </w:p>
    <w:p>
      <w:pPr>
        <w:spacing w:after="0" w:line="11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Any estimates regarding development and regulatory timelines for our product candidates are highly subjective and subject to change. Until we have data from Phase 3 clinical trials, we cannot make a meaningful estimate regarding when, or if, a clinical development program will generate revenues and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340"/>
              <w:spacing w:after="0"/>
              <w:rPr>
                <w:sz w:val="20"/>
                <w:szCs w:val="20"/>
                <w:color w:val="auto"/>
              </w:rPr>
            </w:pPr>
            <w:r>
              <w:rPr>
                <w:rFonts w:ascii="Arial" w:cs="Arial" w:eastAsia="Arial" w:hAnsi="Arial"/>
                <w:sz w:val="18"/>
                <w:szCs w:val="18"/>
                <w:i w:val="1"/>
                <w:iCs w:val="1"/>
                <w:color w:val="auto"/>
              </w:rPr>
              <w:t>Research Expenses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gridSpan w:val="5"/>
          </w:tcPr>
          <w:p>
            <w:pPr>
              <w:jc w:val="right"/>
              <w:ind w:right="31"/>
              <w:spacing w:after="0"/>
              <w:rPr>
                <w:sz w:val="20"/>
                <w:szCs w:val="20"/>
                <w:color w:val="auto"/>
              </w:rPr>
            </w:pPr>
            <w:r>
              <w:rPr>
                <w:rFonts w:ascii="Arial" w:cs="Arial" w:eastAsia="Arial" w:hAnsi="Arial"/>
                <w:sz w:val="18"/>
                <w:szCs w:val="18"/>
                <w:b w:val="1"/>
                <w:bCs w:val="1"/>
                <w:color w:val="auto"/>
                <w:w w:val="91"/>
              </w:rPr>
              <w:t>Three Months Ended June</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4"/>
            <w:vMerge w:val="restart"/>
          </w:tcPr>
          <w:p>
            <w:pPr>
              <w:jc w:val="right"/>
              <w:ind w:right="11"/>
              <w:spacing w:after="0"/>
              <w:rPr>
                <w:sz w:val="20"/>
                <w:szCs w:val="20"/>
                <w:color w:val="auto"/>
              </w:rPr>
            </w:pPr>
            <w:r>
              <w:rPr>
                <w:rFonts w:ascii="Arial" w:cs="Arial" w:eastAsia="Arial" w:hAnsi="Arial"/>
                <w:sz w:val="18"/>
                <w:szCs w:val="18"/>
                <w:b w:val="1"/>
                <w:bCs w:val="1"/>
                <w:color w:val="auto"/>
                <w:w w:val="90"/>
              </w:rPr>
              <w:t>Six Months Ended June 30,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Expenses: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Salary and benefits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15%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67.9</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Outsourced services and other direct expenses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 impairment charge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Infrastructure costs</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96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88"/>
              </w:rPr>
              <w:t>44%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9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36%</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research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9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9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60"/>
        <w:spacing w:after="0"/>
        <w:rPr>
          <w:sz w:val="20"/>
          <w:szCs w:val="20"/>
          <w:color w:val="auto"/>
        </w:rPr>
      </w:pPr>
      <w:r>
        <w:rPr>
          <w:rFonts w:ascii="Arial" w:cs="Arial" w:eastAsia="Arial" w:hAnsi="Arial"/>
          <w:sz w:val="17"/>
          <w:szCs w:val="17"/>
          <w:color w:val="auto"/>
        </w:rPr>
        <w:t>** Not meaningful</w:t>
      </w:r>
    </w:p>
    <w:p>
      <w:pPr>
        <w:spacing w:after="0" w:line="27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research expenses have been increasing over the last several years as we have invested in our pipeline and expanded our cell and genetic therapy capabilities, resulting in increased headcount and infrastructure. We expect to continue to invest in our research programs with a focus on creating transformative medicines for serious diseases.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340"/>
              <w:spacing w:after="0"/>
              <w:rPr>
                <w:sz w:val="20"/>
                <w:szCs w:val="20"/>
                <w:color w:val="auto"/>
              </w:rPr>
            </w:pPr>
            <w:r>
              <w:rPr>
                <w:rFonts w:ascii="Arial" w:cs="Arial" w:eastAsia="Arial" w:hAnsi="Arial"/>
                <w:sz w:val="18"/>
                <w:szCs w:val="18"/>
                <w:i w:val="1"/>
                <w:iCs w:val="1"/>
                <w:color w:val="auto"/>
              </w:rPr>
              <w:t>Development Expenses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gridSpan w:val="5"/>
          </w:tcPr>
          <w:p>
            <w:pPr>
              <w:jc w:val="right"/>
              <w:ind w:right="31"/>
              <w:spacing w:after="0"/>
              <w:rPr>
                <w:sz w:val="20"/>
                <w:szCs w:val="20"/>
                <w:color w:val="auto"/>
              </w:rPr>
            </w:pPr>
            <w:r>
              <w:rPr>
                <w:rFonts w:ascii="Arial" w:cs="Arial" w:eastAsia="Arial" w:hAnsi="Arial"/>
                <w:sz w:val="18"/>
                <w:szCs w:val="18"/>
                <w:b w:val="1"/>
                <w:bCs w:val="1"/>
                <w:color w:val="auto"/>
                <w:w w:val="91"/>
              </w:rPr>
              <w:t>Three Months Ended June</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4"/>
            <w:vMerge w:val="restart"/>
          </w:tcPr>
          <w:p>
            <w:pPr>
              <w:jc w:val="right"/>
              <w:ind w:right="12"/>
              <w:spacing w:after="0"/>
              <w:rPr>
                <w:sz w:val="20"/>
                <w:szCs w:val="20"/>
                <w:color w:val="auto"/>
              </w:rPr>
            </w:pPr>
            <w:r>
              <w:rPr>
                <w:rFonts w:ascii="Arial" w:cs="Arial" w:eastAsia="Arial" w:hAnsi="Arial"/>
                <w:sz w:val="18"/>
                <w:szCs w:val="18"/>
                <w:b w:val="1"/>
                <w:bCs w:val="1"/>
                <w:color w:val="auto"/>
                <w:w w:val="90"/>
              </w:rPr>
              <w:t>Six Months Ended June 30,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(in millions, except percentages)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Expenses: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Salary and benefits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101.0</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28%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163.6</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9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Outsourced services and other direct expenses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144.0</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276.8</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53%</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Infrastructure costs</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9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23"/>
        </w:trPr>
        <w:tc>
          <w:tcPr>
            <w:tcW w:w="4540" w:type="dxa"/>
            <w:vAlign w:val="bottom"/>
          </w:tcPr>
          <w:p>
            <w:pPr>
              <w:ind w:left="460"/>
              <w:spacing w:after="0"/>
              <w:rPr>
                <w:sz w:val="20"/>
                <w:szCs w:val="20"/>
                <w:color w:val="auto"/>
              </w:rPr>
            </w:pPr>
            <w:r>
              <w:rPr>
                <w:rFonts w:ascii="Arial" w:cs="Arial" w:eastAsia="Arial" w:hAnsi="Arial"/>
                <w:sz w:val="18"/>
                <w:szCs w:val="18"/>
                <w:color w:val="auto"/>
              </w:rPr>
              <w:t>Total development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35%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4"/>
              </w:rPr>
              <w:t>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development expenses increased by $112.8 million and $243.9 million, or 35% and 37%, in the second quarter and first half of 2022 as compared to the second quarter and first half of 2021, respectively, primarily due to increased costs to support clinical trials associated with our advancing pipeline programs, including our CF triple combination of VX-121/tezacaftor/VX-561, pain and T1D. We are investing in both our internal headcount and infrastructure and also leveraging outsourced services to support these programs. In the first half of 2022 and 2021, costs related to our CF programs represented the largest portion of our development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94"/>
              </w:rPr>
              <w:t>Acquired In-process Research and Development Expenses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1"/>
              </w:rPr>
              <w:t>Three Months Ended June</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gridSpan w:val="3"/>
            <w:vMerge w:val="restart"/>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millions, except percentages)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Acquired in-process research and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958.4</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960.1</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AIPR&amp;D in the second quarter and first half of 2022 was primarily related to a $60.0 million payment to Catalyst to acquire their complement portfolio and related intellectual property. AIPR&amp;D in the second quarter and first half of 2021 included the $900.0 million upfront payment to CRISPR. Our AIPR&amp;D has historically fluctuated, and is expected to continue to fluctuate, from one period to another due to upfront, contingent milestone, and other payments pursuant to our business development transactions, including collaborations, licenses of third-party technologies, and asset acquisitions.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3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1"/>
              </w:rPr>
              <w:t>Three Months Ended June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3"/>
            <w:vMerge w:val="restart"/>
          </w:tcPr>
          <w:p>
            <w:pPr>
              <w:jc w:val="right"/>
              <w:ind w:right="130"/>
              <w:spacing w:after="0"/>
              <w:rPr>
                <w:sz w:val="20"/>
                <w:szCs w:val="20"/>
                <w:color w:val="auto"/>
              </w:rPr>
            </w:pPr>
            <w:r>
              <w:rPr>
                <w:rFonts w:ascii="Arial" w:cs="Arial" w:eastAsia="Arial" w:hAnsi="Arial"/>
                <w:sz w:val="18"/>
                <w:szCs w:val="18"/>
                <w:b w:val="1"/>
                <w:bCs w:val="1"/>
                <w:color w:val="auto"/>
                <w:w w:val="89"/>
              </w:rPr>
              <w:t>Six Months Ended June 30,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30,</w:t>
            </w: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6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millions, except percentages)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194.6</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430.5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386.7</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Selling, general and administrative expenses increased by 11% in each of the second quarter and first half of 2022 as compared to the second quarter and first half of 2021, primarily due to the continued investment to support the commercialization of our medicines and increased support for our pipeline product candidates.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fair value of contingent consideration potentially payable to former Exonics equity holders decreased by $49.2 million and $56.7 million in the second quarter and first half of 2022, respectively, primarily the result of revision to the scope of certain gene-editing programs in the second quarter of 2022. The fair value of contingent consideration increased by $1.6 million and decreased by $2.3 million in the second quarter and first half of 2021,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7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Interest income was $10.8 million and $1.1 million in the second quarter of 2022 and 2021, respectively, and $12.4 million and $2.6 million in the first half of 2022 and 2021, respectively. Our future interest income is dependent on the amount of, and prevailing market interest rates on, our outstanding cash equivalents and available-for-sale debt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Interest expense was $14.6 million and $15.5 million in the second quarter of 2022 and 2021, respectively, and $29.5 million and $31.2 million in the first half of 2022 and 2021, respectively. The majority of our interest expense in these periods was related to imputed interest expense associated with our leased corporate headquarters in Boston.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Other income (expense), net was expense of $78.1 million and income of $8.1 million in the second quarter of 2022 and 2021, respectively, and expense of $150.9 million and $44.6 million in the first half of 2022 and 2021, respectively. The vast majority of these amounts relate to net unrealized gains or losses resulting from changes in the fair value of our strategic investments. As of June 30, 2022, the fair value of our investments in publicly traded companies was $71.1 million. To the extent that we continue to hold strategic investments in publicly traded companies, we will record other income (expense) related to these strategic investments on a quarterly basis. We expect that due to the volatility of the stock price of biotechnology companies, our other income (expense), net will fluctuate in future periods based on increases or decreases in the fair value of our strategic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recorded provisions for income taxes of $213.9 million and $406.6 million in the second quarter and first half of 2022, respectively, a benefit from income taxes of $111.2 million in the second quarter of 2021 and a provision for income taxes of $56.6 million in the first half of 2021. Our effective tax rate of 21% for the first half of 2022 was similar to the U.S. statutory rate. Our effective tax rate of 7% for the first half of 2021 was lower than the U.S. statutory rate primarily due to a $99.7 million discrete tax benefit associated with an increase in the U.K.’s corporate tax rate from 19% to 25%, which was enacted in June 2021 and will become effective in April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net income increased to $810.5 million and $1.6 billion in the second quarter and first half of 2022, respectively, as compared to $67.0 million and $720.1 million in the second quarter and first half of 2021, respectively, primarily due to the $900.0 million upfront payment we made to CRISPR in the second quarter of 2021 and increased product revenues. These increases in net income were partially offset by increased cost of sales, development expenses to progress several product candidates into mid- to late-stage clinical development, selling, general and administrative expenses to support the commercialization of our medicines and increased support for our pipeline product candidates and income taxes. We also incurred significant unrealized losses on our strategic investments in second quarter and first half of 2022.</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9840" w:type="dxa"/>
            <w:vAlign w:val="bottom"/>
            <w:gridSpan w:val="6"/>
          </w:tcPr>
          <w:p>
            <w:pPr>
              <w:jc w:val="center"/>
              <w:ind w:right="450"/>
              <w:spacing w:after="0"/>
              <w:rPr>
                <w:sz w:val="20"/>
                <w:szCs w:val="20"/>
                <w:color w:val="auto"/>
              </w:rPr>
            </w:pPr>
            <w:r>
              <w:rPr>
                <w:rFonts w:ascii="Arial" w:cs="Arial" w:eastAsia="Arial" w:hAnsi="Arial"/>
                <w:sz w:val="18"/>
                <w:szCs w:val="18"/>
                <w:color w:val="auto"/>
                <w:w w:val="90"/>
              </w:rPr>
              <w:t>The following table summarizes the components of our financial condition as of June 30, 2022 and December 31, 2021:</w:t>
            </w:r>
          </w:p>
        </w:tc>
        <w:tc>
          <w:tcPr>
            <w:tcW w:w="1400" w:type="dxa"/>
            <w:vAlign w:val="bottom"/>
          </w:tcPr>
          <w:p>
            <w:pPr>
              <w:spacing w:after="0"/>
              <w:rPr>
                <w:sz w:val="24"/>
                <w:szCs w:val="24"/>
                <w:color w:val="auto"/>
              </w:rPr>
            </w:pPr>
          </w:p>
        </w:tc>
      </w:tr>
      <w:tr>
        <w:trPr>
          <w:trHeight w:val="256"/>
        </w:trPr>
        <w:tc>
          <w:tcPr>
            <w:tcW w:w="4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As of June 30, 2022</w:t>
            </w:r>
          </w:p>
        </w:tc>
        <w:tc>
          <w:tcPr>
            <w:tcW w:w="2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 of December 31, 2021</w:t>
            </w:r>
          </w:p>
        </w:tc>
        <w:tc>
          <w:tcPr>
            <w:tcW w:w="14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4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40" w:type="dxa"/>
            <w:vAlign w:val="bottom"/>
            <w:gridSpan w:val="4"/>
          </w:tcPr>
          <w:p>
            <w:pPr>
              <w:ind w:left="1780"/>
              <w:spacing w:after="0"/>
              <w:rPr>
                <w:sz w:val="20"/>
                <w:szCs w:val="20"/>
                <w:color w:val="auto"/>
              </w:rPr>
            </w:pPr>
            <w:r>
              <w:rPr>
                <w:rFonts w:ascii="Arial" w:cs="Arial" w:eastAsia="Arial" w:hAnsi="Arial"/>
                <w:sz w:val="18"/>
                <w:szCs w:val="18"/>
                <w:b w:val="1"/>
                <w:bCs w:val="1"/>
                <w:color w:val="auto"/>
              </w:rPr>
              <w:t>(in millions, except percentages)</w:t>
            </w:r>
          </w:p>
        </w:tc>
        <w:tc>
          <w:tcPr>
            <w:tcW w:w="140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9"/>
              </w:rPr>
              <w:t>7,524.9</w:t>
            </w:r>
          </w:p>
        </w:tc>
        <w:tc>
          <w:tcPr>
            <w:tcW w:w="14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23%</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9"/>
              </w:rPr>
              <w:t>9,560.6</w:t>
            </w:r>
          </w:p>
        </w:tc>
        <w:tc>
          <w:tcPr>
            <w:tcW w:w="14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20%</w:t>
            </w:r>
          </w:p>
        </w:tc>
      </w:tr>
      <w:tr>
        <w:trPr>
          <w:trHeight w:val="229"/>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left="1530"/>
              <w:spacing w:after="0"/>
              <w:rPr>
                <w:sz w:val="20"/>
                <w:szCs w:val="20"/>
                <w:color w:val="auto"/>
              </w:rPr>
            </w:pPr>
            <w:r>
              <w:rPr>
                <w:rFonts w:ascii="Arial" w:cs="Arial" w:eastAsia="Arial" w:hAnsi="Arial"/>
                <w:sz w:val="18"/>
                <w:szCs w:val="18"/>
                <w:color w:val="auto"/>
                <w:w w:val="91"/>
              </w:rPr>
              <w:t>(2,142.0)</w:t>
            </w:r>
          </w:p>
        </w:tc>
        <w:tc>
          <w:tcPr>
            <w:tcW w:w="1400" w:type="dxa"/>
            <w:vAlign w:val="bottom"/>
            <w:tcBorders>
              <w:bottom w:val="single" w:sz="8" w:color="CCEEFF"/>
            </w:tcBorders>
          </w:tcPr>
          <w:p>
            <w:pPr>
              <w:jc w:val="center"/>
              <w:ind w:left="90"/>
              <w:spacing w:after="0"/>
              <w:rPr>
                <w:sz w:val="20"/>
                <w:szCs w:val="20"/>
                <w:color w:val="auto"/>
              </w:rPr>
            </w:pPr>
            <w:r>
              <w:rPr>
                <w:rFonts w:ascii="Arial" w:cs="Arial" w:eastAsia="Arial" w:hAnsi="Arial"/>
                <w:sz w:val="18"/>
                <w:szCs w:val="18"/>
                <w:color w:val="auto"/>
                <w:w w:val="94"/>
              </w:rPr>
              <w:t>19%</w:t>
            </w:r>
          </w:p>
        </w:tc>
      </w:tr>
      <w:tr>
        <w:trPr>
          <w:trHeight w:val="248"/>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working capital</w:t>
            </w: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89"/>
              </w:rPr>
              <w:t>7,418.6</w:t>
            </w:r>
          </w:p>
        </w:tc>
        <w:tc>
          <w:tcPr>
            <w:tcW w:w="14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21%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2022, total working capital was $8.9 billion, which represented an increase of $1.5 billion from $7.4 billion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total working capital in the first half of 2022 was primarily related to $2.1 billion of cash provided by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8"/>
        </w:trPr>
        <w:tc>
          <w:tcPr>
            <w:tcW w:w="4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4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(in millions)</w:t>
            </w:r>
          </w:p>
        </w:tc>
        <w:tc>
          <w:tcPr>
            <w:tcW w:w="126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2,096.0</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610"/>
              <w:spacing w:after="0"/>
              <w:rPr>
                <w:sz w:val="20"/>
                <w:szCs w:val="20"/>
                <w:color w:val="auto"/>
              </w:rPr>
            </w:pPr>
            <w:r>
              <w:rPr>
                <w:rFonts w:ascii="Arial" w:cs="Arial" w:eastAsia="Arial" w:hAnsi="Arial"/>
                <w:sz w:val="18"/>
                <w:szCs w:val="18"/>
                <w:color w:val="auto"/>
                <w:w w:val="88"/>
              </w:rPr>
              <w:t>721.3</w:t>
            </w:r>
          </w:p>
        </w:tc>
      </w:tr>
      <w:tr>
        <w:trPr>
          <w:trHeight w:val="230"/>
        </w:trPr>
        <w:tc>
          <w:tcPr>
            <w:tcW w:w="420" w:type="dxa"/>
            <w:vAlign w:val="bottom"/>
          </w:tcPr>
          <w:p>
            <w:pPr>
              <w:spacing w:after="0"/>
              <w:rPr>
                <w:sz w:val="19"/>
                <w:szCs w:val="19"/>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4"/>
              </w:rPr>
              <w:t>(154.0)</w:t>
            </w:r>
          </w:p>
        </w:tc>
      </w:tr>
      <w:tr>
        <w:trPr>
          <w:trHeight w:val="230"/>
        </w:trPr>
        <w:tc>
          <w:tcPr>
            <w:tcW w:w="420" w:type="dxa"/>
            <w:vAlign w:val="bottom"/>
          </w:tcPr>
          <w:p>
            <w:pPr>
              <w:spacing w:after="0"/>
              <w:rPr>
                <w:sz w:val="20"/>
                <w:szCs w:val="20"/>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590"/>
              <w:spacing w:after="0"/>
              <w:rPr>
                <w:sz w:val="20"/>
                <w:szCs w:val="20"/>
                <w:color w:val="auto"/>
              </w:rPr>
            </w:pPr>
            <w:r>
              <w:rPr>
                <w:rFonts w:ascii="Arial" w:cs="Arial" w:eastAsia="Arial" w:hAnsi="Arial"/>
                <w:sz w:val="18"/>
                <w:szCs w:val="18"/>
                <w:color w:val="auto"/>
                <w:w w:val="94"/>
              </w:rPr>
              <w:t>(485.1)</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Cash provided by operating activities were $2.1 billion in the first half of 2022 as compared to $721.3 million in the first half of 2021, primarily due to a $852.5 million increase in our net income resulting from the $900.0 million upfront payment to CRISPR that was recorded within “Acquired in-process research and development expenses” in the first half of 2021 and changes to accrued expenses and accounts receivable due to increased product revenues.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Cash used in investing activities were $112.5 million and $154.0 million in the first half of 2022 and 2021, respectively. These investing activities were primarily related to purchases of property and equipment.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Cash used in financing activities were $47.7 million and $485.1 million in the first half of 2022 and 2021, respectively. In the first half of 2022, the largest portion of our financing activities were payments related to our employee stock benefit plans. In the first half of 2021, the largest portion of our financing activities were share repurchases pursuant to our share repurchase programs totaling $424.9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As of June 30, 2022, we had cash, cash equivalents and marketable securities of $9.3 billion, which represented an increase of $1.7 billion from $7.5 billion as of December 31, 2021. We intend to rely on our existing cash, cash equivalents and marketable securities together with cash flows from product sales as our primary source of liquidity.</w:t>
      </w:r>
    </w:p>
    <w:p>
      <w:pPr>
        <w:spacing w:after="0" w:line="13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expect that cash flows from our products together with our current cash, cash equivalents and marketable securities will be sufficient to fund our operations for at least the next twelve months. The adequacy of our available funds to meet our future operating and capital requirements will depend on many factors, including the amounts of future revenues generated by our products, and the potential introduction of one or more of our other product candidates to the market, the level of our business development activities and the number, breadth, cost and prospects of our research and development programs.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Facilities &amp; Financing Strategy</w:t>
      </w:r>
    </w:p>
    <w:p>
      <w:pPr>
        <w:spacing w:after="0" w:line="17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of June 30, 2022, we could borrow up to a total of $2.5 billion pursuant to two revolving credit facilities and could repay and reborrow amounts under these revolving credit agreements without penalty. Subject to certain conditions, we could request that the borrowing capacity for each of the credit agreements be increased by an additional $500.0 million, for a total of $3.5 billion collectively. Negative covenants in our credit agreement could prohibit or limit our ability to access these sources of liquidity. As of June 30, 2022, both facilities were undrawn, and we were in compliance with these covenants.</w:t>
      </w:r>
    </w:p>
    <w:p>
      <w:pPr>
        <w:spacing w:after="0" w:line="103"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In July 2022, we terminated the $500.0 million revolving credit facility that we entered into in 2019 and entered into a new $500.0 million revolving credit facility, which matures in July 2027. The $2.0 billion revolving credit facility that we entered into in 2020 matures in September 2022.</w:t>
      </w:r>
    </w:p>
    <w:p>
      <w:pPr>
        <w:spacing w:after="0" w:line="7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may also raise additional capital by borrowing under credit agreements, through public offerings or private placements of our securities or securing new collaborative agreements or other methods of financing. We will continue to manage our capital structure and will consider all financing opportunities, whenever they may occur, that could strengthen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our long-term liquidity profile. There can be no assurance that any such financing opportunities will be available on acceptable terms, if at 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significant future capital requirements, including: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operating expenses to conduct research and development activities and to operate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Facility and finance lease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Royalties we pay to the Cystic Fibrosis Foundation on sales of our CF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paid for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have significant potential future capital requirements including:</w:t>
      </w:r>
    </w:p>
    <w:p>
      <w:pPr>
        <w:spacing w:after="0" w:line="171" w:lineRule="exact"/>
        <w:rPr>
          <w:sz w:val="20"/>
          <w:szCs w:val="20"/>
          <w:color w:val="auto"/>
        </w:rPr>
      </w:pPr>
    </w:p>
    <w:p>
      <w:pPr>
        <w:ind w:left="660" w:hanging="328"/>
        <w:spacing w:after="0" w:line="290"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entered into certain business development-related agreements with third parties that include the funding of certain research, development, and commercialization efforts. Certain of our transactions, including collaborations, licensing arrangements, and asset acquisitions, include the potential for future milestone and royalty payments by us upon the achievement of pre-established developmental and regulatory targets and/or commercial targets. Our obligation to fund these research and development and commercialization efforts and to pay these potential milestone and royalties is contingent upon continued involvement in the programs and/or the lack of any adverse events that could cause the discontinuance of the programs associated with our collaborations, licensing arrangements and acquisitions. We may enter into additional business development transactions, including acquisitions, collaborations, licensing arrangements and equity investments, that require additional capital. For example, in July 2022, we entered into an agreement to acquire ViaCyte for approximately $320.0 million in cash.</w:t>
      </w:r>
    </w:p>
    <w:p>
      <w:pPr>
        <w:spacing w:after="0" w:line="111"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we borrow amounts under our existing credit agreements, we would be required to repay any outstanding principal amounts in the third quarter of 2022 or 2027.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June 30, 2022, we had $0.5 billion available under our 2021 Share Repurchase Program.</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There have not been any material changes to our future capital requirements disclosed in our Annual Report on Form 10-K for the year ended December 31, 2021, which was filed with the Securities and Exchange Commission, or SEC, on February 9, 2022.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prepared in accordance with generally accepted accounting principles in the U.S. The preparation of these financial statements requires us to make certain estimates and assumptions that affect the reported amounts of assets and liabilities, the disclosure of contingent assets and liabilities at the date of the condensed consolidated financial statements and the reported amounts of revenues and expenses during the reported periods. These items are monitored and analyzed by management for changes in facts and circumstances, and material changes in these estimates could occur in the future. Changes in estimates are reflected in reported results for the period in which the change occurs. We base our estimates on historical experience and various other assumptions that we believe to be reasonable under the circumstances. Actual results may differ from our estimates if past experience or other assumptions do not turn out to be substantially accurate. During the six months ended June 30, 2022, there were no material changes to our critical accounting policies as reported in our Annual Report on Form 10-K for the year ended December 31, 2021, which was filed with the SEC on February 9, 2022.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discussion of recent accounting pronouncements, please refer to Note A, “Basis of Presentation and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Information required by this item is incorporated by reference from the discussion in Part II, Item 7A, “Quantitative and Qualitative Disclosures About Market Risk,” of our Annual Report on Form 10-K for the year ended December 31, 2021, which was filed with the SEC on February 9,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after evaluating the effectiveness of our disclosure controls and procedures (as defined in Rules 13a-15(e) and 15d-15(e) under the Securities Exchange Act of 1934, as amended) as of the end of the period covered by this Quarterly Report on Form 10-Q, has concluded that, based on such evaluation, as of June 30, 2022 our disclosure controls and procedures were effective and designed to provide reasonable assurance that the information required to be disclosed is recorded, processed, summarized and reported within the time periods specified in the SEC’s rules and forms.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of 1934, as amended) occurred during the three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Information regarding risk factors appears in Part I, Item 1A. “Risk Factors” of our Annual Report on Form 10-K for the year ended December 31, 2021, which was filed with the SEC on February 9, 2022. There have been no material changes from the risk factors previously disclosed in the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This Quarterly Report on Form 10-Q and, in particular, our Management’s Discussion and Analysis of Financial Condition and Results of Operations set forth in Part I, Item 2, contain a number of forward-looking statements. Forward-looking statements are not purely historical and may be accompanied by words such as “anticipates,” “may,” “forecasts,” “expects,” “intends,” “plans,” “potentially,” “believes,” “seeks,” “estimates,” and other words and terms of similar meaning. Such statements may relate to:</w:t>
      </w:r>
    </w:p>
    <w:p>
      <w:pPr>
        <w:spacing w:after="0" w:line="133" w:lineRule="exact"/>
        <w:rPr>
          <w:sz w:val="20"/>
          <w:szCs w:val="20"/>
          <w:color w:val="auto"/>
        </w:rPr>
      </w:pPr>
    </w:p>
    <w:p>
      <w:pPr>
        <w:ind w:left="660" w:right="1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regarding the amount of, timing of, and trends with respect to our financial performance, including revenues, costs and expenses and other gains and losses, including those related to net product revenues;</w:t>
      </w:r>
    </w:p>
    <w:p>
      <w:pPr>
        <w:spacing w:after="0" w:line="116"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regarding clinical trials, development timelines, regulatory authority filings, submissions, and potential approvals and label expansions for our product and product candidates, and other pipeline programs, including timing and structure of clinical trials, anticipated enrollment and dosing of patients, timing of availability of data from our ongoing and planned clinical trials, and timing of anticipated regulatory filings;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5" w:name="page36"/>
    <w:bookmarkEnd w:id="35"/>
    <w:p>
      <w:pPr>
        <w:ind w:left="660" w:right="2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reimbursement for our medicines in the U.S. and ex-U.S. markets and our ability to launch, commercialize and market our products or any of our other product candidates for which we obtain regulatory approval;</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that will be generated by ongoing and planned clinical trials and the ability to use that data to advance compounds, continue development or support regulatory filings;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beliefs regarding the support provided by clinical trials and preclinical and nonclinical studies of our product candidates and other pipeline programs for further investigation, clinical trials or potential use as a treatment;</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beliefs regarding the number of people with CF and those potentially eligible for our medicines, and our ability to grow our CF business by increasing the number of people with CF eligible and able to receive our medicines;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and commercial potential of our product candidates, including the potential approach to treating or curing specific diseases;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 to continue investing in our research and development programs, including anticipated timelines for our programs, and our strategy to develop our pipeline programs, alone or with third party-collaborators;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future benefits of our acquisitions and collaborations, including our exa-cel collaboration with CRISPR;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establishment, development and maintenance of collaborative relationships, including potential milestone payments or other obligations;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the identification of potential collaborative partners or acquisition targets;</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the effect of COVID-19 on, among other things, our financial performance, liquidity, business and operations, including manufacturing, supply chain, research and development activities and pipeline programs;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our provision for or benefit from income taxes and the utilization of our deferred tax assets;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use our research programs to identify and develop new product candidates to address serious diseases and significant unmet medical needs;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liquidity and our expectations regarding the possibility of raising additional capital.</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Forward-looking statements are subject to certain risks, uncertainties, or other factors that are difficult to predict and could cause actual events or results to differ materially from those indicated in any such statements. These risks, uncertainties, and other factors include, but are not limited to, those described in our “Risk Factors” in Item 1A of our Annual Report on Form 10-K for the year ended December 31, 2021, which was filed with the SEC on February 9, 2022, and those described from time to time in our future reports filed with the Securities and Exchange Commission.</w:t>
      </w:r>
    </w:p>
    <w:p>
      <w:pPr>
        <w:spacing w:after="0" w:line="11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Any such forward-looking statements are made on the basis of our views and assumptions as of the date of the filing and are not estimates of future performance. Except as required by law, we undertake no obligation to publicly update any forward-looking statements. The reader is cautioned not to place undue reliance on any such statements.</w:t>
      </w:r>
    </w:p>
    <w:p>
      <w:pPr>
        <w:spacing w:after="0" w:line="200" w:lineRule="exact"/>
        <w:rPr>
          <w:sz w:val="20"/>
          <w:szCs w:val="20"/>
          <w:color w:val="auto"/>
        </w:rPr>
      </w:pP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June 2021, our Board of Directors approved a share repurchase program (the “2021 Share Repurchase Program”), pursuant to which we are authorized to repurchase up to $1.5 billion of our common stock by December 31, 2022. We did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1" w:right="4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repurchase any shares of our common stock under the 2021 Share Repurchase Program in the three months ended June 30, 2022. As of June 30, 2022, $499.7 million remained available to fund repurchases under this share repurchase program.</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Under our 2021 Share Repurchase Program, we are authorized to purchase shares from time to time through open market or privately negotiated transactions. Such purchases may be pursuant to Rule 10b5-1 plans or other means as determined by our management and in accordance with the requirements of the Securities and Exchange Commission.</w:t>
      </w:r>
    </w:p>
    <w:p>
      <w:pPr>
        <w:spacing w:after="0" w:line="200" w:lineRule="exact"/>
        <w:rPr>
          <w:sz w:val="20"/>
          <w:szCs w:val="20"/>
          <w:color w:val="auto"/>
        </w:rPr>
      </w:pPr>
    </w:p>
    <w:p>
      <w:pPr>
        <w:spacing w:after="0" w:line="3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720" w:type="dxa"/>
            <w:vAlign w:val="bottom"/>
          </w:tcPr>
          <w:p>
            <w:pPr>
              <w:jc w:val="right"/>
              <w:ind w:right="2148"/>
              <w:spacing w:after="0"/>
              <w:rPr>
                <w:sz w:val="20"/>
                <w:szCs w:val="20"/>
                <w:color w:val="auto"/>
              </w:rPr>
            </w:pPr>
            <w:r>
              <w:rPr>
                <w:rFonts w:ascii="Arial" w:cs="Arial" w:eastAsia="Arial" w:hAnsi="Arial"/>
                <w:sz w:val="14"/>
                <w:szCs w:val="14"/>
                <w:b w:val="1"/>
                <w:bCs w:val="1"/>
                <w:color w:val="auto"/>
              </w:rPr>
              <w:t>Exhibit</w:t>
            </w:r>
          </w:p>
        </w:tc>
        <w:tc>
          <w:tcPr>
            <w:tcW w:w="3420" w:type="dxa"/>
            <w:vAlign w:val="bottom"/>
            <w:vMerge w:val="restart"/>
          </w:tcPr>
          <w:p>
            <w:pPr>
              <w:ind w:left="222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720" w:type="dxa"/>
            <w:vAlign w:val="bottom"/>
          </w:tcPr>
          <w:p>
            <w:pPr>
              <w:jc w:val="right"/>
              <w:ind w:right="2148"/>
              <w:spacing w:after="0"/>
              <w:rPr>
                <w:sz w:val="20"/>
                <w:szCs w:val="20"/>
                <w:color w:val="auto"/>
              </w:rPr>
            </w:pPr>
            <w:r>
              <w:rPr>
                <w:rFonts w:ascii="Arial" w:cs="Arial" w:eastAsia="Arial" w:hAnsi="Arial"/>
                <w:sz w:val="14"/>
                <w:szCs w:val="14"/>
                <w:b w:val="1"/>
                <w:bCs w:val="1"/>
                <w:color w:val="auto"/>
                <w:w w:val="90"/>
              </w:rPr>
              <w:t>Number</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10.1 </w:t>
      </w:r>
      <w:hyperlink w:anchor="page39">
        <w:r>
          <w:rPr>
            <w:rFonts w:ascii="Arial" w:cs="Arial" w:eastAsia="Arial" w:hAnsi="Arial"/>
            <w:sz w:val="14"/>
            <w:szCs w:val="14"/>
            <w:u w:val="single" w:color="auto"/>
            <w:color w:val="0000FF"/>
          </w:rPr>
          <w:t>Credit Agreement, dated as of July 1, 2022, by and among Vertex Pharmaceuticals Incorporated, Bank of America, N.A. and the other lenders party thereto.</w:t>
        </w:r>
      </w:hyperlink>
    </w:p>
    <w:p>
      <w:pPr>
        <w:spacing w:after="0" w:line="5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31.1 </w:t>
      </w:r>
      <w:hyperlink w:anchor="page209">
        <w:r>
          <w:rPr>
            <w:rFonts w:ascii="Arial" w:cs="Arial" w:eastAsia="Arial" w:hAnsi="Arial"/>
            <w:sz w:val="14"/>
            <w:szCs w:val="14"/>
            <w:u w:val="single" w:color="auto"/>
            <w:color w:val="0000FF"/>
          </w:rPr>
          <w:t>Certification of the Chief Executive Officer under Section 302 of the Sarbanes-Oxley Act of 2002.</w:t>
        </w:r>
      </w:hyperlink>
    </w:p>
    <w:p>
      <w:pPr>
        <w:spacing w:after="0" w:line="5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31.2 </w:t>
      </w:r>
      <w:hyperlink w:anchor="page210">
        <w:r>
          <w:rPr>
            <w:rFonts w:ascii="Arial" w:cs="Arial" w:eastAsia="Arial" w:hAnsi="Arial"/>
            <w:sz w:val="14"/>
            <w:szCs w:val="14"/>
            <w:u w:val="single" w:color="auto"/>
            <w:color w:val="0000FF"/>
          </w:rPr>
          <w:t>Certification of the Chief Financial Officer under Section 302 of the Sarbanes-Oxley Act of 2002.</w:t>
        </w:r>
      </w:hyperlink>
    </w:p>
    <w:p>
      <w:pPr>
        <w:spacing w:after="0" w:line="5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32.1 </w:t>
      </w:r>
      <w:hyperlink w:anchor="page211">
        <w:r>
          <w:rPr>
            <w:rFonts w:ascii="Arial" w:cs="Arial" w:eastAsia="Arial" w:hAnsi="Arial"/>
            <w:sz w:val="14"/>
            <w:szCs w:val="14"/>
            <w:u w:val="single" w:color="auto"/>
            <w:color w:val="0000FF"/>
          </w:rPr>
          <w:t>Certification of the Chief Executive Officer and the Chief Financial Officer under Section 906 of the Sarbanes-Oxley Act of 2002.</w:t>
        </w:r>
      </w:hyperlink>
    </w:p>
    <w:p>
      <w:pPr>
        <w:spacing w:after="0" w:line="5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101.INS XBRL Instance - the instance document does not appear in the Interactive Data File because its XBRL tags are embedded within the Inline XBRL document.</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101.SCH XBRL Taxonomy Extension Schema</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101.CAL XBRL Taxonomy Extension Calculation</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101.LAB XBRL Taxonomy Extension Labels</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101.PRE XBRL Taxonomy Extension Presentation</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101.DEF XBRL Taxonomy Extension Definition</w:t>
      </w:r>
    </w:p>
    <w:p>
      <w:pPr>
        <w:spacing w:after="0" w:line="28" w:lineRule="exact"/>
        <w:rPr>
          <w:sz w:val="20"/>
          <w:szCs w:val="20"/>
          <w:color w:val="auto"/>
        </w:rPr>
      </w:pPr>
    </w:p>
    <w:p>
      <w:pPr>
        <w:ind w:left="1060" w:right="60" w:hanging="251"/>
        <w:spacing w:after="0" w:line="236" w:lineRule="auto"/>
        <w:rPr>
          <w:sz w:val="20"/>
          <w:szCs w:val="20"/>
          <w:color w:val="auto"/>
        </w:rPr>
      </w:pPr>
      <w:r>
        <w:rPr>
          <w:rFonts w:ascii="Arial" w:cs="Arial" w:eastAsia="Arial" w:hAnsi="Arial"/>
          <w:sz w:val="14"/>
          <w:szCs w:val="14"/>
          <w:color w:val="auto"/>
        </w:rPr>
        <w:t>104 Cover Page Interactive Data File––the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37" w:name="page38"/>
    <w:bookmarkEnd w:id="37"/>
    <w:p>
      <w:pPr>
        <w:ind w:left="520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83" w:lineRule="exact"/>
        <w:rPr>
          <w:sz w:val="20"/>
          <w:szCs w:val="20"/>
          <w:color w:val="auto"/>
        </w:rPr>
      </w:pPr>
    </w:p>
    <w:p>
      <w:pPr>
        <w:ind w:left="200"/>
        <w:spacing w:after="0"/>
        <w:tabs>
          <w:tab w:leader="none" w:pos="2640" w:val="left"/>
          <w:tab w:leader="none" w:pos="6260" w:val="left"/>
        </w:tabs>
        <w:rPr>
          <w:sz w:val="20"/>
          <w:szCs w:val="20"/>
          <w:color w:val="auto"/>
        </w:rPr>
      </w:pPr>
      <w:r>
        <w:rPr>
          <w:rFonts w:ascii="Arial" w:cs="Arial" w:eastAsia="Arial" w:hAnsi="Arial"/>
          <w:sz w:val="18"/>
          <w:szCs w:val="18"/>
          <w:color w:val="auto"/>
        </w:rPr>
        <w:t>August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23495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Charles F. Wagner, Jr.</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Executive Vice President, Chief Financial Officer</w:t>
      </w:r>
    </w:p>
    <w:p>
      <w:pPr>
        <w:jc w:val="center"/>
        <w:ind w:left="3080"/>
        <w:spacing w:after="0" w:line="203" w:lineRule="auto"/>
        <w:rPr>
          <w:sz w:val="20"/>
          <w:szCs w:val="20"/>
          <w:color w:val="auto"/>
        </w:rPr>
      </w:pPr>
      <w:r>
        <w:rPr>
          <w:rFonts w:ascii="Arial" w:cs="Arial" w:eastAsia="Arial" w:hAnsi="Arial"/>
          <w:sz w:val="18"/>
          <w:szCs w:val="18"/>
          <w:i w:val="1"/>
          <w:iCs w:val="1"/>
          <w:color w:val="auto"/>
        </w:rPr>
        <w:t>(principal financial officer and</w:t>
      </w:r>
    </w:p>
    <w:p>
      <w:pPr>
        <w:jc w:val="center"/>
        <w:ind w:left="3080"/>
        <w:spacing w:after="0"/>
        <w:rPr>
          <w:sz w:val="20"/>
          <w:szCs w:val="20"/>
          <w:color w:val="auto"/>
        </w:rPr>
      </w:pPr>
      <w:r>
        <w:rPr>
          <w:rFonts w:ascii="Arial" w:cs="Arial" w:eastAsia="Arial" w:hAnsi="Arial"/>
          <w:sz w:val="18"/>
          <w:szCs w:val="18"/>
          <w:i w:val="1"/>
          <w:i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00"/>
          </w:cols>
          <w:pgMar w:left="320" w:top="1255" w:right="979" w:bottom="1440" w:gutter="0" w:footer="0" w:header="0"/>
        </w:sectPr>
      </w:pPr>
    </w:p>
    <w:bookmarkStart w:id="38" w:name="page39"/>
    <w:bookmarkEnd w:id="38"/>
    <w:p>
      <w:pPr>
        <w:ind w:left="90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728345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779780</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Numbers:</w:t>
      </w:r>
    </w:p>
    <w:p>
      <w:pPr>
        <w:jc w:val="right"/>
        <w:spacing w:after="0" w:line="197" w:lineRule="auto"/>
        <w:rPr>
          <w:sz w:val="20"/>
          <w:szCs w:val="20"/>
          <w:color w:val="auto"/>
        </w:rPr>
      </w:pPr>
      <w:r>
        <w:rPr>
          <w:rFonts w:ascii="Arial" w:cs="Arial" w:eastAsia="Arial" w:hAnsi="Arial"/>
          <w:sz w:val="20"/>
          <w:szCs w:val="20"/>
          <w:color w:val="auto"/>
        </w:rPr>
        <w:t>92534MAM5 (Deal)</w:t>
      </w:r>
    </w:p>
    <w:p>
      <w:pPr>
        <w:ind w:left="8160"/>
        <w:spacing w:after="0"/>
        <w:rPr>
          <w:sz w:val="20"/>
          <w:szCs w:val="20"/>
          <w:color w:val="auto"/>
        </w:rPr>
      </w:pPr>
      <w:r>
        <w:rPr>
          <w:rFonts w:ascii="Arial" w:cs="Arial" w:eastAsia="Arial" w:hAnsi="Arial"/>
          <w:sz w:val="18"/>
          <w:szCs w:val="18"/>
          <w:color w:val="auto"/>
        </w:rPr>
        <w:t>92534MAN3 (Revolver)</w:t>
      </w:r>
    </w:p>
    <w:p>
      <w:pPr>
        <w:spacing w:after="0" w:line="68"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CREDIT AGREEMENT</w:t>
      </w:r>
    </w:p>
    <w:p>
      <w:pPr>
        <w:spacing w:after="0" w:line="26"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Dated as of July 1, 2022</w:t>
      </w:r>
    </w:p>
    <w:p>
      <w:pPr>
        <w:spacing w:after="0" w:line="13"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ind w:left="2200"/>
        <w:spacing w:after="0" w:line="219" w:lineRule="auto"/>
        <w:rPr>
          <w:sz w:val="20"/>
          <w:szCs w:val="20"/>
          <w:color w:val="auto"/>
        </w:rPr>
      </w:pPr>
      <w:r>
        <w:rPr>
          <w:rFonts w:ascii="Arial" w:cs="Arial" w:eastAsia="Arial" w:hAnsi="Arial"/>
          <w:sz w:val="20"/>
          <w:szCs w:val="20"/>
          <w:b w:val="1"/>
          <w:bCs w:val="1"/>
          <w:color w:val="auto"/>
        </w:rPr>
        <w:t>VERTEX PHARMACEUTICALS INCORPORATED</w:t>
      </w:r>
      <w:r>
        <w:rPr>
          <w:rFonts w:ascii="Arial" w:cs="Arial" w:eastAsia="Arial" w:hAnsi="Arial"/>
          <w:sz w:val="20"/>
          <w:szCs w:val="20"/>
          <w:color w:val="auto"/>
        </w:rPr>
        <w:t>,</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as the Company, a Borrower, and a Guarantor,</w:t>
      </w:r>
    </w:p>
    <w:p>
      <w:pPr>
        <w:ind w:left="1820"/>
        <w:spacing w:after="0" w:line="210" w:lineRule="auto"/>
        <w:rPr>
          <w:sz w:val="20"/>
          <w:szCs w:val="20"/>
          <w:color w:val="auto"/>
        </w:rPr>
      </w:pPr>
      <w:r>
        <w:rPr>
          <w:rFonts w:ascii="Arial" w:cs="Arial" w:eastAsia="Arial" w:hAnsi="Arial"/>
          <w:sz w:val="20"/>
          <w:szCs w:val="20"/>
          <w:b w:val="1"/>
          <w:bCs w:val="1"/>
          <w:color w:val="auto"/>
        </w:rPr>
        <w:t>THE SUBSIDIARIES OF THE COMPANY PARTY HERETO</w:t>
      </w:r>
      <w:r>
        <w:rPr>
          <w:rFonts w:ascii="Arial" w:cs="Arial" w:eastAsia="Arial" w:hAnsi="Arial"/>
          <w:sz w:val="20"/>
          <w:szCs w:val="20"/>
          <w:color w:val="auto"/>
        </w:rPr>
        <w:t>,</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as Designated Foreign Borrowers and/or Guarantors,</w:t>
      </w:r>
    </w:p>
    <w:p>
      <w:pPr>
        <w:ind w:left="3280"/>
        <w:spacing w:after="0" w:line="210"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as the Administrative Agent, the Swingline Lender and an L/C Issuer,</w:t>
      </w:r>
    </w:p>
    <w:p>
      <w:pPr>
        <w:spacing w:after="0" w:line="26"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TRUIST BANK</w:t>
      </w:r>
    </w:p>
    <w:p>
      <w:pPr>
        <w:jc w:val="center"/>
        <w:ind w:right="1120"/>
        <w:spacing w:after="0" w:line="197" w:lineRule="auto"/>
        <w:rPr>
          <w:sz w:val="20"/>
          <w:szCs w:val="20"/>
          <w:color w:val="auto"/>
        </w:rPr>
      </w:pPr>
      <w:r>
        <w:rPr>
          <w:rFonts w:ascii="Arial" w:cs="Arial" w:eastAsia="Arial" w:hAnsi="Arial"/>
          <w:sz w:val="20"/>
          <w:szCs w:val="20"/>
          <w:color w:val="auto"/>
        </w:rPr>
        <w:t>and</w:t>
      </w:r>
    </w:p>
    <w:p>
      <w:pPr>
        <w:jc w:val="center"/>
        <w:ind w:right="1120"/>
        <w:spacing w:after="0" w:line="19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Co-Syndication Agents,</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DNB BANK ASA</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MIZUHO BANK, LTD.</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MUFG BANK, LTD.</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SOCIÉTÉ GÉNÉRALE</w:t>
      </w:r>
      <w:r>
        <w:rPr>
          <w:rFonts w:ascii="Arial" w:cs="Arial" w:eastAsia="Arial" w:hAnsi="Arial"/>
          <w:sz w:val="20"/>
          <w:szCs w:val="20"/>
          <w:color w:val="auto"/>
        </w:rPr>
        <w:t>,</w:t>
      </w:r>
    </w:p>
    <w:p>
      <w:pPr>
        <w:jc w:val="center"/>
        <w:ind w:right="1120"/>
        <w:spacing w:after="0" w:line="198" w:lineRule="auto"/>
        <w:rPr>
          <w:sz w:val="20"/>
          <w:szCs w:val="20"/>
          <w:color w:val="auto"/>
        </w:rPr>
      </w:pPr>
      <w:r>
        <w:rPr>
          <w:rFonts w:ascii="Arial" w:cs="Arial" w:eastAsia="Arial" w:hAnsi="Arial"/>
          <w:sz w:val="20"/>
          <w:szCs w:val="20"/>
          <w:b w:val="1"/>
          <w:bCs w:val="1"/>
          <w:color w:val="auto"/>
        </w:rPr>
        <w:t>SUMITOMO MITSUI BANKING CORPORATION</w:t>
      </w:r>
    </w:p>
    <w:p>
      <w:pPr>
        <w:jc w:val="center"/>
        <w:ind w:right="1120"/>
        <w:spacing w:after="0" w:line="197" w:lineRule="auto"/>
        <w:rPr>
          <w:sz w:val="20"/>
          <w:szCs w:val="20"/>
          <w:color w:val="auto"/>
        </w:rPr>
      </w:pPr>
      <w:r>
        <w:rPr>
          <w:rFonts w:ascii="Arial" w:cs="Arial" w:eastAsia="Arial" w:hAnsi="Arial"/>
          <w:sz w:val="20"/>
          <w:szCs w:val="20"/>
          <w:color w:val="auto"/>
        </w:rPr>
        <w:t>and</w:t>
      </w:r>
    </w:p>
    <w:p>
      <w:pPr>
        <w:jc w:val="center"/>
        <w:ind w:right="1120"/>
        <w:spacing w:after="0" w:line="197" w:lineRule="auto"/>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Co-Documentation Agents,</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1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THE OTHER L/C ISSUERS AND LENDERS PARTY HERETO</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BofA SECURITIES, INC.</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jc w:val="center"/>
        <w:ind w:right="1120"/>
        <w:spacing w:after="0" w:line="197" w:lineRule="auto"/>
        <w:rPr>
          <w:sz w:val="20"/>
          <w:szCs w:val="20"/>
          <w:color w:val="auto"/>
        </w:rPr>
      </w:pPr>
      <w:r>
        <w:rPr>
          <w:rFonts w:ascii="Arial" w:cs="Arial" w:eastAsia="Arial" w:hAnsi="Arial"/>
          <w:sz w:val="20"/>
          <w:szCs w:val="20"/>
          <w:b w:val="1"/>
          <w:bCs w:val="1"/>
          <w:color w:val="auto"/>
        </w:rPr>
        <w:t>TRUIST SECURITIES, INC.</w:t>
      </w:r>
    </w:p>
    <w:p>
      <w:pPr>
        <w:jc w:val="center"/>
        <w:ind w:right="1120"/>
        <w:spacing w:after="0" w:line="197" w:lineRule="auto"/>
        <w:rPr>
          <w:sz w:val="20"/>
          <w:szCs w:val="20"/>
          <w:color w:val="auto"/>
        </w:rPr>
      </w:pPr>
      <w:r>
        <w:rPr>
          <w:rFonts w:ascii="Arial" w:cs="Arial" w:eastAsia="Arial" w:hAnsi="Arial"/>
          <w:sz w:val="20"/>
          <w:szCs w:val="20"/>
          <w:color w:val="auto"/>
        </w:rPr>
        <w:t>and</w:t>
      </w:r>
    </w:p>
    <w:p>
      <w:pPr>
        <w:jc w:val="center"/>
        <w:ind w:right="1120"/>
        <w:spacing w:after="0" w:line="198" w:lineRule="auto"/>
        <w:rPr>
          <w:sz w:val="20"/>
          <w:szCs w:val="20"/>
          <w:color w:val="auto"/>
        </w:rPr>
      </w:pPr>
      <w:r>
        <w:rPr>
          <w:rFonts w:ascii="Arial" w:cs="Arial" w:eastAsia="Arial" w:hAnsi="Arial"/>
          <w:sz w:val="20"/>
          <w:szCs w:val="20"/>
          <w:b w:val="1"/>
          <w:bCs w:val="1"/>
          <w:color w:val="auto"/>
        </w:rPr>
        <w:t>WELLS FARGO SECURITIES, LLC</w:t>
      </w:r>
      <w:r>
        <w:rPr>
          <w:rFonts w:ascii="Arial" w:cs="Arial" w:eastAsia="Arial" w:hAnsi="Arial"/>
          <w:sz w:val="20"/>
          <w:szCs w:val="20"/>
          <w:color w:val="auto"/>
        </w:rPr>
        <w:t>,</w:t>
      </w:r>
    </w:p>
    <w:p>
      <w:pPr>
        <w:jc w:val="center"/>
        <w:ind w:right="1120"/>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120015</wp:posOffset>
            </wp:positionV>
            <wp:extent cx="4877435" cy="1036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77435" cy="10369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1457325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1508760</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98" w:right="339" w:bottom="1440" w:gutter="0" w:footer="0" w:header="0"/>
        </w:sectPr>
      </w:pPr>
    </w:p>
    <w:bookmarkStart w:id="39" w:name="page40"/>
    <w:bookmarkEnd w:id="39"/>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20" w:type="dxa"/>
            <w:vAlign w:val="bottom"/>
            <w:gridSpan w:val="2"/>
          </w:tcPr>
          <w:p>
            <w:pPr>
              <w:spacing w:after="0"/>
              <w:rPr>
                <w:rFonts w:ascii="Arial" w:cs="Arial" w:eastAsia="Arial" w:hAnsi="Arial"/>
                <w:sz w:val="22"/>
                <w:szCs w:val="22"/>
                <w:color w:val="auto"/>
              </w:rPr>
            </w:pPr>
            <w:hyperlink w:anchor="page45">
              <w:r>
                <w:rPr>
                  <w:rFonts w:ascii="Arial" w:cs="Arial" w:eastAsia="Arial" w:hAnsi="Arial"/>
                  <w:sz w:val="22"/>
                  <w:szCs w:val="22"/>
                  <w:color w:val="auto"/>
                </w:rPr>
                <w:t>ARTICLE I DEFINITIONS AND ACCOUNTING TERMS</w:t>
              </w:r>
            </w:hyperlink>
          </w:p>
        </w:tc>
        <w:tc>
          <w:tcPr>
            <w:tcW w:w="1460" w:type="dxa"/>
            <w:vAlign w:val="bottom"/>
          </w:tcPr>
          <w:p>
            <w:pPr>
              <w:ind w:left="1240"/>
              <w:spacing w:after="0"/>
              <w:rPr>
                <w:sz w:val="20"/>
                <w:szCs w:val="20"/>
                <w:color w:val="auto"/>
              </w:rPr>
            </w:pPr>
            <w:r>
              <w:rPr>
                <w:rFonts w:ascii="Arial" w:cs="Arial" w:eastAsia="Arial" w:hAnsi="Arial"/>
                <w:sz w:val="22"/>
                <w:szCs w:val="22"/>
                <w:color w:val="auto"/>
              </w:rPr>
              <w:t>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1.01</w:t>
            </w:r>
          </w:p>
        </w:tc>
        <w:tc>
          <w:tcPr>
            <w:tcW w:w="8200" w:type="dxa"/>
            <w:vAlign w:val="bottom"/>
          </w:tcPr>
          <w:p>
            <w:pPr>
              <w:ind w:left="120"/>
              <w:spacing w:after="0"/>
              <w:rPr>
                <w:sz w:val="20"/>
                <w:szCs w:val="20"/>
                <w:color w:val="auto"/>
              </w:rPr>
            </w:pPr>
            <w:r>
              <w:rPr>
                <w:rFonts w:ascii="Arial" w:cs="Arial" w:eastAsia="Arial" w:hAnsi="Arial"/>
                <w:sz w:val="22"/>
                <w:szCs w:val="22"/>
                <w:color w:val="auto"/>
              </w:rPr>
              <w:t>Defined Terms</w:t>
            </w:r>
          </w:p>
        </w:tc>
        <w:tc>
          <w:tcPr>
            <w:tcW w:w="1460" w:type="dxa"/>
            <w:vAlign w:val="bottom"/>
          </w:tcPr>
          <w:p>
            <w:pPr>
              <w:ind w:left="1240"/>
              <w:spacing w:after="0"/>
              <w:rPr>
                <w:sz w:val="20"/>
                <w:szCs w:val="20"/>
                <w:color w:val="auto"/>
              </w:rPr>
            </w:pPr>
            <w:r>
              <w:rPr>
                <w:rFonts w:ascii="Arial" w:cs="Arial" w:eastAsia="Arial" w:hAnsi="Arial"/>
                <w:sz w:val="22"/>
                <w:szCs w:val="22"/>
                <w:color w:val="auto"/>
              </w:rPr>
              <w:t>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1.02</w:t>
            </w:r>
          </w:p>
        </w:tc>
        <w:tc>
          <w:tcPr>
            <w:tcW w:w="8200" w:type="dxa"/>
            <w:vAlign w:val="bottom"/>
          </w:tcPr>
          <w:p>
            <w:pPr>
              <w:ind w:left="120"/>
              <w:spacing w:after="0"/>
              <w:rPr>
                <w:sz w:val="20"/>
                <w:szCs w:val="20"/>
                <w:color w:val="auto"/>
              </w:rPr>
            </w:pPr>
            <w:r>
              <w:rPr>
                <w:rFonts w:ascii="Arial" w:cs="Arial" w:eastAsia="Arial" w:hAnsi="Arial"/>
                <w:sz w:val="22"/>
                <w:szCs w:val="22"/>
                <w:color w:val="auto"/>
              </w:rPr>
              <w:t>Other Interpretive Provisions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1.03</w:t>
            </w:r>
          </w:p>
        </w:tc>
        <w:tc>
          <w:tcPr>
            <w:tcW w:w="8200" w:type="dxa"/>
            <w:vAlign w:val="bottom"/>
          </w:tcPr>
          <w:p>
            <w:pPr>
              <w:ind w:left="120"/>
              <w:spacing w:after="0"/>
              <w:rPr>
                <w:sz w:val="20"/>
                <w:szCs w:val="20"/>
                <w:color w:val="auto"/>
              </w:rPr>
            </w:pPr>
            <w:r>
              <w:rPr>
                <w:rFonts w:ascii="Arial" w:cs="Arial" w:eastAsia="Arial" w:hAnsi="Arial"/>
                <w:sz w:val="22"/>
                <w:szCs w:val="22"/>
                <w:color w:val="auto"/>
              </w:rPr>
              <w:t>Accounting Terms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44</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1.04</w:t>
            </w:r>
          </w:p>
        </w:tc>
        <w:tc>
          <w:tcPr>
            <w:tcW w:w="8200" w:type="dxa"/>
            <w:vAlign w:val="bottom"/>
          </w:tcPr>
          <w:p>
            <w:pPr>
              <w:ind w:left="120"/>
              <w:spacing w:after="0"/>
              <w:rPr>
                <w:sz w:val="20"/>
                <w:szCs w:val="20"/>
                <w:color w:val="auto"/>
              </w:rPr>
            </w:pPr>
            <w:r>
              <w:rPr>
                <w:rFonts w:ascii="Arial" w:cs="Arial" w:eastAsia="Arial" w:hAnsi="Arial"/>
                <w:sz w:val="22"/>
                <w:szCs w:val="22"/>
                <w:color w:val="auto"/>
              </w:rPr>
              <w:t>Rounding</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1.05</w:t>
            </w:r>
          </w:p>
        </w:tc>
        <w:tc>
          <w:tcPr>
            <w:tcW w:w="8200" w:type="dxa"/>
            <w:vAlign w:val="bottom"/>
          </w:tcPr>
          <w:p>
            <w:pPr>
              <w:ind w:left="120"/>
              <w:spacing w:after="0"/>
              <w:rPr>
                <w:sz w:val="20"/>
                <w:szCs w:val="20"/>
                <w:color w:val="auto"/>
              </w:rPr>
            </w:pPr>
            <w:r>
              <w:rPr>
                <w:rFonts w:ascii="Arial" w:cs="Arial" w:eastAsia="Arial" w:hAnsi="Arial"/>
                <w:sz w:val="22"/>
                <w:szCs w:val="22"/>
                <w:color w:val="auto"/>
              </w:rPr>
              <w:t>Times of Day</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1.06</w:t>
            </w:r>
          </w:p>
        </w:tc>
        <w:tc>
          <w:tcPr>
            <w:tcW w:w="8200" w:type="dxa"/>
            <w:vAlign w:val="bottom"/>
          </w:tcPr>
          <w:p>
            <w:pPr>
              <w:ind w:left="120"/>
              <w:spacing w:after="0"/>
              <w:rPr>
                <w:sz w:val="20"/>
                <w:szCs w:val="20"/>
                <w:color w:val="auto"/>
              </w:rPr>
            </w:pPr>
            <w:r>
              <w:rPr>
                <w:rFonts w:ascii="Arial" w:cs="Arial" w:eastAsia="Arial" w:hAnsi="Arial"/>
                <w:sz w:val="22"/>
                <w:szCs w:val="22"/>
                <w:color w:val="auto"/>
              </w:rPr>
              <w:t>Letter of Credit Amounts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1.07</w:t>
            </w:r>
          </w:p>
        </w:tc>
        <w:tc>
          <w:tcPr>
            <w:tcW w:w="8200" w:type="dxa"/>
            <w:vAlign w:val="bottom"/>
          </w:tcPr>
          <w:p>
            <w:pPr>
              <w:ind w:left="120"/>
              <w:spacing w:after="0"/>
              <w:rPr>
                <w:sz w:val="20"/>
                <w:szCs w:val="20"/>
                <w:color w:val="auto"/>
              </w:rPr>
            </w:pPr>
            <w:r>
              <w:rPr>
                <w:rFonts w:ascii="Arial" w:cs="Arial" w:eastAsia="Arial" w:hAnsi="Arial"/>
                <w:sz w:val="22"/>
                <w:szCs w:val="22"/>
                <w:color w:val="auto"/>
              </w:rPr>
              <w:t>UCC Terms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1.08</w:t>
            </w:r>
          </w:p>
        </w:tc>
        <w:tc>
          <w:tcPr>
            <w:tcW w:w="8200" w:type="dxa"/>
            <w:vAlign w:val="bottom"/>
          </w:tcPr>
          <w:p>
            <w:pPr>
              <w:ind w:left="120"/>
              <w:spacing w:after="0"/>
              <w:rPr>
                <w:sz w:val="20"/>
                <w:szCs w:val="20"/>
                <w:color w:val="auto"/>
              </w:rPr>
            </w:pPr>
            <w:r>
              <w:rPr>
                <w:rFonts w:ascii="Arial" w:cs="Arial" w:eastAsia="Arial" w:hAnsi="Arial"/>
                <w:sz w:val="22"/>
                <w:szCs w:val="22"/>
                <w:color w:val="auto"/>
              </w:rPr>
              <w:t>Exchange Rates; Currency Equivalents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1.09</w:t>
            </w:r>
          </w:p>
        </w:tc>
        <w:tc>
          <w:tcPr>
            <w:tcW w:w="8200" w:type="dxa"/>
            <w:vAlign w:val="bottom"/>
          </w:tcPr>
          <w:p>
            <w:pPr>
              <w:ind w:left="120"/>
              <w:spacing w:after="0"/>
              <w:rPr>
                <w:sz w:val="20"/>
                <w:szCs w:val="20"/>
                <w:color w:val="auto"/>
              </w:rPr>
            </w:pPr>
            <w:r>
              <w:rPr>
                <w:rFonts w:ascii="Arial" w:cs="Arial" w:eastAsia="Arial" w:hAnsi="Arial"/>
                <w:sz w:val="22"/>
                <w:szCs w:val="22"/>
                <w:color w:val="auto"/>
              </w:rPr>
              <w:t>Additional Alternative Currencies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46</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1.10</w:t>
            </w:r>
          </w:p>
        </w:tc>
        <w:tc>
          <w:tcPr>
            <w:tcW w:w="8200" w:type="dxa"/>
            <w:vAlign w:val="bottom"/>
          </w:tcPr>
          <w:p>
            <w:pPr>
              <w:ind w:left="120"/>
              <w:spacing w:after="0"/>
              <w:rPr>
                <w:sz w:val="20"/>
                <w:szCs w:val="20"/>
                <w:color w:val="auto"/>
              </w:rPr>
            </w:pPr>
            <w:r>
              <w:rPr>
                <w:rFonts w:ascii="Arial" w:cs="Arial" w:eastAsia="Arial" w:hAnsi="Arial"/>
                <w:sz w:val="22"/>
                <w:szCs w:val="22"/>
                <w:color w:val="auto"/>
              </w:rPr>
              <w:t>Change of Currency</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47</w:t>
            </w:r>
          </w:p>
        </w:tc>
      </w:tr>
      <w:tr>
        <w:trPr>
          <w:trHeight w:val="270"/>
        </w:trPr>
        <w:tc>
          <w:tcPr>
            <w:tcW w:w="9120" w:type="dxa"/>
            <w:vAlign w:val="bottom"/>
            <w:gridSpan w:val="2"/>
          </w:tcPr>
          <w:p>
            <w:pPr>
              <w:spacing w:after="0"/>
              <w:rPr>
                <w:sz w:val="20"/>
                <w:szCs w:val="20"/>
                <w:color w:val="auto"/>
              </w:rPr>
            </w:pPr>
            <w:r>
              <w:rPr>
                <w:rFonts w:ascii="Arial" w:cs="Arial" w:eastAsia="Arial" w:hAnsi="Arial"/>
                <w:sz w:val="22"/>
                <w:szCs w:val="22"/>
                <w:color w:val="auto"/>
              </w:rPr>
              <w:t>ARTICLE II COMMITMENTS AND CREDIT EXTENSIONS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2.01</w:t>
            </w:r>
          </w:p>
        </w:tc>
        <w:tc>
          <w:tcPr>
            <w:tcW w:w="8200" w:type="dxa"/>
            <w:vAlign w:val="bottom"/>
          </w:tcPr>
          <w:p>
            <w:pPr>
              <w:ind w:left="120"/>
              <w:spacing w:after="0"/>
              <w:rPr>
                <w:sz w:val="20"/>
                <w:szCs w:val="20"/>
                <w:color w:val="auto"/>
              </w:rPr>
            </w:pPr>
            <w:r>
              <w:rPr>
                <w:rFonts w:ascii="Arial" w:cs="Arial" w:eastAsia="Arial" w:hAnsi="Arial"/>
                <w:sz w:val="22"/>
                <w:szCs w:val="22"/>
                <w:color w:val="auto"/>
              </w:rPr>
              <w:t>Revolving Loans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2.02</w:t>
            </w:r>
          </w:p>
        </w:tc>
        <w:tc>
          <w:tcPr>
            <w:tcW w:w="8200" w:type="dxa"/>
            <w:vAlign w:val="bottom"/>
          </w:tcPr>
          <w:p>
            <w:pPr>
              <w:ind w:left="120"/>
              <w:spacing w:after="0"/>
              <w:rPr>
                <w:sz w:val="20"/>
                <w:szCs w:val="20"/>
                <w:color w:val="auto"/>
              </w:rPr>
            </w:pPr>
            <w:r>
              <w:rPr>
                <w:rFonts w:ascii="Arial" w:cs="Arial" w:eastAsia="Arial" w:hAnsi="Arial"/>
                <w:sz w:val="22"/>
                <w:szCs w:val="22"/>
                <w:color w:val="auto"/>
              </w:rPr>
              <w:t>Revolving Borrowings; Conversions and Continuations of Revolving Loans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48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2.03</w:t>
            </w:r>
          </w:p>
        </w:tc>
        <w:tc>
          <w:tcPr>
            <w:tcW w:w="8200" w:type="dxa"/>
            <w:vAlign w:val="bottom"/>
          </w:tcPr>
          <w:p>
            <w:pPr>
              <w:ind w:left="120"/>
              <w:spacing w:after="0"/>
              <w:rPr>
                <w:sz w:val="20"/>
                <w:szCs w:val="20"/>
                <w:color w:val="auto"/>
              </w:rPr>
            </w:pPr>
            <w:r>
              <w:rPr>
                <w:rFonts w:ascii="Arial" w:cs="Arial" w:eastAsia="Arial" w:hAnsi="Arial"/>
                <w:sz w:val="22"/>
                <w:szCs w:val="22"/>
                <w:color w:val="auto"/>
              </w:rPr>
              <w:t>Letters of Credit</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50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2.04</w:t>
            </w:r>
          </w:p>
        </w:tc>
        <w:tc>
          <w:tcPr>
            <w:tcW w:w="8200" w:type="dxa"/>
            <w:vAlign w:val="bottom"/>
          </w:tcPr>
          <w:p>
            <w:pPr>
              <w:ind w:left="120"/>
              <w:spacing w:after="0"/>
              <w:rPr>
                <w:sz w:val="20"/>
                <w:szCs w:val="20"/>
                <w:color w:val="auto"/>
              </w:rPr>
            </w:pPr>
            <w:r>
              <w:rPr>
                <w:rFonts w:ascii="Arial" w:cs="Arial" w:eastAsia="Arial" w:hAnsi="Arial"/>
                <w:sz w:val="22"/>
                <w:szCs w:val="22"/>
                <w:color w:val="auto"/>
              </w:rPr>
              <w:t>Swingline Loans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58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2.05</w:t>
            </w:r>
          </w:p>
        </w:tc>
        <w:tc>
          <w:tcPr>
            <w:tcW w:w="8200" w:type="dxa"/>
            <w:vAlign w:val="bottom"/>
          </w:tcPr>
          <w:p>
            <w:pPr>
              <w:ind w:left="120"/>
              <w:spacing w:after="0"/>
              <w:rPr>
                <w:sz w:val="20"/>
                <w:szCs w:val="20"/>
                <w:color w:val="auto"/>
              </w:rPr>
            </w:pPr>
            <w:r>
              <w:rPr>
                <w:rFonts w:ascii="Arial" w:cs="Arial" w:eastAsia="Arial" w:hAnsi="Arial"/>
                <w:sz w:val="22"/>
                <w:szCs w:val="22"/>
                <w:color w:val="auto"/>
              </w:rPr>
              <w:t>Prepayments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2.06</w:t>
            </w:r>
          </w:p>
        </w:tc>
        <w:tc>
          <w:tcPr>
            <w:tcW w:w="8200" w:type="dxa"/>
            <w:vAlign w:val="bottom"/>
          </w:tcPr>
          <w:p>
            <w:pPr>
              <w:ind w:left="120"/>
              <w:spacing w:after="0"/>
              <w:rPr>
                <w:sz w:val="20"/>
                <w:szCs w:val="20"/>
                <w:color w:val="auto"/>
              </w:rPr>
            </w:pPr>
            <w:r>
              <w:rPr>
                <w:rFonts w:ascii="Arial" w:cs="Arial" w:eastAsia="Arial" w:hAnsi="Arial"/>
                <w:sz w:val="22"/>
                <w:szCs w:val="22"/>
                <w:color w:val="auto"/>
              </w:rPr>
              <w:t>Termination or Reduction of Commitments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62</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2.07</w:t>
            </w:r>
          </w:p>
        </w:tc>
        <w:tc>
          <w:tcPr>
            <w:tcW w:w="8200" w:type="dxa"/>
            <w:vAlign w:val="bottom"/>
          </w:tcPr>
          <w:p>
            <w:pPr>
              <w:ind w:left="120"/>
              <w:spacing w:after="0"/>
              <w:rPr>
                <w:sz w:val="20"/>
                <w:szCs w:val="20"/>
                <w:color w:val="auto"/>
              </w:rPr>
            </w:pPr>
            <w:r>
              <w:rPr>
                <w:rFonts w:ascii="Arial" w:cs="Arial" w:eastAsia="Arial" w:hAnsi="Arial"/>
                <w:sz w:val="22"/>
                <w:szCs w:val="22"/>
                <w:color w:val="auto"/>
              </w:rPr>
              <w:t>Repayment of Loans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2.08</w:t>
            </w:r>
          </w:p>
        </w:tc>
        <w:tc>
          <w:tcPr>
            <w:tcW w:w="8200" w:type="dxa"/>
            <w:vAlign w:val="bottom"/>
          </w:tcPr>
          <w:p>
            <w:pPr>
              <w:ind w:left="120"/>
              <w:spacing w:after="0"/>
              <w:rPr>
                <w:sz w:val="20"/>
                <w:szCs w:val="20"/>
                <w:color w:val="auto"/>
              </w:rPr>
            </w:pPr>
            <w:r>
              <w:rPr>
                <w:rFonts w:ascii="Arial" w:cs="Arial" w:eastAsia="Arial" w:hAnsi="Arial"/>
                <w:sz w:val="22"/>
                <w:szCs w:val="22"/>
                <w:color w:val="auto"/>
              </w:rPr>
              <w:t>Interest and Default Rate</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2.09</w:t>
            </w:r>
          </w:p>
        </w:tc>
        <w:tc>
          <w:tcPr>
            <w:tcW w:w="8200" w:type="dxa"/>
            <w:vAlign w:val="bottom"/>
          </w:tcPr>
          <w:p>
            <w:pPr>
              <w:ind w:left="120"/>
              <w:spacing w:after="0"/>
              <w:rPr>
                <w:sz w:val="20"/>
                <w:szCs w:val="20"/>
                <w:color w:val="auto"/>
              </w:rPr>
            </w:pPr>
            <w:r>
              <w:rPr>
                <w:rFonts w:ascii="Arial" w:cs="Arial" w:eastAsia="Arial" w:hAnsi="Arial"/>
                <w:sz w:val="22"/>
                <w:szCs w:val="22"/>
                <w:color w:val="auto"/>
              </w:rPr>
              <w:t>Fees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64</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2.10</w:t>
            </w:r>
          </w:p>
        </w:tc>
        <w:tc>
          <w:tcPr>
            <w:tcW w:w="8200" w:type="dxa"/>
            <w:vAlign w:val="bottom"/>
          </w:tcPr>
          <w:p>
            <w:pPr>
              <w:ind w:left="120"/>
              <w:spacing w:after="0"/>
              <w:rPr>
                <w:sz w:val="20"/>
                <w:szCs w:val="20"/>
                <w:color w:val="auto"/>
              </w:rPr>
            </w:pPr>
            <w:r>
              <w:rPr>
                <w:rFonts w:ascii="Arial" w:cs="Arial" w:eastAsia="Arial" w:hAnsi="Arial"/>
                <w:sz w:val="22"/>
                <w:szCs w:val="22"/>
                <w:color w:val="auto"/>
              </w:rPr>
              <w:t>Computation of Interest and Fees; Retroactive Adjustments of Applicable Rate</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2.11</w:t>
            </w:r>
          </w:p>
        </w:tc>
        <w:tc>
          <w:tcPr>
            <w:tcW w:w="8200" w:type="dxa"/>
            <w:vAlign w:val="bottom"/>
          </w:tcPr>
          <w:p>
            <w:pPr>
              <w:ind w:left="120"/>
              <w:spacing w:after="0"/>
              <w:rPr>
                <w:sz w:val="20"/>
                <w:szCs w:val="20"/>
                <w:color w:val="auto"/>
              </w:rPr>
            </w:pPr>
            <w:r>
              <w:rPr>
                <w:rFonts w:ascii="Arial" w:cs="Arial" w:eastAsia="Arial" w:hAnsi="Arial"/>
                <w:sz w:val="22"/>
                <w:szCs w:val="22"/>
                <w:color w:val="auto"/>
              </w:rPr>
              <w:t>Evidence of Debt</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2.12</w:t>
            </w:r>
          </w:p>
        </w:tc>
        <w:tc>
          <w:tcPr>
            <w:tcW w:w="8200" w:type="dxa"/>
            <w:vAlign w:val="bottom"/>
          </w:tcPr>
          <w:p>
            <w:pPr>
              <w:ind w:left="120"/>
              <w:spacing w:after="0"/>
              <w:rPr>
                <w:sz w:val="20"/>
                <w:szCs w:val="20"/>
                <w:color w:val="auto"/>
              </w:rPr>
            </w:pPr>
            <w:r>
              <w:rPr>
                <w:rFonts w:ascii="Arial" w:cs="Arial" w:eastAsia="Arial" w:hAnsi="Arial"/>
                <w:sz w:val="22"/>
                <w:szCs w:val="22"/>
                <w:color w:val="auto"/>
              </w:rPr>
              <w:t>Payments Generally; Administrative Agent’s Clawback</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66</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2.13</w:t>
            </w:r>
          </w:p>
        </w:tc>
        <w:tc>
          <w:tcPr>
            <w:tcW w:w="8200" w:type="dxa"/>
            <w:vAlign w:val="bottom"/>
          </w:tcPr>
          <w:p>
            <w:pPr>
              <w:ind w:left="120"/>
              <w:spacing w:after="0"/>
              <w:rPr>
                <w:sz w:val="20"/>
                <w:szCs w:val="20"/>
                <w:color w:val="auto"/>
              </w:rPr>
            </w:pPr>
            <w:r>
              <w:rPr>
                <w:rFonts w:ascii="Arial" w:cs="Arial" w:eastAsia="Arial" w:hAnsi="Arial"/>
                <w:sz w:val="22"/>
                <w:szCs w:val="22"/>
                <w:color w:val="auto"/>
              </w:rPr>
              <w:t>Sharing of Payments by Lenders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2.14</w:t>
            </w:r>
          </w:p>
        </w:tc>
        <w:tc>
          <w:tcPr>
            <w:tcW w:w="8200" w:type="dxa"/>
            <w:vAlign w:val="bottom"/>
          </w:tcPr>
          <w:p>
            <w:pPr>
              <w:ind w:left="120"/>
              <w:spacing w:after="0"/>
              <w:rPr>
                <w:sz w:val="20"/>
                <w:szCs w:val="20"/>
                <w:color w:val="auto"/>
              </w:rPr>
            </w:pPr>
            <w:r>
              <w:rPr>
                <w:rFonts w:ascii="Arial" w:cs="Arial" w:eastAsia="Arial" w:hAnsi="Arial"/>
                <w:sz w:val="22"/>
                <w:szCs w:val="22"/>
                <w:color w:val="auto"/>
              </w:rPr>
              <w:t>Cash Collateral</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68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2.15</w:t>
            </w:r>
          </w:p>
        </w:tc>
        <w:tc>
          <w:tcPr>
            <w:tcW w:w="8200" w:type="dxa"/>
            <w:vAlign w:val="bottom"/>
          </w:tcPr>
          <w:p>
            <w:pPr>
              <w:ind w:left="120"/>
              <w:spacing w:after="0"/>
              <w:rPr>
                <w:sz w:val="20"/>
                <w:szCs w:val="20"/>
                <w:color w:val="auto"/>
              </w:rPr>
            </w:pPr>
            <w:r>
              <w:rPr>
                <w:rFonts w:ascii="Arial" w:cs="Arial" w:eastAsia="Arial" w:hAnsi="Arial"/>
                <w:sz w:val="22"/>
                <w:szCs w:val="22"/>
                <w:color w:val="auto"/>
              </w:rPr>
              <w:t>Defaulting Lenders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70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2.16</w:t>
            </w:r>
          </w:p>
        </w:tc>
        <w:tc>
          <w:tcPr>
            <w:tcW w:w="8200" w:type="dxa"/>
            <w:vAlign w:val="bottom"/>
          </w:tcPr>
          <w:p>
            <w:pPr>
              <w:ind w:left="120"/>
              <w:spacing w:after="0"/>
              <w:rPr>
                <w:sz w:val="20"/>
                <w:szCs w:val="20"/>
                <w:color w:val="auto"/>
              </w:rPr>
            </w:pPr>
            <w:r>
              <w:rPr>
                <w:rFonts w:ascii="Arial" w:cs="Arial" w:eastAsia="Arial" w:hAnsi="Arial"/>
                <w:sz w:val="22"/>
                <w:szCs w:val="22"/>
                <w:color w:val="auto"/>
              </w:rPr>
              <w:t>Designated Foreign Borrowers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72</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2.17</w:t>
            </w:r>
          </w:p>
        </w:tc>
        <w:tc>
          <w:tcPr>
            <w:tcW w:w="8200" w:type="dxa"/>
            <w:vAlign w:val="bottom"/>
          </w:tcPr>
          <w:p>
            <w:pPr>
              <w:ind w:left="120"/>
              <w:spacing w:after="0"/>
              <w:rPr>
                <w:sz w:val="20"/>
                <w:szCs w:val="20"/>
                <w:color w:val="auto"/>
              </w:rPr>
            </w:pPr>
            <w:r>
              <w:rPr>
                <w:rFonts w:ascii="Arial" w:cs="Arial" w:eastAsia="Arial" w:hAnsi="Arial"/>
                <w:sz w:val="22"/>
                <w:szCs w:val="22"/>
                <w:color w:val="auto"/>
              </w:rPr>
              <w:t>Designated Lenders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73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2.18</w:t>
            </w:r>
          </w:p>
        </w:tc>
        <w:tc>
          <w:tcPr>
            <w:tcW w:w="8200" w:type="dxa"/>
            <w:vAlign w:val="bottom"/>
          </w:tcPr>
          <w:p>
            <w:pPr>
              <w:ind w:left="120"/>
              <w:spacing w:after="0"/>
              <w:rPr>
                <w:sz w:val="20"/>
                <w:szCs w:val="20"/>
                <w:color w:val="auto"/>
              </w:rPr>
            </w:pPr>
            <w:r>
              <w:rPr>
                <w:rFonts w:ascii="Arial" w:cs="Arial" w:eastAsia="Arial" w:hAnsi="Arial"/>
                <w:sz w:val="22"/>
                <w:szCs w:val="22"/>
                <w:color w:val="auto"/>
              </w:rPr>
              <w:t>Increase in Revolving Commitments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73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2.19</w:t>
            </w:r>
          </w:p>
        </w:tc>
        <w:tc>
          <w:tcPr>
            <w:tcW w:w="8200" w:type="dxa"/>
            <w:vAlign w:val="bottom"/>
          </w:tcPr>
          <w:p>
            <w:pPr>
              <w:ind w:left="120"/>
              <w:spacing w:after="0"/>
              <w:rPr>
                <w:sz w:val="20"/>
                <w:szCs w:val="20"/>
                <w:color w:val="auto"/>
              </w:rPr>
            </w:pPr>
            <w:r>
              <w:rPr>
                <w:rFonts w:ascii="Arial" w:cs="Arial" w:eastAsia="Arial" w:hAnsi="Arial"/>
                <w:sz w:val="22"/>
                <w:szCs w:val="22"/>
                <w:color w:val="auto"/>
              </w:rPr>
              <w:t>Extension of Maturity Date</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75</w:t>
            </w:r>
          </w:p>
        </w:tc>
      </w:tr>
      <w:tr>
        <w:trPr>
          <w:trHeight w:val="270"/>
        </w:trPr>
        <w:tc>
          <w:tcPr>
            <w:tcW w:w="9120" w:type="dxa"/>
            <w:vAlign w:val="bottom"/>
            <w:gridSpan w:val="2"/>
          </w:tcPr>
          <w:p>
            <w:pPr>
              <w:spacing w:after="0"/>
              <w:rPr>
                <w:sz w:val="20"/>
                <w:szCs w:val="20"/>
                <w:color w:val="auto"/>
              </w:rPr>
            </w:pPr>
            <w:r>
              <w:rPr>
                <w:rFonts w:ascii="Arial" w:cs="Arial" w:eastAsia="Arial" w:hAnsi="Arial"/>
                <w:sz w:val="22"/>
                <w:szCs w:val="22"/>
                <w:color w:val="auto"/>
              </w:rPr>
              <w:t>ARTICLE III TAXES, YIELD PROTECTION AND ILLEGALITY</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78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3.01</w:t>
            </w:r>
          </w:p>
        </w:tc>
        <w:tc>
          <w:tcPr>
            <w:tcW w:w="8200" w:type="dxa"/>
            <w:vAlign w:val="bottom"/>
          </w:tcPr>
          <w:p>
            <w:pPr>
              <w:ind w:left="120"/>
              <w:spacing w:after="0"/>
              <w:rPr>
                <w:sz w:val="20"/>
                <w:szCs w:val="20"/>
                <w:color w:val="auto"/>
              </w:rPr>
            </w:pPr>
            <w:r>
              <w:rPr>
                <w:rFonts w:ascii="Arial" w:cs="Arial" w:eastAsia="Arial" w:hAnsi="Arial"/>
                <w:sz w:val="22"/>
                <w:szCs w:val="22"/>
                <w:color w:val="auto"/>
              </w:rPr>
              <w:t>Taxes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78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3.02</w:t>
            </w:r>
          </w:p>
        </w:tc>
        <w:tc>
          <w:tcPr>
            <w:tcW w:w="8200" w:type="dxa"/>
            <w:vAlign w:val="bottom"/>
          </w:tcPr>
          <w:p>
            <w:pPr>
              <w:ind w:left="120"/>
              <w:spacing w:after="0"/>
              <w:rPr>
                <w:sz w:val="20"/>
                <w:szCs w:val="20"/>
                <w:color w:val="auto"/>
              </w:rPr>
            </w:pPr>
            <w:r>
              <w:rPr>
                <w:rFonts w:ascii="Arial" w:cs="Arial" w:eastAsia="Arial" w:hAnsi="Arial"/>
                <w:sz w:val="22"/>
                <w:szCs w:val="22"/>
                <w:color w:val="auto"/>
              </w:rPr>
              <w:t>Illegality</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83</w:t>
            </w:r>
          </w:p>
        </w:tc>
      </w:tr>
      <w:tr>
        <w:trPr>
          <w:trHeight w:val="274"/>
        </w:trPr>
        <w:tc>
          <w:tcPr>
            <w:tcW w:w="920" w:type="dxa"/>
            <w:vAlign w:val="bottom"/>
          </w:tcPr>
          <w:p>
            <w:pPr>
              <w:ind w:left="420"/>
              <w:spacing w:after="0"/>
              <w:rPr>
                <w:sz w:val="20"/>
                <w:szCs w:val="20"/>
                <w:color w:val="auto"/>
              </w:rPr>
            </w:pPr>
            <w:r>
              <w:rPr>
                <w:rFonts w:ascii="Arial" w:cs="Arial" w:eastAsia="Arial" w:hAnsi="Arial"/>
                <w:sz w:val="22"/>
                <w:szCs w:val="22"/>
                <w:color w:val="auto"/>
              </w:rPr>
              <w:t>3.03</w:t>
            </w:r>
          </w:p>
        </w:tc>
        <w:tc>
          <w:tcPr>
            <w:tcW w:w="8200" w:type="dxa"/>
            <w:vAlign w:val="bottom"/>
          </w:tcPr>
          <w:p>
            <w:pPr>
              <w:ind w:left="120"/>
              <w:spacing w:after="0"/>
              <w:rPr>
                <w:sz w:val="20"/>
                <w:szCs w:val="20"/>
                <w:color w:val="auto"/>
              </w:rPr>
            </w:pPr>
            <w:r>
              <w:rPr>
                <w:rFonts w:ascii="Arial" w:cs="Arial" w:eastAsia="Arial" w:hAnsi="Arial"/>
                <w:sz w:val="22"/>
                <w:szCs w:val="22"/>
                <w:color w:val="auto"/>
              </w:rPr>
              <w:t>Inability to Determine Rates</w:t>
            </w:r>
          </w:p>
        </w:tc>
        <w:tc>
          <w:tcPr>
            <w:tcW w:w="1460" w:type="dxa"/>
            <w:vAlign w:val="bottom"/>
          </w:tcPr>
          <w:p>
            <w:pPr>
              <w:ind w:left="1240"/>
              <w:spacing w:after="0"/>
              <w:rPr>
                <w:sz w:val="20"/>
                <w:szCs w:val="20"/>
                <w:color w:val="auto"/>
              </w:rPr>
            </w:pPr>
            <w:r>
              <w:rPr>
                <w:rFonts w:ascii="Arial" w:cs="Arial" w:eastAsia="Arial" w:hAnsi="Arial"/>
                <w:sz w:val="22"/>
                <w:szCs w:val="22"/>
                <w:color w:val="auto"/>
                <w:w w:val="81"/>
              </w:rPr>
              <w:t>84</w:t>
            </w:r>
          </w:p>
        </w:tc>
      </w:tr>
    </w:tbl>
    <w:p>
      <w:pPr>
        <w:sectPr>
          <w:pgSz w:w="11900" w:h="16838" w:orient="portrait"/>
          <w:cols w:equalWidth="0" w:num="1">
            <w:col w:w="10580"/>
          </w:cols>
          <w:pgMar w:left="400" w:top="1440" w:right="919" w:bottom="1440" w:gutter="0" w:footer="0" w:header="0"/>
        </w:sectPr>
      </w:pPr>
    </w:p>
    <w:bookmarkStart w:id="40" w:name="page41"/>
    <w:bookmarkEnd w:id="40"/>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3.04</w:t>
            </w:r>
          </w:p>
        </w:tc>
        <w:tc>
          <w:tcPr>
            <w:tcW w:w="7460" w:type="dxa"/>
            <w:vAlign w:val="bottom"/>
          </w:tcPr>
          <w:p>
            <w:pPr>
              <w:ind w:left="120"/>
              <w:spacing w:after="0"/>
              <w:rPr>
                <w:sz w:val="20"/>
                <w:szCs w:val="20"/>
                <w:color w:val="auto"/>
              </w:rPr>
            </w:pPr>
            <w:r>
              <w:rPr>
                <w:rFonts w:ascii="Arial" w:cs="Arial" w:eastAsia="Arial" w:hAnsi="Arial"/>
                <w:sz w:val="22"/>
                <w:szCs w:val="22"/>
                <w:color w:val="auto"/>
              </w:rPr>
              <w:t>Increased Costs</w:t>
            </w:r>
          </w:p>
        </w:tc>
        <w:tc>
          <w:tcPr>
            <w:tcW w:w="2320" w:type="dxa"/>
            <w:vAlign w:val="bottom"/>
          </w:tcPr>
          <w:p>
            <w:pPr>
              <w:ind w:left="1980"/>
              <w:spacing w:after="0"/>
              <w:rPr>
                <w:sz w:val="20"/>
                <w:szCs w:val="20"/>
                <w:color w:val="auto"/>
              </w:rPr>
            </w:pPr>
            <w:r>
              <w:rPr>
                <w:rFonts w:ascii="Arial" w:cs="Arial" w:eastAsia="Arial" w:hAnsi="Arial"/>
                <w:sz w:val="22"/>
                <w:szCs w:val="22"/>
                <w:color w:val="auto"/>
              </w:rPr>
              <w:t>88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3.05</w:t>
            </w:r>
          </w:p>
        </w:tc>
        <w:tc>
          <w:tcPr>
            <w:tcW w:w="7460" w:type="dxa"/>
            <w:vAlign w:val="bottom"/>
          </w:tcPr>
          <w:p>
            <w:pPr>
              <w:ind w:left="120"/>
              <w:spacing w:after="0"/>
              <w:rPr>
                <w:sz w:val="20"/>
                <w:szCs w:val="20"/>
                <w:color w:val="auto"/>
              </w:rPr>
            </w:pPr>
            <w:r>
              <w:rPr>
                <w:rFonts w:ascii="Arial" w:cs="Arial" w:eastAsia="Arial" w:hAnsi="Arial"/>
                <w:sz w:val="22"/>
                <w:szCs w:val="22"/>
                <w:color w:val="auto"/>
              </w:rPr>
              <w:t>Compensation for Losses</w:t>
            </w:r>
          </w:p>
        </w:tc>
        <w:tc>
          <w:tcPr>
            <w:tcW w:w="2320" w:type="dxa"/>
            <w:vAlign w:val="bottom"/>
          </w:tcPr>
          <w:p>
            <w:pPr>
              <w:ind w:left="1980"/>
              <w:spacing w:after="0"/>
              <w:rPr>
                <w:sz w:val="20"/>
                <w:szCs w:val="20"/>
                <w:color w:val="auto"/>
              </w:rPr>
            </w:pPr>
            <w:r>
              <w:rPr>
                <w:rFonts w:ascii="Arial" w:cs="Arial" w:eastAsia="Arial" w:hAnsi="Arial"/>
                <w:sz w:val="22"/>
                <w:szCs w:val="22"/>
                <w:color w:val="auto"/>
              </w:rPr>
              <w:t>89</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3.06</w:t>
            </w:r>
          </w:p>
        </w:tc>
        <w:tc>
          <w:tcPr>
            <w:tcW w:w="7460" w:type="dxa"/>
            <w:vAlign w:val="bottom"/>
          </w:tcPr>
          <w:p>
            <w:pPr>
              <w:ind w:left="120"/>
              <w:spacing w:after="0"/>
              <w:rPr>
                <w:sz w:val="20"/>
                <w:szCs w:val="20"/>
                <w:color w:val="auto"/>
              </w:rPr>
            </w:pPr>
            <w:r>
              <w:rPr>
                <w:rFonts w:ascii="Arial" w:cs="Arial" w:eastAsia="Arial" w:hAnsi="Arial"/>
                <w:sz w:val="22"/>
                <w:szCs w:val="22"/>
                <w:color w:val="auto"/>
              </w:rPr>
              <w:t>Mitigation Obligations; Replacement of Lenders</w:t>
            </w:r>
          </w:p>
        </w:tc>
        <w:tc>
          <w:tcPr>
            <w:tcW w:w="2320" w:type="dxa"/>
            <w:vAlign w:val="bottom"/>
          </w:tcPr>
          <w:p>
            <w:pPr>
              <w:ind w:left="1980"/>
              <w:spacing w:after="0"/>
              <w:rPr>
                <w:sz w:val="20"/>
                <w:szCs w:val="20"/>
                <w:color w:val="auto"/>
              </w:rPr>
            </w:pPr>
            <w:r>
              <w:rPr>
                <w:rFonts w:ascii="Arial" w:cs="Arial" w:eastAsia="Arial" w:hAnsi="Arial"/>
                <w:sz w:val="22"/>
                <w:szCs w:val="22"/>
                <w:color w:val="auto"/>
              </w:rPr>
              <w:t>89</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3.07</w:t>
            </w:r>
          </w:p>
        </w:tc>
        <w:tc>
          <w:tcPr>
            <w:tcW w:w="7460" w:type="dxa"/>
            <w:vAlign w:val="bottom"/>
          </w:tcPr>
          <w:p>
            <w:pPr>
              <w:ind w:left="120"/>
              <w:spacing w:after="0"/>
              <w:rPr>
                <w:sz w:val="20"/>
                <w:szCs w:val="20"/>
                <w:color w:val="auto"/>
              </w:rPr>
            </w:pPr>
            <w:r>
              <w:rPr>
                <w:rFonts w:ascii="Arial" w:cs="Arial" w:eastAsia="Arial" w:hAnsi="Arial"/>
                <w:sz w:val="22"/>
                <w:szCs w:val="22"/>
                <w:color w:val="auto"/>
              </w:rPr>
              <w:t>Survival</w:t>
            </w:r>
          </w:p>
        </w:tc>
        <w:tc>
          <w:tcPr>
            <w:tcW w:w="2320" w:type="dxa"/>
            <w:vAlign w:val="bottom"/>
          </w:tcPr>
          <w:p>
            <w:pPr>
              <w:ind w:left="1980"/>
              <w:spacing w:after="0"/>
              <w:rPr>
                <w:sz w:val="20"/>
                <w:szCs w:val="20"/>
                <w:color w:val="auto"/>
              </w:rPr>
            </w:pPr>
            <w:r>
              <w:rPr>
                <w:rFonts w:ascii="Arial" w:cs="Arial" w:eastAsia="Arial" w:hAnsi="Arial"/>
                <w:sz w:val="22"/>
                <w:szCs w:val="22"/>
                <w:color w:val="auto"/>
              </w:rPr>
              <w:t>90</w:t>
            </w:r>
          </w:p>
        </w:tc>
      </w:tr>
      <w:tr>
        <w:trPr>
          <w:trHeight w:val="270"/>
        </w:trPr>
        <w:tc>
          <w:tcPr>
            <w:tcW w:w="8380" w:type="dxa"/>
            <w:vAlign w:val="bottom"/>
            <w:gridSpan w:val="2"/>
          </w:tcPr>
          <w:p>
            <w:pPr>
              <w:spacing w:after="0"/>
              <w:rPr>
                <w:sz w:val="20"/>
                <w:szCs w:val="20"/>
                <w:color w:val="auto"/>
              </w:rPr>
            </w:pPr>
            <w:r>
              <w:rPr>
                <w:rFonts w:ascii="Arial" w:cs="Arial" w:eastAsia="Arial" w:hAnsi="Arial"/>
                <w:sz w:val="22"/>
                <w:szCs w:val="22"/>
                <w:color w:val="auto"/>
              </w:rPr>
              <w:t>ARTICLE IV CONDITIONS PRECEDENT TO CREDIT EXTENSIONS</w:t>
            </w:r>
          </w:p>
        </w:tc>
        <w:tc>
          <w:tcPr>
            <w:tcW w:w="2320" w:type="dxa"/>
            <w:vAlign w:val="bottom"/>
          </w:tcPr>
          <w:p>
            <w:pPr>
              <w:ind w:left="1980"/>
              <w:spacing w:after="0"/>
              <w:rPr>
                <w:sz w:val="20"/>
                <w:szCs w:val="20"/>
                <w:color w:val="auto"/>
              </w:rPr>
            </w:pPr>
            <w:r>
              <w:rPr>
                <w:rFonts w:ascii="Arial" w:cs="Arial" w:eastAsia="Arial" w:hAnsi="Arial"/>
                <w:sz w:val="22"/>
                <w:szCs w:val="22"/>
                <w:color w:val="auto"/>
              </w:rPr>
              <w:t>90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4.01</w:t>
            </w:r>
          </w:p>
        </w:tc>
        <w:tc>
          <w:tcPr>
            <w:tcW w:w="7460" w:type="dxa"/>
            <w:vAlign w:val="bottom"/>
          </w:tcPr>
          <w:p>
            <w:pPr>
              <w:ind w:left="120"/>
              <w:spacing w:after="0"/>
              <w:rPr>
                <w:sz w:val="20"/>
                <w:szCs w:val="20"/>
                <w:color w:val="auto"/>
              </w:rPr>
            </w:pPr>
            <w:r>
              <w:rPr>
                <w:rFonts w:ascii="Arial" w:cs="Arial" w:eastAsia="Arial" w:hAnsi="Arial"/>
                <w:sz w:val="22"/>
                <w:szCs w:val="22"/>
                <w:color w:val="auto"/>
              </w:rPr>
              <w:t>Conditions of Initial Credit Extension</w:t>
            </w:r>
          </w:p>
        </w:tc>
        <w:tc>
          <w:tcPr>
            <w:tcW w:w="2320" w:type="dxa"/>
            <w:vAlign w:val="bottom"/>
          </w:tcPr>
          <w:p>
            <w:pPr>
              <w:ind w:left="1980"/>
              <w:spacing w:after="0"/>
              <w:rPr>
                <w:sz w:val="20"/>
                <w:szCs w:val="20"/>
                <w:color w:val="auto"/>
              </w:rPr>
            </w:pPr>
            <w:r>
              <w:rPr>
                <w:rFonts w:ascii="Arial" w:cs="Arial" w:eastAsia="Arial" w:hAnsi="Arial"/>
                <w:sz w:val="22"/>
                <w:szCs w:val="22"/>
                <w:color w:val="auto"/>
              </w:rPr>
              <w:t>90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4.02</w:t>
            </w:r>
          </w:p>
        </w:tc>
        <w:tc>
          <w:tcPr>
            <w:tcW w:w="7460" w:type="dxa"/>
            <w:vAlign w:val="bottom"/>
          </w:tcPr>
          <w:p>
            <w:pPr>
              <w:ind w:left="120"/>
              <w:spacing w:after="0"/>
              <w:rPr>
                <w:sz w:val="20"/>
                <w:szCs w:val="20"/>
                <w:color w:val="auto"/>
              </w:rPr>
            </w:pPr>
            <w:r>
              <w:rPr>
                <w:rFonts w:ascii="Arial" w:cs="Arial" w:eastAsia="Arial" w:hAnsi="Arial"/>
                <w:sz w:val="22"/>
                <w:szCs w:val="22"/>
                <w:color w:val="auto"/>
              </w:rPr>
              <w:t>Conditions to all Credit Extensions</w:t>
            </w:r>
          </w:p>
        </w:tc>
        <w:tc>
          <w:tcPr>
            <w:tcW w:w="2320" w:type="dxa"/>
            <w:vAlign w:val="bottom"/>
          </w:tcPr>
          <w:p>
            <w:pPr>
              <w:ind w:left="1980"/>
              <w:spacing w:after="0"/>
              <w:rPr>
                <w:sz w:val="20"/>
                <w:szCs w:val="20"/>
                <w:color w:val="auto"/>
              </w:rPr>
            </w:pPr>
            <w:r>
              <w:rPr>
                <w:rFonts w:ascii="Arial" w:cs="Arial" w:eastAsia="Arial" w:hAnsi="Arial"/>
                <w:sz w:val="22"/>
                <w:szCs w:val="22"/>
                <w:color w:val="auto"/>
              </w:rPr>
              <w:t>92</w:t>
            </w:r>
          </w:p>
        </w:tc>
      </w:tr>
      <w:tr>
        <w:trPr>
          <w:trHeight w:val="270"/>
        </w:trPr>
        <w:tc>
          <w:tcPr>
            <w:tcW w:w="8380" w:type="dxa"/>
            <w:vAlign w:val="bottom"/>
            <w:gridSpan w:val="2"/>
          </w:tcPr>
          <w:p>
            <w:pPr>
              <w:spacing w:after="0"/>
              <w:rPr>
                <w:sz w:val="20"/>
                <w:szCs w:val="20"/>
                <w:color w:val="auto"/>
              </w:rPr>
            </w:pPr>
            <w:r>
              <w:rPr>
                <w:rFonts w:ascii="Arial" w:cs="Arial" w:eastAsia="Arial" w:hAnsi="Arial"/>
                <w:sz w:val="22"/>
                <w:szCs w:val="22"/>
                <w:color w:val="auto"/>
              </w:rPr>
              <w:t>ARTICLE V REPRESENTATIONS AND WARRANTIES</w:t>
            </w:r>
          </w:p>
        </w:tc>
        <w:tc>
          <w:tcPr>
            <w:tcW w:w="2320" w:type="dxa"/>
            <w:vAlign w:val="bottom"/>
          </w:tcPr>
          <w:p>
            <w:pPr>
              <w:ind w:left="1980"/>
              <w:spacing w:after="0"/>
              <w:rPr>
                <w:sz w:val="20"/>
                <w:szCs w:val="20"/>
                <w:color w:val="auto"/>
              </w:rPr>
            </w:pPr>
            <w:r>
              <w:rPr>
                <w:rFonts w:ascii="Arial" w:cs="Arial" w:eastAsia="Arial" w:hAnsi="Arial"/>
                <w:sz w:val="22"/>
                <w:szCs w:val="22"/>
                <w:color w:val="auto"/>
              </w:rPr>
              <w:t>93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5.01</w:t>
            </w:r>
          </w:p>
        </w:tc>
        <w:tc>
          <w:tcPr>
            <w:tcW w:w="7460" w:type="dxa"/>
            <w:vAlign w:val="bottom"/>
          </w:tcPr>
          <w:p>
            <w:pPr>
              <w:ind w:left="120"/>
              <w:spacing w:after="0"/>
              <w:rPr>
                <w:sz w:val="20"/>
                <w:szCs w:val="20"/>
                <w:color w:val="auto"/>
              </w:rPr>
            </w:pPr>
            <w:r>
              <w:rPr>
                <w:rFonts w:ascii="Arial" w:cs="Arial" w:eastAsia="Arial" w:hAnsi="Arial"/>
                <w:sz w:val="22"/>
                <w:szCs w:val="22"/>
                <w:color w:val="auto"/>
              </w:rPr>
              <w:t>Existence, Qualification and Power</w:t>
            </w:r>
          </w:p>
        </w:tc>
        <w:tc>
          <w:tcPr>
            <w:tcW w:w="2320" w:type="dxa"/>
            <w:vAlign w:val="bottom"/>
          </w:tcPr>
          <w:p>
            <w:pPr>
              <w:ind w:left="1980"/>
              <w:spacing w:after="0"/>
              <w:rPr>
                <w:sz w:val="20"/>
                <w:szCs w:val="20"/>
                <w:color w:val="auto"/>
              </w:rPr>
            </w:pPr>
            <w:r>
              <w:rPr>
                <w:rFonts w:ascii="Arial" w:cs="Arial" w:eastAsia="Arial" w:hAnsi="Arial"/>
                <w:sz w:val="22"/>
                <w:szCs w:val="22"/>
                <w:color w:val="auto"/>
              </w:rPr>
              <w:t>93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5.02</w:t>
            </w:r>
          </w:p>
        </w:tc>
        <w:tc>
          <w:tcPr>
            <w:tcW w:w="7460" w:type="dxa"/>
            <w:vAlign w:val="bottom"/>
          </w:tcPr>
          <w:p>
            <w:pPr>
              <w:ind w:left="120"/>
              <w:spacing w:after="0"/>
              <w:rPr>
                <w:sz w:val="20"/>
                <w:szCs w:val="20"/>
                <w:color w:val="auto"/>
              </w:rPr>
            </w:pPr>
            <w:r>
              <w:rPr>
                <w:rFonts w:ascii="Arial" w:cs="Arial" w:eastAsia="Arial" w:hAnsi="Arial"/>
                <w:sz w:val="22"/>
                <w:szCs w:val="22"/>
                <w:color w:val="auto"/>
              </w:rPr>
              <w:t>Authorization; No Contravention</w:t>
            </w:r>
          </w:p>
        </w:tc>
        <w:tc>
          <w:tcPr>
            <w:tcW w:w="2320" w:type="dxa"/>
            <w:vAlign w:val="bottom"/>
          </w:tcPr>
          <w:p>
            <w:pPr>
              <w:ind w:left="1980"/>
              <w:spacing w:after="0"/>
              <w:rPr>
                <w:sz w:val="20"/>
                <w:szCs w:val="20"/>
                <w:color w:val="auto"/>
              </w:rPr>
            </w:pPr>
            <w:r>
              <w:rPr>
                <w:rFonts w:ascii="Arial" w:cs="Arial" w:eastAsia="Arial" w:hAnsi="Arial"/>
                <w:sz w:val="22"/>
                <w:szCs w:val="22"/>
                <w:color w:val="auto"/>
              </w:rPr>
              <w:t>93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5.03</w:t>
            </w:r>
          </w:p>
        </w:tc>
        <w:tc>
          <w:tcPr>
            <w:tcW w:w="7460" w:type="dxa"/>
            <w:vAlign w:val="bottom"/>
          </w:tcPr>
          <w:p>
            <w:pPr>
              <w:ind w:left="120"/>
              <w:spacing w:after="0"/>
              <w:rPr>
                <w:sz w:val="20"/>
                <w:szCs w:val="20"/>
                <w:color w:val="auto"/>
              </w:rPr>
            </w:pPr>
            <w:r>
              <w:rPr>
                <w:rFonts w:ascii="Arial" w:cs="Arial" w:eastAsia="Arial" w:hAnsi="Arial"/>
                <w:sz w:val="22"/>
                <w:szCs w:val="22"/>
                <w:color w:val="auto"/>
              </w:rPr>
              <w:t>Governmental Authorization; Other Consents</w:t>
            </w:r>
          </w:p>
        </w:tc>
        <w:tc>
          <w:tcPr>
            <w:tcW w:w="2320" w:type="dxa"/>
            <w:vAlign w:val="bottom"/>
          </w:tcPr>
          <w:p>
            <w:pPr>
              <w:ind w:left="1980"/>
              <w:spacing w:after="0"/>
              <w:rPr>
                <w:sz w:val="20"/>
                <w:szCs w:val="20"/>
                <w:color w:val="auto"/>
              </w:rPr>
            </w:pPr>
            <w:r>
              <w:rPr>
                <w:rFonts w:ascii="Arial" w:cs="Arial" w:eastAsia="Arial" w:hAnsi="Arial"/>
                <w:sz w:val="22"/>
                <w:szCs w:val="22"/>
                <w:color w:val="auto"/>
              </w:rPr>
              <w:t>93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5.04</w:t>
            </w:r>
          </w:p>
        </w:tc>
        <w:tc>
          <w:tcPr>
            <w:tcW w:w="7460" w:type="dxa"/>
            <w:vAlign w:val="bottom"/>
          </w:tcPr>
          <w:p>
            <w:pPr>
              <w:ind w:left="120"/>
              <w:spacing w:after="0"/>
              <w:rPr>
                <w:sz w:val="20"/>
                <w:szCs w:val="20"/>
                <w:color w:val="auto"/>
              </w:rPr>
            </w:pPr>
            <w:r>
              <w:rPr>
                <w:rFonts w:ascii="Arial" w:cs="Arial" w:eastAsia="Arial" w:hAnsi="Arial"/>
                <w:sz w:val="22"/>
                <w:szCs w:val="22"/>
                <w:color w:val="auto"/>
              </w:rPr>
              <w:t>Binding Effect</w:t>
            </w:r>
          </w:p>
        </w:tc>
        <w:tc>
          <w:tcPr>
            <w:tcW w:w="2320" w:type="dxa"/>
            <w:vAlign w:val="bottom"/>
          </w:tcPr>
          <w:p>
            <w:pPr>
              <w:ind w:left="1980"/>
              <w:spacing w:after="0"/>
              <w:rPr>
                <w:sz w:val="20"/>
                <w:szCs w:val="20"/>
                <w:color w:val="auto"/>
              </w:rPr>
            </w:pPr>
            <w:r>
              <w:rPr>
                <w:rFonts w:ascii="Arial" w:cs="Arial" w:eastAsia="Arial" w:hAnsi="Arial"/>
                <w:sz w:val="22"/>
                <w:szCs w:val="22"/>
                <w:color w:val="auto"/>
              </w:rPr>
              <w:t>93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5.05</w:t>
            </w:r>
          </w:p>
        </w:tc>
        <w:tc>
          <w:tcPr>
            <w:tcW w:w="7460" w:type="dxa"/>
            <w:vAlign w:val="bottom"/>
          </w:tcPr>
          <w:p>
            <w:pPr>
              <w:ind w:left="120"/>
              <w:spacing w:after="0"/>
              <w:rPr>
                <w:sz w:val="20"/>
                <w:szCs w:val="20"/>
                <w:color w:val="auto"/>
              </w:rPr>
            </w:pPr>
            <w:r>
              <w:rPr>
                <w:rFonts w:ascii="Arial" w:cs="Arial" w:eastAsia="Arial" w:hAnsi="Arial"/>
                <w:sz w:val="22"/>
                <w:szCs w:val="22"/>
                <w:color w:val="auto"/>
              </w:rPr>
              <w:t>Financial Statements; No Material Adverse Effect</w:t>
            </w:r>
          </w:p>
        </w:tc>
        <w:tc>
          <w:tcPr>
            <w:tcW w:w="2320" w:type="dxa"/>
            <w:vAlign w:val="bottom"/>
          </w:tcPr>
          <w:p>
            <w:pPr>
              <w:ind w:left="1980"/>
              <w:spacing w:after="0"/>
              <w:rPr>
                <w:sz w:val="20"/>
                <w:szCs w:val="20"/>
                <w:color w:val="auto"/>
              </w:rPr>
            </w:pPr>
            <w:r>
              <w:rPr>
                <w:rFonts w:ascii="Arial" w:cs="Arial" w:eastAsia="Arial" w:hAnsi="Arial"/>
                <w:sz w:val="22"/>
                <w:szCs w:val="22"/>
                <w:color w:val="auto"/>
              </w:rPr>
              <w:t>94</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5.06</w:t>
            </w:r>
          </w:p>
        </w:tc>
        <w:tc>
          <w:tcPr>
            <w:tcW w:w="7460" w:type="dxa"/>
            <w:vAlign w:val="bottom"/>
          </w:tcPr>
          <w:p>
            <w:pPr>
              <w:ind w:left="120"/>
              <w:spacing w:after="0"/>
              <w:rPr>
                <w:sz w:val="20"/>
                <w:szCs w:val="20"/>
                <w:color w:val="auto"/>
              </w:rPr>
            </w:pPr>
            <w:r>
              <w:rPr>
                <w:rFonts w:ascii="Arial" w:cs="Arial" w:eastAsia="Arial" w:hAnsi="Arial"/>
                <w:sz w:val="22"/>
                <w:szCs w:val="22"/>
                <w:color w:val="auto"/>
              </w:rPr>
              <w:t>Litigation</w:t>
            </w:r>
          </w:p>
        </w:tc>
        <w:tc>
          <w:tcPr>
            <w:tcW w:w="2320" w:type="dxa"/>
            <w:vAlign w:val="bottom"/>
          </w:tcPr>
          <w:p>
            <w:pPr>
              <w:ind w:left="1980"/>
              <w:spacing w:after="0"/>
              <w:rPr>
                <w:sz w:val="20"/>
                <w:szCs w:val="20"/>
                <w:color w:val="auto"/>
              </w:rPr>
            </w:pPr>
            <w:r>
              <w:rPr>
                <w:rFonts w:ascii="Arial" w:cs="Arial" w:eastAsia="Arial" w:hAnsi="Arial"/>
                <w:sz w:val="22"/>
                <w:szCs w:val="22"/>
                <w:color w:val="auto"/>
              </w:rPr>
              <w:t>94</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5.07</w:t>
            </w:r>
          </w:p>
        </w:tc>
        <w:tc>
          <w:tcPr>
            <w:tcW w:w="7460" w:type="dxa"/>
            <w:vAlign w:val="bottom"/>
          </w:tcPr>
          <w:p>
            <w:pPr>
              <w:ind w:left="120"/>
              <w:spacing w:after="0"/>
              <w:rPr>
                <w:sz w:val="20"/>
                <w:szCs w:val="20"/>
                <w:color w:val="auto"/>
              </w:rPr>
            </w:pPr>
            <w:r>
              <w:rPr>
                <w:rFonts w:ascii="Arial" w:cs="Arial" w:eastAsia="Arial" w:hAnsi="Arial"/>
                <w:sz w:val="22"/>
                <w:szCs w:val="22"/>
                <w:color w:val="auto"/>
              </w:rPr>
              <w:t>No Default</w:t>
            </w:r>
          </w:p>
        </w:tc>
        <w:tc>
          <w:tcPr>
            <w:tcW w:w="2320" w:type="dxa"/>
            <w:vAlign w:val="bottom"/>
          </w:tcPr>
          <w:p>
            <w:pPr>
              <w:ind w:left="1980"/>
              <w:spacing w:after="0"/>
              <w:rPr>
                <w:sz w:val="20"/>
                <w:szCs w:val="20"/>
                <w:color w:val="auto"/>
              </w:rPr>
            </w:pPr>
            <w:r>
              <w:rPr>
                <w:rFonts w:ascii="Arial" w:cs="Arial" w:eastAsia="Arial" w:hAnsi="Arial"/>
                <w:sz w:val="22"/>
                <w:szCs w:val="22"/>
                <w:color w:val="auto"/>
              </w:rPr>
              <w:t>94</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5.08</w:t>
            </w:r>
          </w:p>
        </w:tc>
        <w:tc>
          <w:tcPr>
            <w:tcW w:w="7460" w:type="dxa"/>
            <w:vAlign w:val="bottom"/>
          </w:tcPr>
          <w:p>
            <w:pPr>
              <w:ind w:left="120"/>
              <w:spacing w:after="0"/>
              <w:rPr>
                <w:sz w:val="20"/>
                <w:szCs w:val="20"/>
                <w:color w:val="auto"/>
              </w:rPr>
            </w:pPr>
            <w:r>
              <w:rPr>
                <w:rFonts w:ascii="Arial" w:cs="Arial" w:eastAsia="Arial" w:hAnsi="Arial"/>
                <w:sz w:val="22"/>
                <w:szCs w:val="22"/>
                <w:color w:val="auto"/>
              </w:rPr>
              <w:t>Ownership of Property</w:t>
            </w:r>
          </w:p>
        </w:tc>
        <w:tc>
          <w:tcPr>
            <w:tcW w:w="2320" w:type="dxa"/>
            <w:vAlign w:val="bottom"/>
          </w:tcPr>
          <w:p>
            <w:pPr>
              <w:ind w:left="1980"/>
              <w:spacing w:after="0"/>
              <w:rPr>
                <w:sz w:val="20"/>
                <w:szCs w:val="20"/>
                <w:color w:val="auto"/>
              </w:rPr>
            </w:pPr>
            <w:r>
              <w:rPr>
                <w:rFonts w:ascii="Arial" w:cs="Arial" w:eastAsia="Arial" w:hAnsi="Arial"/>
                <w:sz w:val="22"/>
                <w:szCs w:val="22"/>
                <w:color w:val="auto"/>
              </w:rPr>
              <w:t>94</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5.09</w:t>
            </w:r>
          </w:p>
        </w:tc>
        <w:tc>
          <w:tcPr>
            <w:tcW w:w="7460" w:type="dxa"/>
            <w:vAlign w:val="bottom"/>
          </w:tcPr>
          <w:p>
            <w:pPr>
              <w:ind w:left="120"/>
              <w:spacing w:after="0"/>
              <w:rPr>
                <w:sz w:val="20"/>
                <w:szCs w:val="20"/>
                <w:color w:val="auto"/>
              </w:rPr>
            </w:pPr>
            <w:r>
              <w:rPr>
                <w:rFonts w:ascii="Arial" w:cs="Arial" w:eastAsia="Arial" w:hAnsi="Arial"/>
                <w:sz w:val="22"/>
                <w:szCs w:val="22"/>
                <w:color w:val="auto"/>
              </w:rPr>
              <w:t>Environmental Compliance</w:t>
            </w:r>
          </w:p>
        </w:tc>
        <w:tc>
          <w:tcPr>
            <w:tcW w:w="2320" w:type="dxa"/>
            <w:vAlign w:val="bottom"/>
          </w:tcPr>
          <w:p>
            <w:pPr>
              <w:ind w:left="1980"/>
              <w:spacing w:after="0"/>
              <w:rPr>
                <w:sz w:val="20"/>
                <w:szCs w:val="20"/>
                <w:color w:val="auto"/>
              </w:rPr>
            </w:pPr>
            <w:r>
              <w:rPr>
                <w:rFonts w:ascii="Arial" w:cs="Arial" w:eastAsia="Arial" w:hAnsi="Arial"/>
                <w:sz w:val="22"/>
                <w:szCs w:val="22"/>
                <w:color w:val="auto"/>
              </w:rPr>
              <w:t>94</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5.10</w:t>
            </w:r>
          </w:p>
        </w:tc>
        <w:tc>
          <w:tcPr>
            <w:tcW w:w="74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320" w:type="dxa"/>
            <w:vAlign w:val="bottom"/>
          </w:tcPr>
          <w:p>
            <w:pPr>
              <w:ind w:left="1980"/>
              <w:spacing w:after="0"/>
              <w:rPr>
                <w:sz w:val="20"/>
                <w:szCs w:val="20"/>
                <w:color w:val="auto"/>
              </w:rPr>
            </w:pPr>
            <w:r>
              <w:rPr>
                <w:rFonts w:ascii="Arial" w:cs="Arial" w:eastAsia="Arial" w:hAnsi="Arial"/>
                <w:sz w:val="22"/>
                <w:szCs w:val="22"/>
                <w:color w:val="auto"/>
              </w:rPr>
              <w:t>95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5.11</w:t>
            </w:r>
          </w:p>
        </w:tc>
        <w:tc>
          <w:tcPr>
            <w:tcW w:w="7460" w:type="dxa"/>
            <w:vAlign w:val="bottom"/>
          </w:tcPr>
          <w:p>
            <w:pPr>
              <w:ind w:left="120"/>
              <w:spacing w:after="0"/>
              <w:rPr>
                <w:sz w:val="20"/>
                <w:szCs w:val="20"/>
                <w:color w:val="auto"/>
              </w:rPr>
            </w:pPr>
            <w:r>
              <w:rPr>
                <w:rFonts w:ascii="Arial" w:cs="Arial" w:eastAsia="Arial" w:hAnsi="Arial"/>
                <w:sz w:val="22"/>
                <w:szCs w:val="22"/>
                <w:color w:val="auto"/>
              </w:rPr>
              <w:t>Taxes</w:t>
            </w:r>
          </w:p>
        </w:tc>
        <w:tc>
          <w:tcPr>
            <w:tcW w:w="2320" w:type="dxa"/>
            <w:vAlign w:val="bottom"/>
          </w:tcPr>
          <w:p>
            <w:pPr>
              <w:ind w:left="1980"/>
              <w:spacing w:after="0"/>
              <w:rPr>
                <w:sz w:val="20"/>
                <w:szCs w:val="20"/>
                <w:color w:val="auto"/>
              </w:rPr>
            </w:pPr>
            <w:r>
              <w:rPr>
                <w:rFonts w:ascii="Arial" w:cs="Arial" w:eastAsia="Arial" w:hAnsi="Arial"/>
                <w:sz w:val="22"/>
                <w:szCs w:val="22"/>
                <w:color w:val="auto"/>
              </w:rPr>
              <w:t>95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5.12</w:t>
            </w:r>
          </w:p>
        </w:tc>
        <w:tc>
          <w:tcPr>
            <w:tcW w:w="7460" w:type="dxa"/>
            <w:vAlign w:val="bottom"/>
          </w:tcPr>
          <w:p>
            <w:pPr>
              <w:ind w:left="120"/>
              <w:spacing w:after="0"/>
              <w:rPr>
                <w:sz w:val="20"/>
                <w:szCs w:val="20"/>
                <w:color w:val="auto"/>
              </w:rPr>
            </w:pPr>
            <w:r>
              <w:rPr>
                <w:rFonts w:ascii="Arial" w:cs="Arial" w:eastAsia="Arial" w:hAnsi="Arial"/>
                <w:sz w:val="22"/>
                <w:szCs w:val="22"/>
                <w:color w:val="auto"/>
              </w:rPr>
              <w:t>ERISA Compliance</w:t>
            </w:r>
          </w:p>
        </w:tc>
        <w:tc>
          <w:tcPr>
            <w:tcW w:w="2320" w:type="dxa"/>
            <w:vAlign w:val="bottom"/>
          </w:tcPr>
          <w:p>
            <w:pPr>
              <w:ind w:left="1980"/>
              <w:spacing w:after="0"/>
              <w:rPr>
                <w:sz w:val="20"/>
                <w:szCs w:val="20"/>
                <w:color w:val="auto"/>
              </w:rPr>
            </w:pPr>
            <w:r>
              <w:rPr>
                <w:rFonts w:ascii="Arial" w:cs="Arial" w:eastAsia="Arial" w:hAnsi="Arial"/>
                <w:sz w:val="22"/>
                <w:szCs w:val="22"/>
                <w:color w:val="auto"/>
              </w:rPr>
              <w:t>95</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5.13</w:t>
            </w:r>
          </w:p>
        </w:tc>
        <w:tc>
          <w:tcPr>
            <w:tcW w:w="7460" w:type="dxa"/>
            <w:vAlign w:val="bottom"/>
          </w:tcPr>
          <w:p>
            <w:pPr>
              <w:ind w:left="120"/>
              <w:spacing w:after="0"/>
              <w:rPr>
                <w:sz w:val="20"/>
                <w:szCs w:val="20"/>
                <w:color w:val="auto"/>
              </w:rPr>
            </w:pPr>
            <w:r>
              <w:rPr>
                <w:rFonts w:ascii="Arial" w:cs="Arial" w:eastAsia="Arial" w:hAnsi="Arial"/>
                <w:sz w:val="22"/>
                <w:szCs w:val="22"/>
                <w:color w:val="auto"/>
              </w:rPr>
              <w:t>Margin Regulations; Investment Company Act</w:t>
            </w:r>
          </w:p>
        </w:tc>
        <w:tc>
          <w:tcPr>
            <w:tcW w:w="2320" w:type="dxa"/>
            <w:vAlign w:val="bottom"/>
          </w:tcPr>
          <w:p>
            <w:pPr>
              <w:ind w:left="1980"/>
              <w:spacing w:after="0"/>
              <w:rPr>
                <w:sz w:val="20"/>
                <w:szCs w:val="20"/>
                <w:color w:val="auto"/>
              </w:rPr>
            </w:pPr>
            <w:r>
              <w:rPr>
                <w:rFonts w:ascii="Arial" w:cs="Arial" w:eastAsia="Arial" w:hAnsi="Arial"/>
                <w:sz w:val="22"/>
                <w:szCs w:val="22"/>
                <w:color w:val="auto"/>
              </w:rPr>
              <w:t>96</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5.14</w:t>
            </w:r>
          </w:p>
        </w:tc>
        <w:tc>
          <w:tcPr>
            <w:tcW w:w="7460" w:type="dxa"/>
            <w:vAlign w:val="bottom"/>
          </w:tcPr>
          <w:p>
            <w:pPr>
              <w:ind w:left="120"/>
              <w:spacing w:after="0"/>
              <w:rPr>
                <w:sz w:val="20"/>
                <w:szCs w:val="20"/>
                <w:color w:val="auto"/>
              </w:rPr>
            </w:pPr>
            <w:r>
              <w:rPr>
                <w:rFonts w:ascii="Arial" w:cs="Arial" w:eastAsia="Arial" w:hAnsi="Arial"/>
                <w:sz w:val="22"/>
                <w:szCs w:val="22"/>
                <w:color w:val="auto"/>
              </w:rPr>
              <w:t>Disclosure</w:t>
            </w:r>
          </w:p>
        </w:tc>
        <w:tc>
          <w:tcPr>
            <w:tcW w:w="2320" w:type="dxa"/>
            <w:vAlign w:val="bottom"/>
          </w:tcPr>
          <w:p>
            <w:pPr>
              <w:ind w:left="1980"/>
              <w:spacing w:after="0"/>
              <w:rPr>
                <w:sz w:val="20"/>
                <w:szCs w:val="20"/>
                <w:color w:val="auto"/>
              </w:rPr>
            </w:pPr>
            <w:r>
              <w:rPr>
                <w:rFonts w:ascii="Arial" w:cs="Arial" w:eastAsia="Arial" w:hAnsi="Arial"/>
                <w:sz w:val="22"/>
                <w:szCs w:val="22"/>
                <w:color w:val="auto"/>
              </w:rPr>
              <w:t>96</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5.15</w:t>
            </w:r>
          </w:p>
        </w:tc>
        <w:tc>
          <w:tcPr>
            <w:tcW w:w="7460" w:type="dxa"/>
            <w:vAlign w:val="bottom"/>
          </w:tcPr>
          <w:p>
            <w:pPr>
              <w:ind w:left="120"/>
              <w:spacing w:after="0"/>
              <w:rPr>
                <w:sz w:val="20"/>
                <w:szCs w:val="20"/>
                <w:color w:val="auto"/>
              </w:rPr>
            </w:pPr>
            <w:r>
              <w:rPr>
                <w:rFonts w:ascii="Arial" w:cs="Arial" w:eastAsia="Arial" w:hAnsi="Arial"/>
                <w:sz w:val="22"/>
                <w:szCs w:val="22"/>
                <w:color w:val="auto"/>
              </w:rPr>
              <w:t>Compliance with Laws</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5.16</w:t>
            </w:r>
          </w:p>
        </w:tc>
        <w:tc>
          <w:tcPr>
            <w:tcW w:w="7460" w:type="dxa"/>
            <w:vAlign w:val="bottom"/>
          </w:tcPr>
          <w:p>
            <w:pPr>
              <w:ind w:left="120"/>
              <w:spacing w:after="0"/>
              <w:rPr>
                <w:sz w:val="20"/>
                <w:szCs w:val="20"/>
                <w:color w:val="auto"/>
              </w:rPr>
            </w:pPr>
            <w:r>
              <w:rPr>
                <w:rFonts w:ascii="Arial" w:cs="Arial" w:eastAsia="Arial" w:hAnsi="Arial"/>
                <w:sz w:val="22"/>
                <w:szCs w:val="22"/>
                <w:color w:val="auto"/>
              </w:rPr>
              <w:t>Solvency</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5.17</w:t>
            </w:r>
          </w:p>
        </w:tc>
        <w:tc>
          <w:tcPr>
            <w:tcW w:w="7460" w:type="dxa"/>
            <w:vAlign w:val="bottom"/>
          </w:tcPr>
          <w:p>
            <w:pPr>
              <w:ind w:left="120"/>
              <w:spacing w:after="0"/>
              <w:rPr>
                <w:sz w:val="20"/>
                <w:szCs w:val="20"/>
                <w:color w:val="auto"/>
              </w:rPr>
            </w:pPr>
            <w:r>
              <w:rPr>
                <w:rFonts w:ascii="Arial" w:cs="Arial" w:eastAsia="Arial" w:hAnsi="Arial"/>
                <w:sz w:val="22"/>
                <w:szCs w:val="22"/>
                <w:color w:val="auto"/>
              </w:rPr>
              <w:t>Sanctions Concerns and Anti-Corruption Laws</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5.18</w:t>
            </w:r>
          </w:p>
        </w:tc>
        <w:tc>
          <w:tcPr>
            <w:tcW w:w="74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5.19</w:t>
            </w:r>
          </w:p>
        </w:tc>
        <w:tc>
          <w:tcPr>
            <w:tcW w:w="7460" w:type="dxa"/>
            <w:vAlign w:val="bottom"/>
          </w:tcPr>
          <w:p>
            <w:pPr>
              <w:ind w:left="120"/>
              <w:spacing w:after="0"/>
              <w:rPr>
                <w:sz w:val="20"/>
                <w:szCs w:val="20"/>
                <w:color w:val="auto"/>
              </w:rPr>
            </w:pPr>
            <w:r>
              <w:rPr>
                <w:rFonts w:ascii="Arial" w:cs="Arial" w:eastAsia="Arial" w:hAnsi="Arial"/>
                <w:sz w:val="22"/>
                <w:szCs w:val="22"/>
                <w:color w:val="auto"/>
              </w:rPr>
              <w:t>Covered Entities</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5.20</w:t>
            </w:r>
          </w:p>
        </w:tc>
        <w:tc>
          <w:tcPr>
            <w:tcW w:w="74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5.21</w:t>
            </w:r>
          </w:p>
        </w:tc>
        <w:tc>
          <w:tcPr>
            <w:tcW w:w="74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5.22</w:t>
            </w:r>
          </w:p>
        </w:tc>
        <w:tc>
          <w:tcPr>
            <w:tcW w:w="7460" w:type="dxa"/>
            <w:vAlign w:val="bottom"/>
          </w:tcPr>
          <w:p>
            <w:pPr>
              <w:ind w:left="120"/>
              <w:spacing w:after="0"/>
              <w:rPr>
                <w:sz w:val="20"/>
                <w:szCs w:val="20"/>
                <w:color w:val="auto"/>
              </w:rPr>
            </w:pPr>
            <w:r>
              <w:rPr>
                <w:rFonts w:ascii="Arial" w:cs="Arial" w:eastAsia="Arial" w:hAnsi="Arial"/>
                <w:sz w:val="22"/>
                <w:szCs w:val="22"/>
                <w:color w:val="auto"/>
              </w:rPr>
              <w:t>Affected Financial Institutions</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5.23</w:t>
            </w:r>
          </w:p>
        </w:tc>
        <w:tc>
          <w:tcPr>
            <w:tcW w:w="7460" w:type="dxa"/>
            <w:vAlign w:val="bottom"/>
          </w:tcPr>
          <w:p>
            <w:pPr>
              <w:ind w:left="120"/>
              <w:spacing w:after="0"/>
              <w:rPr>
                <w:sz w:val="20"/>
                <w:szCs w:val="20"/>
                <w:color w:val="auto"/>
              </w:rPr>
            </w:pPr>
            <w:r>
              <w:rPr>
                <w:rFonts w:ascii="Arial" w:cs="Arial" w:eastAsia="Arial" w:hAnsi="Arial"/>
                <w:sz w:val="22"/>
                <w:szCs w:val="22"/>
                <w:color w:val="auto"/>
              </w:rPr>
              <w:t>Representations as to Designated Foreign Borrowers</w:t>
            </w:r>
          </w:p>
        </w:tc>
        <w:tc>
          <w:tcPr>
            <w:tcW w:w="2320" w:type="dxa"/>
            <w:vAlign w:val="bottom"/>
          </w:tcPr>
          <w:p>
            <w:pPr>
              <w:ind w:left="1980"/>
              <w:spacing w:after="0"/>
              <w:rPr>
                <w:sz w:val="20"/>
                <w:szCs w:val="20"/>
                <w:color w:val="auto"/>
              </w:rPr>
            </w:pPr>
            <w:r>
              <w:rPr>
                <w:rFonts w:ascii="Arial" w:cs="Arial" w:eastAsia="Arial" w:hAnsi="Arial"/>
                <w:sz w:val="22"/>
                <w:szCs w:val="22"/>
                <w:color w:val="auto"/>
              </w:rPr>
              <w:t>97</w:t>
            </w:r>
          </w:p>
        </w:tc>
      </w:tr>
      <w:tr>
        <w:trPr>
          <w:trHeight w:val="270"/>
        </w:trPr>
        <w:tc>
          <w:tcPr>
            <w:tcW w:w="8380" w:type="dxa"/>
            <w:vAlign w:val="bottom"/>
            <w:gridSpan w:val="2"/>
          </w:tcPr>
          <w:p>
            <w:pPr>
              <w:spacing w:after="0"/>
              <w:rPr>
                <w:sz w:val="20"/>
                <w:szCs w:val="20"/>
                <w:color w:val="auto"/>
              </w:rPr>
            </w:pPr>
            <w:r>
              <w:rPr>
                <w:rFonts w:ascii="Arial" w:cs="Arial" w:eastAsia="Arial" w:hAnsi="Arial"/>
                <w:sz w:val="22"/>
                <w:szCs w:val="22"/>
                <w:color w:val="auto"/>
              </w:rPr>
              <w:t>ARTICLE VI AFFIRMATIVE COVENANTS</w:t>
            </w:r>
          </w:p>
        </w:tc>
        <w:tc>
          <w:tcPr>
            <w:tcW w:w="2320" w:type="dxa"/>
            <w:vAlign w:val="bottom"/>
          </w:tcPr>
          <w:p>
            <w:pPr>
              <w:ind w:left="1980"/>
              <w:spacing w:after="0"/>
              <w:rPr>
                <w:sz w:val="20"/>
                <w:szCs w:val="20"/>
                <w:color w:val="auto"/>
              </w:rPr>
            </w:pPr>
            <w:r>
              <w:rPr>
                <w:rFonts w:ascii="Arial" w:cs="Arial" w:eastAsia="Arial" w:hAnsi="Arial"/>
                <w:sz w:val="22"/>
                <w:szCs w:val="22"/>
                <w:color w:val="auto"/>
              </w:rPr>
              <w:t>98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6.01</w:t>
            </w:r>
          </w:p>
        </w:tc>
        <w:tc>
          <w:tcPr>
            <w:tcW w:w="7460" w:type="dxa"/>
            <w:vAlign w:val="bottom"/>
          </w:tcPr>
          <w:p>
            <w:pPr>
              <w:ind w:left="120"/>
              <w:spacing w:after="0"/>
              <w:rPr>
                <w:sz w:val="20"/>
                <w:szCs w:val="20"/>
                <w:color w:val="auto"/>
              </w:rPr>
            </w:pPr>
            <w:r>
              <w:rPr>
                <w:rFonts w:ascii="Arial" w:cs="Arial" w:eastAsia="Arial" w:hAnsi="Arial"/>
                <w:sz w:val="22"/>
                <w:szCs w:val="22"/>
                <w:color w:val="auto"/>
              </w:rPr>
              <w:t>Financial Statements</w:t>
            </w:r>
          </w:p>
        </w:tc>
        <w:tc>
          <w:tcPr>
            <w:tcW w:w="2320" w:type="dxa"/>
            <w:vAlign w:val="bottom"/>
          </w:tcPr>
          <w:p>
            <w:pPr>
              <w:ind w:left="1980"/>
              <w:spacing w:after="0"/>
              <w:rPr>
                <w:sz w:val="20"/>
                <w:szCs w:val="20"/>
                <w:color w:val="auto"/>
              </w:rPr>
            </w:pPr>
            <w:r>
              <w:rPr>
                <w:rFonts w:ascii="Arial" w:cs="Arial" w:eastAsia="Arial" w:hAnsi="Arial"/>
                <w:sz w:val="22"/>
                <w:szCs w:val="22"/>
                <w:color w:val="auto"/>
              </w:rPr>
              <w:t>98</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6.02</w:t>
            </w:r>
          </w:p>
        </w:tc>
        <w:tc>
          <w:tcPr>
            <w:tcW w:w="7460" w:type="dxa"/>
            <w:vAlign w:val="bottom"/>
          </w:tcPr>
          <w:p>
            <w:pPr>
              <w:ind w:left="120"/>
              <w:spacing w:after="0"/>
              <w:rPr>
                <w:sz w:val="20"/>
                <w:szCs w:val="20"/>
                <w:color w:val="auto"/>
              </w:rPr>
            </w:pPr>
            <w:r>
              <w:rPr>
                <w:rFonts w:ascii="Arial" w:cs="Arial" w:eastAsia="Arial" w:hAnsi="Arial"/>
                <w:sz w:val="22"/>
                <w:szCs w:val="22"/>
                <w:color w:val="auto"/>
              </w:rPr>
              <w:t>Certificates; Other Information</w:t>
            </w:r>
          </w:p>
        </w:tc>
        <w:tc>
          <w:tcPr>
            <w:tcW w:w="2320" w:type="dxa"/>
            <w:vAlign w:val="bottom"/>
          </w:tcPr>
          <w:p>
            <w:pPr>
              <w:ind w:left="1980"/>
              <w:spacing w:after="0"/>
              <w:rPr>
                <w:sz w:val="20"/>
                <w:szCs w:val="20"/>
                <w:color w:val="auto"/>
              </w:rPr>
            </w:pPr>
            <w:r>
              <w:rPr>
                <w:rFonts w:ascii="Arial" w:cs="Arial" w:eastAsia="Arial" w:hAnsi="Arial"/>
                <w:sz w:val="22"/>
                <w:szCs w:val="22"/>
                <w:color w:val="auto"/>
              </w:rPr>
              <w:t>99</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6.03</w:t>
            </w:r>
          </w:p>
        </w:tc>
        <w:tc>
          <w:tcPr>
            <w:tcW w:w="7460" w:type="dxa"/>
            <w:vAlign w:val="bottom"/>
          </w:tcPr>
          <w:p>
            <w:pPr>
              <w:ind w:left="120"/>
              <w:spacing w:after="0"/>
              <w:rPr>
                <w:sz w:val="20"/>
                <w:szCs w:val="20"/>
                <w:color w:val="auto"/>
              </w:rPr>
            </w:pPr>
            <w:r>
              <w:rPr>
                <w:rFonts w:ascii="Arial" w:cs="Arial" w:eastAsia="Arial" w:hAnsi="Arial"/>
                <w:sz w:val="22"/>
                <w:szCs w:val="22"/>
                <w:color w:val="auto"/>
              </w:rPr>
              <w:t>Notices</w:t>
            </w:r>
          </w:p>
        </w:tc>
        <w:tc>
          <w:tcPr>
            <w:tcW w:w="2320" w:type="dxa"/>
            <w:vAlign w:val="bottom"/>
          </w:tcPr>
          <w:p>
            <w:pPr>
              <w:ind w:left="1980"/>
              <w:spacing w:after="0"/>
              <w:rPr>
                <w:sz w:val="20"/>
                <w:szCs w:val="20"/>
                <w:color w:val="auto"/>
              </w:rPr>
            </w:pPr>
            <w:r>
              <w:rPr>
                <w:rFonts w:ascii="Arial" w:cs="Arial" w:eastAsia="Arial" w:hAnsi="Arial"/>
                <w:sz w:val="22"/>
                <w:szCs w:val="22"/>
                <w:color w:val="auto"/>
                <w:w w:val="87"/>
              </w:rPr>
              <w:t>100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6.04</w:t>
            </w:r>
          </w:p>
        </w:tc>
        <w:tc>
          <w:tcPr>
            <w:tcW w:w="7460" w:type="dxa"/>
            <w:vAlign w:val="bottom"/>
          </w:tcPr>
          <w:p>
            <w:pPr>
              <w:ind w:left="120"/>
              <w:spacing w:after="0"/>
              <w:rPr>
                <w:sz w:val="20"/>
                <w:szCs w:val="20"/>
                <w:color w:val="auto"/>
              </w:rPr>
            </w:pPr>
            <w:r>
              <w:rPr>
                <w:rFonts w:ascii="Arial" w:cs="Arial" w:eastAsia="Arial" w:hAnsi="Arial"/>
                <w:sz w:val="22"/>
                <w:szCs w:val="22"/>
                <w:color w:val="auto"/>
              </w:rPr>
              <w:t>Payment of Taxes</w:t>
            </w:r>
          </w:p>
        </w:tc>
        <w:tc>
          <w:tcPr>
            <w:tcW w:w="2320" w:type="dxa"/>
            <w:vAlign w:val="bottom"/>
          </w:tcPr>
          <w:p>
            <w:pPr>
              <w:ind w:left="1980"/>
              <w:spacing w:after="0"/>
              <w:rPr>
                <w:sz w:val="20"/>
                <w:szCs w:val="20"/>
                <w:color w:val="auto"/>
              </w:rPr>
            </w:pPr>
            <w:r>
              <w:rPr>
                <w:rFonts w:ascii="Arial" w:cs="Arial" w:eastAsia="Arial" w:hAnsi="Arial"/>
                <w:sz w:val="22"/>
                <w:szCs w:val="22"/>
                <w:color w:val="auto"/>
                <w:w w:val="87"/>
              </w:rPr>
              <w:t>100</w:t>
            </w:r>
          </w:p>
        </w:tc>
      </w:tr>
      <w:tr>
        <w:trPr>
          <w:trHeight w:val="274"/>
        </w:trPr>
        <w:tc>
          <w:tcPr>
            <w:tcW w:w="920" w:type="dxa"/>
            <w:vAlign w:val="bottom"/>
          </w:tcPr>
          <w:p>
            <w:pPr>
              <w:ind w:left="420"/>
              <w:spacing w:after="0"/>
              <w:rPr>
                <w:sz w:val="20"/>
                <w:szCs w:val="20"/>
                <w:color w:val="auto"/>
              </w:rPr>
            </w:pPr>
            <w:r>
              <w:rPr>
                <w:rFonts w:ascii="Arial" w:cs="Arial" w:eastAsia="Arial" w:hAnsi="Arial"/>
                <w:sz w:val="22"/>
                <w:szCs w:val="22"/>
                <w:color w:val="auto"/>
              </w:rPr>
              <w:t>6.05</w:t>
            </w:r>
          </w:p>
        </w:tc>
        <w:tc>
          <w:tcPr>
            <w:tcW w:w="7460" w:type="dxa"/>
            <w:vAlign w:val="bottom"/>
          </w:tcPr>
          <w:p>
            <w:pPr>
              <w:ind w:left="120"/>
              <w:spacing w:after="0"/>
              <w:rPr>
                <w:sz w:val="20"/>
                <w:szCs w:val="20"/>
                <w:color w:val="auto"/>
              </w:rPr>
            </w:pPr>
            <w:r>
              <w:rPr>
                <w:rFonts w:ascii="Arial" w:cs="Arial" w:eastAsia="Arial" w:hAnsi="Arial"/>
                <w:sz w:val="22"/>
                <w:szCs w:val="22"/>
                <w:color w:val="auto"/>
              </w:rPr>
              <w:t>Preservation of Existence, Etc</w:t>
            </w:r>
          </w:p>
        </w:tc>
        <w:tc>
          <w:tcPr>
            <w:tcW w:w="2320" w:type="dxa"/>
            <w:vAlign w:val="bottom"/>
          </w:tcPr>
          <w:p>
            <w:pPr>
              <w:ind w:left="1980"/>
              <w:spacing w:after="0"/>
              <w:rPr>
                <w:sz w:val="20"/>
                <w:szCs w:val="20"/>
                <w:color w:val="auto"/>
              </w:rPr>
            </w:pPr>
            <w:r>
              <w:rPr>
                <w:rFonts w:ascii="Arial" w:cs="Arial" w:eastAsia="Arial" w:hAnsi="Arial"/>
                <w:sz w:val="22"/>
                <w:szCs w:val="22"/>
                <w:color w:val="auto"/>
                <w:w w:val="87"/>
              </w:rPr>
              <w:t>101</w:t>
            </w:r>
          </w:p>
        </w:tc>
      </w:tr>
    </w:tbl>
    <w:p>
      <w:pPr>
        <w:sectPr>
          <w:pgSz w:w="11900" w:h="16838" w:orient="portrait"/>
          <w:cols w:equalWidth="0" w:num="1">
            <w:col w:w="10700"/>
          </w:cols>
          <w:pgMar w:left="400" w:top="1440" w:right="799" w:bottom="1440" w:gutter="0" w:footer="0" w:header="0"/>
        </w:sectPr>
      </w:pPr>
    </w:p>
    <w:bookmarkStart w:id="41" w:name="page42"/>
    <w:bookmarkEnd w:id="41"/>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6.06</w:t>
            </w:r>
          </w:p>
        </w:tc>
        <w:tc>
          <w:tcPr>
            <w:tcW w:w="6860" w:type="dxa"/>
            <w:vAlign w:val="bottom"/>
          </w:tcPr>
          <w:p>
            <w:pPr>
              <w:ind w:left="120"/>
              <w:spacing w:after="0"/>
              <w:rPr>
                <w:sz w:val="20"/>
                <w:szCs w:val="20"/>
                <w:color w:val="auto"/>
              </w:rPr>
            </w:pPr>
            <w:r>
              <w:rPr>
                <w:rFonts w:ascii="Arial" w:cs="Arial" w:eastAsia="Arial" w:hAnsi="Arial"/>
                <w:sz w:val="22"/>
                <w:szCs w:val="22"/>
                <w:color w:val="auto"/>
              </w:rPr>
              <w:t>Maintenance of Properties; Intellectual Property</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6.07</w:t>
            </w:r>
          </w:p>
        </w:tc>
        <w:tc>
          <w:tcPr>
            <w:tcW w:w="6860" w:type="dxa"/>
            <w:vAlign w:val="bottom"/>
          </w:tcPr>
          <w:p>
            <w:pPr>
              <w:ind w:left="120"/>
              <w:spacing w:after="0"/>
              <w:rPr>
                <w:sz w:val="20"/>
                <w:szCs w:val="20"/>
                <w:color w:val="auto"/>
              </w:rPr>
            </w:pPr>
            <w:r>
              <w:rPr>
                <w:rFonts w:ascii="Arial" w:cs="Arial" w:eastAsia="Arial" w:hAnsi="Arial"/>
                <w:sz w:val="22"/>
                <w:szCs w:val="22"/>
                <w:color w:val="auto"/>
              </w:rPr>
              <w:t>Maintenance of Insurance</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6.08</w:t>
            </w:r>
          </w:p>
        </w:tc>
        <w:tc>
          <w:tcPr>
            <w:tcW w:w="6860" w:type="dxa"/>
            <w:vAlign w:val="bottom"/>
          </w:tcPr>
          <w:p>
            <w:pPr>
              <w:ind w:left="120"/>
              <w:spacing w:after="0"/>
              <w:rPr>
                <w:sz w:val="20"/>
                <w:szCs w:val="20"/>
                <w:color w:val="auto"/>
              </w:rPr>
            </w:pPr>
            <w:r>
              <w:rPr>
                <w:rFonts w:ascii="Arial" w:cs="Arial" w:eastAsia="Arial" w:hAnsi="Arial"/>
                <w:sz w:val="22"/>
                <w:szCs w:val="22"/>
                <w:color w:val="auto"/>
              </w:rPr>
              <w:t>Compliance with Laws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6.09</w:t>
            </w:r>
          </w:p>
        </w:tc>
        <w:tc>
          <w:tcPr>
            <w:tcW w:w="6860" w:type="dxa"/>
            <w:vAlign w:val="bottom"/>
          </w:tcPr>
          <w:p>
            <w:pPr>
              <w:ind w:left="120"/>
              <w:spacing w:after="0"/>
              <w:rPr>
                <w:sz w:val="20"/>
                <w:szCs w:val="20"/>
                <w:color w:val="auto"/>
              </w:rPr>
            </w:pPr>
            <w:r>
              <w:rPr>
                <w:rFonts w:ascii="Arial" w:cs="Arial" w:eastAsia="Arial" w:hAnsi="Arial"/>
                <w:sz w:val="22"/>
                <w:szCs w:val="22"/>
                <w:color w:val="auto"/>
              </w:rPr>
              <w:t>Books and Records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6.10</w:t>
            </w:r>
          </w:p>
        </w:tc>
        <w:tc>
          <w:tcPr>
            <w:tcW w:w="6860" w:type="dxa"/>
            <w:vAlign w:val="bottom"/>
          </w:tcPr>
          <w:p>
            <w:pPr>
              <w:ind w:left="120"/>
              <w:spacing w:after="0"/>
              <w:rPr>
                <w:sz w:val="20"/>
                <w:szCs w:val="20"/>
                <w:color w:val="auto"/>
              </w:rPr>
            </w:pPr>
            <w:r>
              <w:rPr>
                <w:rFonts w:ascii="Arial" w:cs="Arial" w:eastAsia="Arial" w:hAnsi="Arial"/>
                <w:sz w:val="22"/>
                <w:szCs w:val="22"/>
                <w:color w:val="auto"/>
              </w:rPr>
              <w:t>Inspection Rights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102</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6.11</w:t>
            </w:r>
          </w:p>
        </w:tc>
        <w:tc>
          <w:tcPr>
            <w:tcW w:w="6860" w:type="dxa"/>
            <w:vAlign w:val="bottom"/>
          </w:tcPr>
          <w:p>
            <w:pPr>
              <w:ind w:left="120"/>
              <w:spacing w:after="0"/>
              <w:rPr>
                <w:sz w:val="20"/>
                <w:szCs w:val="20"/>
                <w:color w:val="auto"/>
              </w:rPr>
            </w:pPr>
            <w:r>
              <w:rPr>
                <w:rFonts w:ascii="Arial" w:cs="Arial" w:eastAsia="Arial" w:hAnsi="Arial"/>
                <w:sz w:val="22"/>
                <w:szCs w:val="22"/>
                <w:color w:val="auto"/>
              </w:rPr>
              <w:t>Use of Proceeds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102</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6.12</w:t>
            </w:r>
          </w:p>
        </w:tc>
        <w:tc>
          <w:tcPr>
            <w:tcW w:w="6860" w:type="dxa"/>
            <w:vAlign w:val="bottom"/>
          </w:tcPr>
          <w:p>
            <w:pPr>
              <w:ind w:left="120"/>
              <w:spacing w:after="0"/>
              <w:rPr>
                <w:sz w:val="20"/>
                <w:szCs w:val="20"/>
                <w:color w:val="auto"/>
              </w:rPr>
            </w:pPr>
            <w:r>
              <w:rPr>
                <w:rFonts w:ascii="Arial" w:cs="Arial" w:eastAsia="Arial" w:hAnsi="Arial"/>
                <w:sz w:val="22"/>
                <w:szCs w:val="22"/>
                <w:color w:val="auto"/>
              </w:rPr>
              <w:t>Covenant to Guarantee Obligations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102</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6.13</w:t>
            </w:r>
          </w:p>
        </w:tc>
        <w:tc>
          <w:tcPr>
            <w:tcW w:w="6860" w:type="dxa"/>
            <w:vAlign w:val="bottom"/>
          </w:tcPr>
          <w:p>
            <w:pPr>
              <w:ind w:left="120"/>
              <w:spacing w:after="0"/>
              <w:rPr>
                <w:sz w:val="20"/>
                <w:szCs w:val="20"/>
                <w:color w:val="auto"/>
              </w:rPr>
            </w:pPr>
            <w:r>
              <w:rPr>
                <w:rFonts w:ascii="Arial" w:cs="Arial" w:eastAsia="Arial" w:hAnsi="Arial"/>
                <w:sz w:val="22"/>
                <w:szCs w:val="22"/>
                <w:color w:val="auto"/>
              </w:rPr>
              <w:t>Conduct of Business.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102</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6.14</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6.15</w:t>
            </w:r>
          </w:p>
        </w:tc>
        <w:tc>
          <w:tcPr>
            <w:tcW w:w="6860" w:type="dxa"/>
            <w:vAlign w:val="bottom"/>
          </w:tcPr>
          <w:p>
            <w:pPr>
              <w:ind w:left="120"/>
              <w:spacing w:after="0"/>
              <w:rPr>
                <w:sz w:val="20"/>
                <w:szCs w:val="20"/>
                <w:color w:val="auto"/>
              </w:rPr>
            </w:pPr>
            <w:r>
              <w:rPr>
                <w:rFonts w:ascii="Arial" w:cs="Arial" w:eastAsia="Arial" w:hAnsi="Arial"/>
                <w:sz w:val="22"/>
                <w:szCs w:val="22"/>
                <w:color w:val="auto"/>
              </w:rPr>
              <w:t>Approvals and Authorizations.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6.16</w:t>
            </w:r>
          </w:p>
        </w:tc>
        <w:tc>
          <w:tcPr>
            <w:tcW w:w="6860" w:type="dxa"/>
            <w:vAlign w:val="bottom"/>
          </w:tcPr>
          <w:p>
            <w:pPr>
              <w:ind w:left="120"/>
              <w:spacing w:after="0"/>
              <w:rPr>
                <w:sz w:val="20"/>
                <w:szCs w:val="20"/>
                <w:color w:val="auto"/>
              </w:rPr>
            </w:pPr>
            <w:r>
              <w:rPr>
                <w:rFonts w:ascii="Arial" w:cs="Arial" w:eastAsia="Arial" w:hAnsi="Arial"/>
                <w:sz w:val="22"/>
                <w:szCs w:val="22"/>
                <w:color w:val="auto"/>
              </w:rPr>
              <w:t>Anti-Corruption Laws; Sanctions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103</w:t>
            </w:r>
          </w:p>
        </w:tc>
      </w:tr>
      <w:tr>
        <w:trPr>
          <w:trHeight w:val="270"/>
        </w:trPr>
        <w:tc>
          <w:tcPr>
            <w:tcW w:w="7780" w:type="dxa"/>
            <w:vAlign w:val="bottom"/>
            <w:gridSpan w:val="2"/>
          </w:tcPr>
          <w:p>
            <w:pPr>
              <w:spacing w:after="0"/>
              <w:rPr>
                <w:sz w:val="20"/>
                <w:szCs w:val="20"/>
                <w:color w:val="auto"/>
              </w:rPr>
            </w:pPr>
            <w:r>
              <w:rPr>
                <w:rFonts w:ascii="Arial" w:cs="Arial" w:eastAsia="Arial" w:hAnsi="Arial"/>
                <w:sz w:val="22"/>
                <w:szCs w:val="22"/>
                <w:color w:val="auto"/>
              </w:rPr>
              <w:t>ARTICLE VII NEGATIVE COVENANTS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7.01</w:t>
            </w:r>
          </w:p>
        </w:tc>
        <w:tc>
          <w:tcPr>
            <w:tcW w:w="6860" w:type="dxa"/>
            <w:vAlign w:val="bottom"/>
          </w:tcPr>
          <w:p>
            <w:pPr>
              <w:ind w:left="120"/>
              <w:spacing w:after="0"/>
              <w:rPr>
                <w:sz w:val="20"/>
                <w:szCs w:val="20"/>
                <w:color w:val="auto"/>
              </w:rPr>
            </w:pPr>
            <w:r>
              <w:rPr>
                <w:rFonts w:ascii="Arial" w:cs="Arial" w:eastAsia="Arial" w:hAnsi="Arial"/>
                <w:sz w:val="22"/>
                <w:szCs w:val="22"/>
                <w:color w:val="auto"/>
              </w:rPr>
              <w:t>Liens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103</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7.02</w:t>
            </w:r>
          </w:p>
        </w:tc>
        <w:tc>
          <w:tcPr>
            <w:tcW w:w="6860" w:type="dxa"/>
            <w:vAlign w:val="bottom"/>
          </w:tcPr>
          <w:p>
            <w:pPr>
              <w:ind w:left="120"/>
              <w:spacing w:after="0"/>
              <w:rPr>
                <w:sz w:val="20"/>
                <w:szCs w:val="20"/>
                <w:color w:val="auto"/>
              </w:rPr>
            </w:pPr>
            <w:r>
              <w:rPr>
                <w:rFonts w:ascii="Arial" w:cs="Arial" w:eastAsia="Arial" w:hAnsi="Arial"/>
                <w:sz w:val="22"/>
                <w:szCs w:val="22"/>
                <w:color w:val="auto"/>
              </w:rPr>
              <w:t>Subsidiary Indebtedness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107</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7.03</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109</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7.04</w:t>
            </w:r>
          </w:p>
        </w:tc>
        <w:tc>
          <w:tcPr>
            <w:tcW w:w="6860" w:type="dxa"/>
            <w:vAlign w:val="bottom"/>
          </w:tcPr>
          <w:p>
            <w:pPr>
              <w:ind w:left="120"/>
              <w:spacing w:after="0"/>
              <w:rPr>
                <w:sz w:val="20"/>
                <w:szCs w:val="20"/>
                <w:color w:val="auto"/>
              </w:rPr>
            </w:pPr>
            <w:r>
              <w:rPr>
                <w:rFonts w:ascii="Arial" w:cs="Arial" w:eastAsia="Arial" w:hAnsi="Arial"/>
                <w:sz w:val="22"/>
                <w:szCs w:val="22"/>
                <w:color w:val="auto"/>
              </w:rPr>
              <w:t>Fundamental Changes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109</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7.05</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7.06</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7.07</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7.08</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7.09</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7.10</w:t>
            </w:r>
          </w:p>
        </w:tc>
        <w:tc>
          <w:tcPr>
            <w:tcW w:w="6860" w:type="dxa"/>
            <w:vAlign w:val="bottom"/>
          </w:tcPr>
          <w:p>
            <w:pPr>
              <w:ind w:left="120"/>
              <w:spacing w:after="0"/>
              <w:rPr>
                <w:sz w:val="20"/>
                <w:szCs w:val="20"/>
                <w:color w:val="auto"/>
              </w:rPr>
            </w:pPr>
            <w:r>
              <w:rPr>
                <w:rFonts w:ascii="Arial" w:cs="Arial" w:eastAsia="Arial" w:hAnsi="Arial"/>
                <w:sz w:val="22"/>
                <w:szCs w:val="22"/>
                <w:color w:val="auto"/>
              </w:rPr>
              <w:t>Use of Proceeds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7.11</w:t>
            </w:r>
          </w:p>
        </w:tc>
        <w:tc>
          <w:tcPr>
            <w:tcW w:w="6860" w:type="dxa"/>
            <w:vAlign w:val="bottom"/>
          </w:tcPr>
          <w:p>
            <w:pPr>
              <w:ind w:left="120"/>
              <w:spacing w:after="0"/>
              <w:rPr>
                <w:sz w:val="20"/>
                <w:szCs w:val="20"/>
                <w:color w:val="auto"/>
              </w:rPr>
            </w:pPr>
            <w:r>
              <w:rPr>
                <w:rFonts w:ascii="Arial" w:cs="Arial" w:eastAsia="Arial" w:hAnsi="Arial"/>
                <w:sz w:val="22"/>
                <w:szCs w:val="22"/>
                <w:color w:val="auto"/>
              </w:rPr>
              <w:t>Financial Covenant</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110</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7.12</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7.13</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7.14</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7.15</w:t>
            </w:r>
          </w:p>
        </w:tc>
        <w:tc>
          <w:tcPr>
            <w:tcW w:w="68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7.16</w:t>
            </w:r>
          </w:p>
        </w:tc>
        <w:tc>
          <w:tcPr>
            <w:tcW w:w="6860" w:type="dxa"/>
            <w:vAlign w:val="bottom"/>
          </w:tcPr>
          <w:p>
            <w:pPr>
              <w:ind w:left="120"/>
              <w:spacing w:after="0"/>
              <w:rPr>
                <w:sz w:val="20"/>
                <w:szCs w:val="20"/>
                <w:color w:val="auto"/>
              </w:rPr>
            </w:pPr>
            <w:r>
              <w:rPr>
                <w:rFonts w:ascii="Arial" w:cs="Arial" w:eastAsia="Arial" w:hAnsi="Arial"/>
                <w:sz w:val="22"/>
                <w:szCs w:val="22"/>
                <w:color w:val="auto"/>
              </w:rPr>
              <w:t>Sanctions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7.17</w:t>
            </w:r>
          </w:p>
        </w:tc>
        <w:tc>
          <w:tcPr>
            <w:tcW w:w="6860" w:type="dxa"/>
            <w:vAlign w:val="bottom"/>
          </w:tcPr>
          <w:p>
            <w:pPr>
              <w:ind w:left="120"/>
              <w:spacing w:after="0"/>
              <w:rPr>
                <w:sz w:val="20"/>
                <w:szCs w:val="20"/>
                <w:color w:val="auto"/>
              </w:rPr>
            </w:pPr>
            <w:r>
              <w:rPr>
                <w:rFonts w:ascii="Arial" w:cs="Arial" w:eastAsia="Arial" w:hAnsi="Arial"/>
                <w:sz w:val="22"/>
                <w:szCs w:val="22"/>
                <w:color w:val="auto"/>
              </w:rPr>
              <w:t>Anti-Corruption Laws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7.18</w:t>
            </w:r>
          </w:p>
        </w:tc>
        <w:tc>
          <w:tcPr>
            <w:tcW w:w="6860" w:type="dxa"/>
            <w:vAlign w:val="bottom"/>
          </w:tcPr>
          <w:p>
            <w:pPr>
              <w:ind w:left="120"/>
              <w:spacing w:after="0"/>
              <w:rPr>
                <w:sz w:val="20"/>
                <w:szCs w:val="20"/>
                <w:color w:val="auto"/>
              </w:rPr>
            </w:pPr>
            <w:r>
              <w:rPr>
                <w:rFonts w:ascii="Arial" w:cs="Arial" w:eastAsia="Arial" w:hAnsi="Arial"/>
                <w:sz w:val="22"/>
                <w:szCs w:val="22"/>
                <w:color w:val="auto"/>
              </w:rPr>
              <w:t>Massachusetts Security Corporation</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7.19</w:t>
            </w:r>
          </w:p>
        </w:tc>
        <w:tc>
          <w:tcPr>
            <w:tcW w:w="6860" w:type="dxa"/>
            <w:vAlign w:val="bottom"/>
          </w:tcPr>
          <w:p>
            <w:pPr>
              <w:ind w:left="120"/>
              <w:spacing w:after="0"/>
              <w:rPr>
                <w:sz w:val="20"/>
                <w:szCs w:val="20"/>
                <w:color w:val="auto"/>
              </w:rPr>
            </w:pPr>
            <w:r>
              <w:rPr>
                <w:rFonts w:ascii="Arial" w:cs="Arial" w:eastAsia="Arial" w:hAnsi="Arial"/>
                <w:sz w:val="22"/>
                <w:szCs w:val="22"/>
                <w:color w:val="auto"/>
              </w:rPr>
              <w:t>Unrestricted Subsidiaries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7780" w:type="dxa"/>
            <w:vAlign w:val="bottom"/>
            <w:gridSpan w:val="2"/>
          </w:tcPr>
          <w:p>
            <w:pPr>
              <w:spacing w:after="0"/>
              <w:rPr>
                <w:sz w:val="20"/>
                <w:szCs w:val="20"/>
                <w:color w:val="auto"/>
              </w:rPr>
            </w:pPr>
            <w:r>
              <w:rPr>
                <w:rFonts w:ascii="Arial" w:cs="Arial" w:eastAsia="Arial" w:hAnsi="Arial"/>
                <w:sz w:val="22"/>
                <w:szCs w:val="22"/>
                <w:color w:val="auto"/>
              </w:rPr>
              <w:t>ARTICLE VIII EVENTS OF DEFAULT AND REMEDIES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8.01</w:t>
            </w:r>
          </w:p>
        </w:tc>
        <w:tc>
          <w:tcPr>
            <w:tcW w:w="6860" w:type="dxa"/>
            <w:vAlign w:val="bottom"/>
          </w:tcPr>
          <w:p>
            <w:pPr>
              <w:ind w:left="120"/>
              <w:spacing w:after="0"/>
              <w:rPr>
                <w:sz w:val="20"/>
                <w:szCs w:val="20"/>
                <w:color w:val="auto"/>
              </w:rPr>
            </w:pPr>
            <w:r>
              <w:rPr>
                <w:rFonts w:ascii="Arial" w:cs="Arial" w:eastAsia="Arial" w:hAnsi="Arial"/>
                <w:sz w:val="22"/>
                <w:szCs w:val="22"/>
                <w:color w:val="auto"/>
              </w:rPr>
              <w:t>Events of Default</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111</w:t>
            </w:r>
          </w:p>
        </w:tc>
      </w:tr>
      <w:tr>
        <w:trPr>
          <w:trHeight w:val="270"/>
        </w:trPr>
        <w:tc>
          <w:tcPr>
            <w:tcW w:w="920" w:type="dxa"/>
            <w:vAlign w:val="bottom"/>
          </w:tcPr>
          <w:p>
            <w:pPr>
              <w:ind w:left="420"/>
              <w:spacing w:after="0"/>
              <w:rPr>
                <w:sz w:val="20"/>
                <w:szCs w:val="20"/>
                <w:color w:val="auto"/>
              </w:rPr>
            </w:pPr>
            <w:r>
              <w:rPr>
                <w:rFonts w:ascii="Arial" w:cs="Arial" w:eastAsia="Arial" w:hAnsi="Arial"/>
                <w:sz w:val="22"/>
                <w:szCs w:val="22"/>
                <w:color w:val="auto"/>
              </w:rPr>
              <w:t>8.02</w:t>
            </w:r>
          </w:p>
        </w:tc>
        <w:tc>
          <w:tcPr>
            <w:tcW w:w="6860" w:type="dxa"/>
            <w:vAlign w:val="bottom"/>
          </w:tcPr>
          <w:p>
            <w:pPr>
              <w:ind w:left="120"/>
              <w:spacing w:after="0"/>
              <w:rPr>
                <w:sz w:val="20"/>
                <w:szCs w:val="20"/>
                <w:color w:val="auto"/>
              </w:rPr>
            </w:pPr>
            <w:r>
              <w:rPr>
                <w:rFonts w:ascii="Arial" w:cs="Arial" w:eastAsia="Arial" w:hAnsi="Arial"/>
                <w:sz w:val="22"/>
                <w:szCs w:val="22"/>
                <w:color w:val="auto"/>
              </w:rPr>
              <w:t>Remedies upon Event of Default</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114</w:t>
            </w:r>
          </w:p>
        </w:tc>
      </w:tr>
      <w:tr>
        <w:trPr>
          <w:trHeight w:val="274"/>
        </w:trPr>
        <w:tc>
          <w:tcPr>
            <w:tcW w:w="920" w:type="dxa"/>
            <w:vAlign w:val="bottom"/>
          </w:tcPr>
          <w:p>
            <w:pPr>
              <w:ind w:left="420"/>
              <w:spacing w:after="0"/>
              <w:rPr>
                <w:sz w:val="20"/>
                <w:szCs w:val="20"/>
                <w:color w:val="auto"/>
              </w:rPr>
            </w:pPr>
            <w:r>
              <w:rPr>
                <w:rFonts w:ascii="Arial" w:cs="Arial" w:eastAsia="Arial" w:hAnsi="Arial"/>
                <w:sz w:val="22"/>
                <w:szCs w:val="22"/>
                <w:color w:val="auto"/>
              </w:rPr>
              <w:t>8.03</w:t>
            </w:r>
          </w:p>
        </w:tc>
        <w:tc>
          <w:tcPr>
            <w:tcW w:w="6860" w:type="dxa"/>
            <w:vAlign w:val="bottom"/>
          </w:tcPr>
          <w:p>
            <w:pPr>
              <w:ind w:left="120"/>
              <w:spacing w:after="0"/>
              <w:rPr>
                <w:sz w:val="20"/>
                <w:szCs w:val="20"/>
                <w:color w:val="auto"/>
              </w:rPr>
            </w:pPr>
            <w:r>
              <w:rPr>
                <w:rFonts w:ascii="Arial" w:cs="Arial" w:eastAsia="Arial" w:hAnsi="Arial"/>
                <w:sz w:val="22"/>
                <w:szCs w:val="22"/>
                <w:color w:val="auto"/>
              </w:rPr>
              <w:t>Application of Funds</w:t>
            </w:r>
          </w:p>
        </w:tc>
        <w:tc>
          <w:tcPr>
            <w:tcW w:w="2920" w:type="dxa"/>
            <w:vAlign w:val="bottom"/>
          </w:tcPr>
          <w:p>
            <w:pPr>
              <w:ind w:left="2580"/>
              <w:spacing w:after="0"/>
              <w:rPr>
                <w:sz w:val="20"/>
                <w:szCs w:val="20"/>
                <w:color w:val="auto"/>
              </w:rPr>
            </w:pPr>
            <w:r>
              <w:rPr>
                <w:rFonts w:ascii="Arial" w:cs="Arial" w:eastAsia="Arial" w:hAnsi="Arial"/>
                <w:sz w:val="22"/>
                <w:szCs w:val="22"/>
                <w:color w:val="auto"/>
                <w:w w:val="87"/>
              </w:rPr>
              <w:t>114</w:t>
            </w:r>
          </w:p>
        </w:tc>
      </w:tr>
    </w:tbl>
    <w:p>
      <w:pPr>
        <w:sectPr>
          <w:pgSz w:w="11900" w:h="16838" w:orient="portrait"/>
          <w:cols w:equalWidth="0" w:num="1">
            <w:col w:w="10700"/>
          </w:cols>
          <w:pgMar w:left="400" w:top="1440" w:right="799" w:bottom="1440" w:gutter="0" w:footer="0" w:header="0"/>
        </w:sectPr>
      </w:pPr>
    </w:p>
    <w:bookmarkStart w:id="42" w:name="page43"/>
    <w:bookmarkEnd w:id="4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gridSpan w:val="2"/>
          </w:tcPr>
          <w:p>
            <w:pPr>
              <w:spacing w:after="0"/>
              <w:rPr>
                <w:sz w:val="20"/>
                <w:szCs w:val="20"/>
                <w:color w:val="auto"/>
              </w:rPr>
            </w:pPr>
            <w:r>
              <w:rPr>
                <w:rFonts w:ascii="Arial" w:cs="Arial" w:eastAsia="Arial" w:hAnsi="Arial"/>
                <w:sz w:val="22"/>
                <w:szCs w:val="22"/>
                <w:color w:val="auto"/>
              </w:rPr>
              <w:t>ARTICLE IX ADMINISTRATIVE AGENT</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115</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9.01</w:t>
            </w:r>
          </w:p>
        </w:tc>
        <w:tc>
          <w:tcPr>
            <w:tcW w:w="8160" w:type="dxa"/>
            <w:vAlign w:val="bottom"/>
          </w:tcPr>
          <w:p>
            <w:pPr>
              <w:ind w:left="60"/>
              <w:spacing w:after="0"/>
              <w:rPr>
                <w:sz w:val="20"/>
                <w:szCs w:val="20"/>
                <w:color w:val="auto"/>
              </w:rPr>
            </w:pPr>
            <w:r>
              <w:rPr>
                <w:rFonts w:ascii="Arial" w:cs="Arial" w:eastAsia="Arial" w:hAnsi="Arial"/>
                <w:sz w:val="22"/>
                <w:szCs w:val="22"/>
                <w:color w:val="auto"/>
              </w:rPr>
              <w:t>Appointment and Authority</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115</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9.02</w:t>
            </w:r>
          </w:p>
        </w:tc>
        <w:tc>
          <w:tcPr>
            <w:tcW w:w="8160" w:type="dxa"/>
            <w:vAlign w:val="bottom"/>
          </w:tcPr>
          <w:p>
            <w:pPr>
              <w:ind w:left="60"/>
              <w:spacing w:after="0"/>
              <w:rPr>
                <w:sz w:val="20"/>
                <w:szCs w:val="20"/>
                <w:color w:val="auto"/>
              </w:rPr>
            </w:pPr>
            <w:r>
              <w:rPr>
                <w:rFonts w:ascii="Arial" w:cs="Arial" w:eastAsia="Arial" w:hAnsi="Arial"/>
                <w:sz w:val="22"/>
                <w:szCs w:val="22"/>
                <w:color w:val="auto"/>
              </w:rPr>
              <w:t>Rights as a Lender</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115</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9.03</w:t>
            </w:r>
          </w:p>
        </w:tc>
        <w:tc>
          <w:tcPr>
            <w:tcW w:w="8160" w:type="dxa"/>
            <w:vAlign w:val="bottom"/>
          </w:tcPr>
          <w:p>
            <w:pPr>
              <w:ind w:left="60"/>
              <w:spacing w:after="0"/>
              <w:rPr>
                <w:sz w:val="20"/>
                <w:szCs w:val="20"/>
                <w:color w:val="auto"/>
              </w:rPr>
            </w:pPr>
            <w:r>
              <w:rPr>
                <w:rFonts w:ascii="Arial" w:cs="Arial" w:eastAsia="Arial" w:hAnsi="Arial"/>
                <w:sz w:val="22"/>
                <w:szCs w:val="22"/>
                <w:color w:val="auto"/>
              </w:rPr>
              <w:t>Exculpatory Provisions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116</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9.04</w:t>
            </w:r>
          </w:p>
        </w:tc>
        <w:tc>
          <w:tcPr>
            <w:tcW w:w="8160" w:type="dxa"/>
            <w:vAlign w:val="bottom"/>
          </w:tcPr>
          <w:p>
            <w:pPr>
              <w:ind w:left="60"/>
              <w:spacing w:after="0"/>
              <w:rPr>
                <w:sz w:val="20"/>
                <w:szCs w:val="20"/>
                <w:color w:val="auto"/>
              </w:rPr>
            </w:pPr>
            <w:r>
              <w:rPr>
                <w:rFonts w:ascii="Arial" w:cs="Arial" w:eastAsia="Arial" w:hAnsi="Arial"/>
                <w:sz w:val="22"/>
                <w:szCs w:val="22"/>
                <w:color w:val="auto"/>
              </w:rPr>
              <w:t>Reliance by Administrative Agent</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117</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9.05</w:t>
            </w:r>
          </w:p>
        </w:tc>
        <w:tc>
          <w:tcPr>
            <w:tcW w:w="8160" w:type="dxa"/>
            <w:vAlign w:val="bottom"/>
          </w:tcPr>
          <w:p>
            <w:pPr>
              <w:ind w:left="60"/>
              <w:spacing w:after="0"/>
              <w:rPr>
                <w:sz w:val="20"/>
                <w:szCs w:val="20"/>
                <w:color w:val="auto"/>
              </w:rPr>
            </w:pPr>
            <w:r>
              <w:rPr>
                <w:rFonts w:ascii="Arial" w:cs="Arial" w:eastAsia="Arial" w:hAnsi="Arial"/>
                <w:sz w:val="22"/>
                <w:szCs w:val="22"/>
                <w:color w:val="auto"/>
              </w:rPr>
              <w:t>Delegation of Duties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117</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9.06</w:t>
            </w:r>
          </w:p>
        </w:tc>
        <w:tc>
          <w:tcPr>
            <w:tcW w:w="8160" w:type="dxa"/>
            <w:vAlign w:val="bottom"/>
          </w:tcPr>
          <w:p>
            <w:pPr>
              <w:ind w:left="60"/>
              <w:spacing w:after="0"/>
              <w:rPr>
                <w:sz w:val="20"/>
                <w:szCs w:val="20"/>
                <w:color w:val="auto"/>
              </w:rPr>
            </w:pPr>
            <w:r>
              <w:rPr>
                <w:rFonts w:ascii="Arial" w:cs="Arial" w:eastAsia="Arial" w:hAnsi="Arial"/>
                <w:sz w:val="22"/>
                <w:szCs w:val="22"/>
                <w:color w:val="auto"/>
              </w:rPr>
              <w:t>Resignation of Administrative Agent</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117</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9.07</w:t>
            </w:r>
          </w:p>
        </w:tc>
        <w:tc>
          <w:tcPr>
            <w:tcW w:w="8160" w:type="dxa"/>
            <w:vAlign w:val="bottom"/>
          </w:tcPr>
          <w:p>
            <w:pPr>
              <w:ind w:left="60"/>
              <w:spacing w:after="0"/>
              <w:rPr>
                <w:sz w:val="20"/>
                <w:szCs w:val="20"/>
                <w:color w:val="auto"/>
              </w:rPr>
            </w:pPr>
            <w:r>
              <w:rPr>
                <w:rFonts w:ascii="Arial" w:cs="Arial" w:eastAsia="Arial" w:hAnsi="Arial"/>
                <w:sz w:val="22"/>
                <w:szCs w:val="22"/>
                <w:color w:val="auto"/>
              </w:rPr>
              <w:t>Non-Reliance on Administrative Agent, the Arrangers and the Other Lenders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119</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9.08</w:t>
            </w:r>
          </w:p>
        </w:tc>
        <w:tc>
          <w:tcPr>
            <w:tcW w:w="8160" w:type="dxa"/>
            <w:vAlign w:val="bottom"/>
          </w:tcPr>
          <w:p>
            <w:pPr>
              <w:ind w:left="60"/>
              <w:spacing w:after="0"/>
              <w:rPr>
                <w:sz w:val="20"/>
                <w:szCs w:val="20"/>
                <w:color w:val="auto"/>
              </w:rPr>
            </w:pPr>
            <w:r>
              <w:rPr>
                <w:rFonts w:ascii="Arial" w:cs="Arial" w:eastAsia="Arial" w:hAnsi="Arial"/>
                <w:sz w:val="22"/>
                <w:szCs w:val="22"/>
                <w:color w:val="auto"/>
              </w:rPr>
              <w:t>No Other Duties, Etc</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119</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9.09</w:t>
            </w:r>
          </w:p>
        </w:tc>
        <w:tc>
          <w:tcPr>
            <w:tcW w:w="8160" w:type="dxa"/>
            <w:vAlign w:val="bottom"/>
          </w:tcPr>
          <w:p>
            <w:pPr>
              <w:ind w:left="60"/>
              <w:spacing w:after="0"/>
              <w:rPr>
                <w:sz w:val="20"/>
                <w:szCs w:val="20"/>
                <w:color w:val="auto"/>
              </w:rPr>
            </w:pPr>
            <w:r>
              <w:rPr>
                <w:rFonts w:ascii="Arial" w:cs="Arial" w:eastAsia="Arial" w:hAnsi="Arial"/>
                <w:sz w:val="22"/>
                <w:szCs w:val="22"/>
                <w:color w:val="auto"/>
              </w:rPr>
              <w:t>Administrative Agent May File Proofs of Claim</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120</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9.10</w:t>
            </w:r>
          </w:p>
        </w:tc>
        <w:tc>
          <w:tcPr>
            <w:tcW w:w="8160" w:type="dxa"/>
            <w:vAlign w:val="bottom"/>
          </w:tcPr>
          <w:p>
            <w:pPr>
              <w:ind w:left="60"/>
              <w:spacing w:after="0"/>
              <w:rPr>
                <w:sz w:val="20"/>
                <w:szCs w:val="20"/>
                <w:color w:val="auto"/>
              </w:rPr>
            </w:pPr>
            <w:r>
              <w:rPr>
                <w:rFonts w:ascii="Arial" w:cs="Arial" w:eastAsia="Arial" w:hAnsi="Arial"/>
                <w:sz w:val="22"/>
                <w:szCs w:val="22"/>
                <w:color w:val="auto"/>
              </w:rPr>
              <w:t>Guaranty Matters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120</w:t>
            </w:r>
          </w:p>
        </w:tc>
      </w:tr>
      <w:tr>
        <w:trPr>
          <w:trHeight w:val="270"/>
        </w:trPr>
        <w:tc>
          <w:tcPr>
            <w:tcW w:w="9140" w:type="dxa"/>
            <w:vAlign w:val="bottom"/>
            <w:gridSpan w:val="2"/>
          </w:tcPr>
          <w:p>
            <w:pPr>
              <w:ind w:left="420"/>
              <w:spacing w:after="0"/>
              <w:rPr>
                <w:sz w:val="20"/>
                <w:szCs w:val="20"/>
                <w:color w:val="auto"/>
              </w:rPr>
            </w:pPr>
            <w:r>
              <w:rPr>
                <w:rFonts w:ascii="Arial" w:cs="Arial" w:eastAsia="Arial" w:hAnsi="Arial"/>
                <w:sz w:val="22"/>
                <w:szCs w:val="22"/>
                <w:color w:val="auto"/>
              </w:rPr>
              <w:t>9.11  Guaranteed Cash Management Agreements and Guaranteed Hedge Agreements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121</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9.12</w:t>
            </w:r>
          </w:p>
        </w:tc>
        <w:tc>
          <w:tcPr>
            <w:tcW w:w="8160" w:type="dxa"/>
            <w:vAlign w:val="bottom"/>
          </w:tcPr>
          <w:p>
            <w:pPr>
              <w:ind w:left="60"/>
              <w:spacing w:after="0"/>
              <w:rPr>
                <w:sz w:val="20"/>
                <w:szCs w:val="20"/>
                <w:color w:val="auto"/>
              </w:rPr>
            </w:pPr>
            <w:r>
              <w:rPr>
                <w:rFonts w:ascii="Arial" w:cs="Arial" w:eastAsia="Arial" w:hAnsi="Arial"/>
                <w:sz w:val="22"/>
                <w:szCs w:val="22"/>
                <w:color w:val="auto"/>
              </w:rPr>
              <w:t>Certain ERISA Matters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121</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rPr>
              <w:t>9.13</w:t>
            </w:r>
          </w:p>
        </w:tc>
        <w:tc>
          <w:tcPr>
            <w:tcW w:w="8160" w:type="dxa"/>
            <w:vAlign w:val="bottom"/>
          </w:tcPr>
          <w:p>
            <w:pPr>
              <w:ind w:left="60"/>
              <w:spacing w:after="0"/>
              <w:rPr>
                <w:sz w:val="20"/>
                <w:szCs w:val="20"/>
                <w:color w:val="auto"/>
              </w:rPr>
            </w:pPr>
            <w:r>
              <w:rPr>
                <w:rFonts w:ascii="Arial" w:cs="Arial" w:eastAsia="Arial" w:hAnsi="Arial"/>
                <w:sz w:val="22"/>
                <w:szCs w:val="22"/>
                <w:color w:val="auto"/>
              </w:rPr>
              <w:t>Recovery of Erroneous Payments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122</w:t>
            </w:r>
          </w:p>
        </w:tc>
      </w:tr>
      <w:tr>
        <w:trPr>
          <w:trHeight w:val="270"/>
        </w:trPr>
        <w:tc>
          <w:tcPr>
            <w:tcW w:w="9140" w:type="dxa"/>
            <w:vAlign w:val="bottom"/>
            <w:gridSpan w:val="2"/>
          </w:tcPr>
          <w:p>
            <w:pPr>
              <w:spacing w:after="0"/>
              <w:rPr>
                <w:sz w:val="20"/>
                <w:szCs w:val="20"/>
                <w:color w:val="auto"/>
              </w:rPr>
            </w:pPr>
            <w:r>
              <w:rPr>
                <w:rFonts w:ascii="Arial" w:cs="Arial" w:eastAsia="Arial" w:hAnsi="Arial"/>
                <w:sz w:val="22"/>
                <w:szCs w:val="22"/>
                <w:color w:val="auto"/>
              </w:rPr>
              <w:t>ARTICLE X CONTINUING GUARANTY</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123</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10.01</w:t>
            </w:r>
          </w:p>
        </w:tc>
        <w:tc>
          <w:tcPr>
            <w:tcW w:w="8160" w:type="dxa"/>
            <w:vAlign w:val="bottom"/>
          </w:tcPr>
          <w:p>
            <w:pPr>
              <w:ind w:left="180"/>
              <w:spacing w:after="0"/>
              <w:rPr>
                <w:sz w:val="20"/>
                <w:szCs w:val="20"/>
                <w:color w:val="auto"/>
              </w:rPr>
            </w:pPr>
            <w:r>
              <w:rPr>
                <w:rFonts w:ascii="Arial" w:cs="Arial" w:eastAsia="Arial" w:hAnsi="Arial"/>
                <w:sz w:val="22"/>
                <w:szCs w:val="22"/>
                <w:color w:val="auto"/>
              </w:rPr>
              <w:t>Guaranty</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123</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10.02</w:t>
            </w:r>
          </w:p>
        </w:tc>
        <w:tc>
          <w:tcPr>
            <w:tcW w:w="8160" w:type="dxa"/>
            <w:vAlign w:val="bottom"/>
          </w:tcPr>
          <w:p>
            <w:pPr>
              <w:ind w:left="180"/>
              <w:spacing w:after="0"/>
              <w:rPr>
                <w:sz w:val="20"/>
                <w:szCs w:val="20"/>
                <w:color w:val="auto"/>
              </w:rPr>
            </w:pPr>
            <w:r>
              <w:rPr>
                <w:rFonts w:ascii="Arial" w:cs="Arial" w:eastAsia="Arial" w:hAnsi="Arial"/>
                <w:sz w:val="22"/>
                <w:szCs w:val="22"/>
                <w:color w:val="auto"/>
              </w:rPr>
              <w:t>Rights of Lenders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123</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10.03</w:t>
            </w:r>
          </w:p>
        </w:tc>
        <w:tc>
          <w:tcPr>
            <w:tcW w:w="8160" w:type="dxa"/>
            <w:vAlign w:val="bottom"/>
          </w:tcPr>
          <w:p>
            <w:pPr>
              <w:ind w:left="180"/>
              <w:spacing w:after="0"/>
              <w:rPr>
                <w:sz w:val="20"/>
                <w:szCs w:val="20"/>
                <w:color w:val="auto"/>
              </w:rPr>
            </w:pPr>
            <w:r>
              <w:rPr>
                <w:rFonts w:ascii="Arial" w:cs="Arial" w:eastAsia="Arial" w:hAnsi="Arial"/>
                <w:sz w:val="22"/>
                <w:szCs w:val="22"/>
                <w:color w:val="auto"/>
              </w:rPr>
              <w:t>Certain Waivers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123</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10.04</w:t>
            </w:r>
          </w:p>
        </w:tc>
        <w:tc>
          <w:tcPr>
            <w:tcW w:w="8160" w:type="dxa"/>
            <w:vAlign w:val="bottom"/>
          </w:tcPr>
          <w:p>
            <w:pPr>
              <w:ind w:left="180"/>
              <w:spacing w:after="0"/>
              <w:rPr>
                <w:sz w:val="20"/>
                <w:szCs w:val="20"/>
                <w:color w:val="auto"/>
              </w:rPr>
            </w:pPr>
            <w:r>
              <w:rPr>
                <w:rFonts w:ascii="Arial" w:cs="Arial" w:eastAsia="Arial" w:hAnsi="Arial"/>
                <w:sz w:val="22"/>
                <w:szCs w:val="22"/>
                <w:color w:val="auto"/>
              </w:rPr>
              <w:t>Obligations Independent</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124</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10.05</w:t>
            </w:r>
          </w:p>
        </w:tc>
        <w:tc>
          <w:tcPr>
            <w:tcW w:w="8160" w:type="dxa"/>
            <w:vAlign w:val="bottom"/>
          </w:tcPr>
          <w:p>
            <w:pPr>
              <w:ind w:left="180"/>
              <w:spacing w:after="0"/>
              <w:rPr>
                <w:sz w:val="20"/>
                <w:szCs w:val="20"/>
                <w:color w:val="auto"/>
              </w:rPr>
            </w:pPr>
            <w:r>
              <w:rPr>
                <w:rFonts w:ascii="Arial" w:cs="Arial" w:eastAsia="Arial" w:hAnsi="Arial"/>
                <w:sz w:val="22"/>
                <w:szCs w:val="22"/>
                <w:color w:val="auto"/>
              </w:rPr>
              <w:t>Subrogation</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124</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10.06</w:t>
            </w:r>
          </w:p>
        </w:tc>
        <w:tc>
          <w:tcPr>
            <w:tcW w:w="8160" w:type="dxa"/>
            <w:vAlign w:val="bottom"/>
          </w:tcPr>
          <w:p>
            <w:pPr>
              <w:ind w:left="180"/>
              <w:spacing w:after="0"/>
              <w:rPr>
                <w:sz w:val="20"/>
                <w:szCs w:val="20"/>
                <w:color w:val="auto"/>
              </w:rPr>
            </w:pPr>
            <w:r>
              <w:rPr>
                <w:rFonts w:ascii="Arial" w:cs="Arial" w:eastAsia="Arial" w:hAnsi="Arial"/>
                <w:sz w:val="22"/>
                <w:szCs w:val="22"/>
                <w:color w:val="auto"/>
              </w:rPr>
              <w:t>Termination; Reinstatement</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124</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10.07</w:t>
            </w:r>
          </w:p>
        </w:tc>
        <w:tc>
          <w:tcPr>
            <w:tcW w:w="8160" w:type="dxa"/>
            <w:vAlign w:val="bottom"/>
          </w:tcPr>
          <w:p>
            <w:pPr>
              <w:ind w:left="180"/>
              <w:spacing w:after="0"/>
              <w:rPr>
                <w:sz w:val="20"/>
                <w:szCs w:val="20"/>
                <w:color w:val="auto"/>
              </w:rPr>
            </w:pPr>
            <w:r>
              <w:rPr>
                <w:rFonts w:ascii="Arial" w:cs="Arial" w:eastAsia="Arial" w:hAnsi="Arial"/>
                <w:sz w:val="22"/>
                <w:szCs w:val="22"/>
                <w:color w:val="auto"/>
              </w:rPr>
              <w:t>Stay of Acceleration</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124</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10.08</w:t>
            </w:r>
          </w:p>
        </w:tc>
        <w:tc>
          <w:tcPr>
            <w:tcW w:w="8160" w:type="dxa"/>
            <w:vAlign w:val="bottom"/>
          </w:tcPr>
          <w:p>
            <w:pPr>
              <w:ind w:left="180"/>
              <w:spacing w:after="0"/>
              <w:rPr>
                <w:sz w:val="20"/>
                <w:szCs w:val="20"/>
                <w:color w:val="auto"/>
              </w:rPr>
            </w:pPr>
            <w:r>
              <w:rPr>
                <w:rFonts w:ascii="Arial" w:cs="Arial" w:eastAsia="Arial" w:hAnsi="Arial"/>
                <w:sz w:val="22"/>
                <w:szCs w:val="22"/>
                <w:color w:val="auto"/>
              </w:rPr>
              <w:t>Condition of Borrowers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125</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10.09</w:t>
            </w:r>
          </w:p>
        </w:tc>
        <w:tc>
          <w:tcPr>
            <w:tcW w:w="8160" w:type="dxa"/>
            <w:vAlign w:val="bottom"/>
          </w:tcPr>
          <w:p>
            <w:pPr>
              <w:ind w:left="180"/>
              <w:spacing w:after="0"/>
              <w:rPr>
                <w:sz w:val="20"/>
                <w:szCs w:val="20"/>
                <w:color w:val="auto"/>
              </w:rPr>
            </w:pPr>
            <w:r>
              <w:rPr>
                <w:rFonts w:ascii="Arial" w:cs="Arial" w:eastAsia="Arial" w:hAnsi="Arial"/>
                <w:sz w:val="22"/>
                <w:szCs w:val="22"/>
                <w:color w:val="auto"/>
              </w:rPr>
              <w:t>Appointment of Company</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125</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10.10</w:t>
            </w:r>
          </w:p>
        </w:tc>
        <w:tc>
          <w:tcPr>
            <w:tcW w:w="8160" w:type="dxa"/>
            <w:vAlign w:val="bottom"/>
          </w:tcPr>
          <w:p>
            <w:pPr>
              <w:ind w:left="180"/>
              <w:spacing w:after="0"/>
              <w:rPr>
                <w:sz w:val="20"/>
                <w:szCs w:val="20"/>
                <w:color w:val="auto"/>
              </w:rPr>
            </w:pPr>
            <w:r>
              <w:rPr>
                <w:rFonts w:ascii="Arial" w:cs="Arial" w:eastAsia="Arial" w:hAnsi="Arial"/>
                <w:sz w:val="22"/>
                <w:szCs w:val="22"/>
                <w:color w:val="auto"/>
              </w:rPr>
              <w:t>Right of Contribution</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125</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10.11</w:t>
            </w:r>
          </w:p>
        </w:tc>
        <w:tc>
          <w:tcPr>
            <w:tcW w:w="8160" w:type="dxa"/>
            <w:vAlign w:val="bottom"/>
          </w:tcPr>
          <w:p>
            <w:pPr>
              <w:ind w:left="160"/>
              <w:spacing w:after="0"/>
              <w:rPr>
                <w:sz w:val="20"/>
                <w:szCs w:val="20"/>
                <w:color w:val="auto"/>
              </w:rPr>
            </w:pPr>
            <w:r>
              <w:rPr>
                <w:rFonts w:ascii="Arial" w:cs="Arial" w:eastAsia="Arial" w:hAnsi="Arial"/>
                <w:sz w:val="22"/>
                <w:szCs w:val="22"/>
                <w:color w:val="auto"/>
              </w:rPr>
              <w:t>Keepwell</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125</w:t>
            </w:r>
          </w:p>
        </w:tc>
      </w:tr>
      <w:tr>
        <w:trPr>
          <w:trHeight w:val="270"/>
        </w:trPr>
        <w:tc>
          <w:tcPr>
            <w:tcW w:w="9140" w:type="dxa"/>
            <w:vAlign w:val="bottom"/>
            <w:gridSpan w:val="2"/>
          </w:tcPr>
          <w:p>
            <w:pPr>
              <w:spacing w:after="0"/>
              <w:rPr>
                <w:sz w:val="20"/>
                <w:szCs w:val="20"/>
                <w:color w:val="auto"/>
              </w:rPr>
            </w:pPr>
            <w:r>
              <w:rPr>
                <w:rFonts w:ascii="Arial" w:cs="Arial" w:eastAsia="Arial" w:hAnsi="Arial"/>
                <w:sz w:val="22"/>
                <w:szCs w:val="22"/>
                <w:color w:val="auto"/>
              </w:rPr>
              <w:t>ARTICLE XI MISCELLANEOUS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125</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11.01</w:t>
            </w:r>
          </w:p>
        </w:tc>
        <w:tc>
          <w:tcPr>
            <w:tcW w:w="8160" w:type="dxa"/>
            <w:vAlign w:val="bottom"/>
          </w:tcPr>
          <w:p>
            <w:pPr>
              <w:ind w:left="160"/>
              <w:spacing w:after="0"/>
              <w:rPr>
                <w:sz w:val="20"/>
                <w:szCs w:val="20"/>
                <w:color w:val="auto"/>
              </w:rPr>
            </w:pPr>
            <w:r>
              <w:rPr>
                <w:rFonts w:ascii="Arial" w:cs="Arial" w:eastAsia="Arial" w:hAnsi="Arial"/>
                <w:sz w:val="22"/>
                <w:szCs w:val="22"/>
                <w:color w:val="auto"/>
              </w:rPr>
              <w:t>Amendments, Etc</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125</w:t>
            </w:r>
          </w:p>
        </w:tc>
      </w:tr>
      <w:tr>
        <w:trPr>
          <w:trHeight w:val="270"/>
        </w:trPr>
        <w:tc>
          <w:tcPr>
            <w:tcW w:w="9140" w:type="dxa"/>
            <w:vAlign w:val="bottom"/>
            <w:gridSpan w:val="2"/>
          </w:tcPr>
          <w:p>
            <w:pPr>
              <w:ind w:left="420"/>
              <w:spacing w:after="0"/>
              <w:rPr>
                <w:sz w:val="20"/>
                <w:szCs w:val="20"/>
                <w:color w:val="auto"/>
              </w:rPr>
            </w:pPr>
            <w:r>
              <w:rPr>
                <w:rFonts w:ascii="Arial" w:cs="Arial" w:eastAsia="Arial" w:hAnsi="Arial"/>
                <w:sz w:val="22"/>
                <w:szCs w:val="22"/>
                <w:color w:val="auto"/>
              </w:rPr>
              <w:t>11.02  Notices; Effectiveness; Electronic Communications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128</w:t>
            </w:r>
          </w:p>
        </w:tc>
      </w:tr>
      <w:tr>
        <w:trPr>
          <w:trHeight w:val="270"/>
        </w:trPr>
        <w:tc>
          <w:tcPr>
            <w:tcW w:w="9140" w:type="dxa"/>
            <w:vAlign w:val="bottom"/>
            <w:gridSpan w:val="2"/>
          </w:tcPr>
          <w:p>
            <w:pPr>
              <w:ind w:left="420"/>
              <w:spacing w:after="0"/>
              <w:rPr>
                <w:sz w:val="20"/>
                <w:szCs w:val="20"/>
                <w:color w:val="auto"/>
              </w:rPr>
            </w:pPr>
            <w:r>
              <w:rPr>
                <w:rFonts w:ascii="Arial" w:cs="Arial" w:eastAsia="Arial" w:hAnsi="Arial"/>
                <w:sz w:val="22"/>
                <w:szCs w:val="22"/>
                <w:color w:val="auto"/>
              </w:rPr>
              <w:t>11.03  No Waiver; Cumulative Remedies; Enforcement</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130</w:t>
            </w:r>
          </w:p>
        </w:tc>
      </w:tr>
      <w:tr>
        <w:trPr>
          <w:trHeight w:val="270"/>
        </w:trPr>
        <w:tc>
          <w:tcPr>
            <w:tcW w:w="9140" w:type="dxa"/>
            <w:vAlign w:val="bottom"/>
            <w:gridSpan w:val="2"/>
          </w:tcPr>
          <w:p>
            <w:pPr>
              <w:ind w:left="420"/>
              <w:spacing w:after="0"/>
              <w:rPr>
                <w:sz w:val="20"/>
                <w:szCs w:val="20"/>
                <w:color w:val="auto"/>
              </w:rPr>
            </w:pPr>
            <w:r>
              <w:rPr>
                <w:rFonts w:ascii="Arial" w:cs="Arial" w:eastAsia="Arial" w:hAnsi="Arial"/>
                <w:sz w:val="22"/>
                <w:szCs w:val="22"/>
                <w:color w:val="auto"/>
              </w:rPr>
              <w:t>11.04  Expenses; Indemnity; Damage Waiver</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131</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11.05</w:t>
            </w:r>
          </w:p>
        </w:tc>
        <w:tc>
          <w:tcPr>
            <w:tcW w:w="8160" w:type="dxa"/>
            <w:vAlign w:val="bottom"/>
          </w:tcPr>
          <w:p>
            <w:pPr>
              <w:ind w:left="160"/>
              <w:spacing w:after="0"/>
              <w:rPr>
                <w:sz w:val="20"/>
                <w:szCs w:val="20"/>
                <w:color w:val="auto"/>
              </w:rPr>
            </w:pPr>
            <w:r>
              <w:rPr>
                <w:rFonts w:ascii="Arial" w:cs="Arial" w:eastAsia="Arial" w:hAnsi="Arial"/>
                <w:sz w:val="22"/>
                <w:szCs w:val="22"/>
                <w:color w:val="auto"/>
              </w:rPr>
              <w:t>Payments Set Aside</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133</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11.06</w:t>
            </w:r>
          </w:p>
        </w:tc>
        <w:tc>
          <w:tcPr>
            <w:tcW w:w="8160" w:type="dxa"/>
            <w:vAlign w:val="bottom"/>
          </w:tcPr>
          <w:p>
            <w:pPr>
              <w:ind w:left="160"/>
              <w:spacing w:after="0"/>
              <w:rPr>
                <w:sz w:val="20"/>
                <w:szCs w:val="20"/>
                <w:color w:val="auto"/>
              </w:rPr>
            </w:pPr>
            <w:r>
              <w:rPr>
                <w:rFonts w:ascii="Arial" w:cs="Arial" w:eastAsia="Arial" w:hAnsi="Arial"/>
                <w:sz w:val="22"/>
                <w:szCs w:val="22"/>
                <w:color w:val="auto"/>
              </w:rPr>
              <w:t>Successors and Assigns</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133</w:t>
            </w:r>
          </w:p>
        </w:tc>
      </w:tr>
      <w:tr>
        <w:trPr>
          <w:trHeight w:val="270"/>
        </w:trPr>
        <w:tc>
          <w:tcPr>
            <w:tcW w:w="9140" w:type="dxa"/>
            <w:vAlign w:val="bottom"/>
            <w:gridSpan w:val="2"/>
          </w:tcPr>
          <w:p>
            <w:pPr>
              <w:ind w:left="420"/>
              <w:spacing w:after="0"/>
              <w:rPr>
                <w:sz w:val="20"/>
                <w:szCs w:val="20"/>
                <w:color w:val="auto"/>
              </w:rPr>
            </w:pPr>
            <w:r>
              <w:rPr>
                <w:rFonts w:ascii="Arial" w:cs="Arial" w:eastAsia="Arial" w:hAnsi="Arial"/>
                <w:sz w:val="22"/>
                <w:szCs w:val="22"/>
                <w:color w:val="auto"/>
              </w:rPr>
              <w:t>11.07  Treatment of Certain Information; Confidentiality</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138</w:t>
            </w:r>
          </w:p>
        </w:tc>
      </w:tr>
      <w:tr>
        <w:trPr>
          <w:trHeight w:val="270"/>
        </w:trPr>
        <w:tc>
          <w:tcPr>
            <w:tcW w:w="980" w:type="dxa"/>
            <w:vAlign w:val="bottom"/>
          </w:tcPr>
          <w:p>
            <w:pPr>
              <w:ind w:left="420"/>
              <w:spacing w:after="0"/>
              <w:rPr>
                <w:sz w:val="20"/>
                <w:szCs w:val="20"/>
                <w:color w:val="auto"/>
              </w:rPr>
            </w:pPr>
            <w:r>
              <w:rPr>
                <w:rFonts w:ascii="Arial" w:cs="Arial" w:eastAsia="Arial" w:hAnsi="Arial"/>
                <w:sz w:val="22"/>
                <w:szCs w:val="22"/>
                <w:color w:val="auto"/>
                <w:w w:val="98"/>
              </w:rPr>
              <w:t>11.08</w:t>
            </w:r>
          </w:p>
        </w:tc>
        <w:tc>
          <w:tcPr>
            <w:tcW w:w="8160" w:type="dxa"/>
            <w:vAlign w:val="bottom"/>
          </w:tcPr>
          <w:p>
            <w:pPr>
              <w:ind w:left="160"/>
              <w:spacing w:after="0"/>
              <w:rPr>
                <w:sz w:val="20"/>
                <w:szCs w:val="20"/>
                <w:color w:val="auto"/>
              </w:rPr>
            </w:pPr>
            <w:r>
              <w:rPr>
                <w:rFonts w:ascii="Arial" w:cs="Arial" w:eastAsia="Arial" w:hAnsi="Arial"/>
                <w:sz w:val="22"/>
                <w:szCs w:val="22"/>
                <w:color w:val="auto"/>
              </w:rPr>
              <w:t>Right of Setoff</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139</w:t>
            </w:r>
          </w:p>
        </w:tc>
      </w:tr>
      <w:tr>
        <w:trPr>
          <w:trHeight w:val="274"/>
        </w:trPr>
        <w:tc>
          <w:tcPr>
            <w:tcW w:w="980" w:type="dxa"/>
            <w:vAlign w:val="bottom"/>
          </w:tcPr>
          <w:p>
            <w:pPr>
              <w:ind w:left="420"/>
              <w:spacing w:after="0"/>
              <w:rPr>
                <w:sz w:val="20"/>
                <w:szCs w:val="20"/>
                <w:color w:val="auto"/>
              </w:rPr>
            </w:pPr>
            <w:r>
              <w:rPr>
                <w:rFonts w:ascii="Arial" w:cs="Arial" w:eastAsia="Arial" w:hAnsi="Arial"/>
                <w:sz w:val="22"/>
                <w:szCs w:val="22"/>
                <w:color w:val="auto"/>
                <w:w w:val="98"/>
              </w:rPr>
              <w:t>11.09</w:t>
            </w:r>
          </w:p>
        </w:tc>
        <w:tc>
          <w:tcPr>
            <w:tcW w:w="8160" w:type="dxa"/>
            <w:vAlign w:val="bottom"/>
          </w:tcPr>
          <w:p>
            <w:pPr>
              <w:ind w:left="160"/>
              <w:spacing w:after="0"/>
              <w:rPr>
                <w:sz w:val="20"/>
                <w:szCs w:val="20"/>
                <w:color w:val="auto"/>
              </w:rPr>
            </w:pPr>
            <w:r>
              <w:rPr>
                <w:rFonts w:ascii="Arial" w:cs="Arial" w:eastAsia="Arial" w:hAnsi="Arial"/>
                <w:sz w:val="22"/>
                <w:szCs w:val="22"/>
                <w:color w:val="auto"/>
              </w:rPr>
              <w:t>Interest Rate Limitation</w:t>
            </w:r>
          </w:p>
        </w:tc>
        <w:tc>
          <w:tcPr>
            <w:tcW w:w="1560" w:type="dxa"/>
            <w:vAlign w:val="bottom"/>
          </w:tcPr>
          <w:p>
            <w:pPr>
              <w:ind w:left="1220"/>
              <w:spacing w:after="0"/>
              <w:rPr>
                <w:sz w:val="20"/>
                <w:szCs w:val="20"/>
                <w:color w:val="auto"/>
              </w:rPr>
            </w:pPr>
            <w:r>
              <w:rPr>
                <w:rFonts w:ascii="Arial" w:cs="Arial" w:eastAsia="Arial" w:hAnsi="Arial"/>
                <w:sz w:val="22"/>
                <w:szCs w:val="22"/>
                <w:color w:val="auto"/>
                <w:w w:val="87"/>
              </w:rPr>
              <w:t>140</w:t>
            </w:r>
          </w:p>
        </w:tc>
      </w:tr>
    </w:tbl>
    <w:p>
      <w:pPr>
        <w:sectPr>
          <w:pgSz w:w="11900" w:h="16838" w:orient="portrait"/>
          <w:cols w:equalWidth="0" w:num="1">
            <w:col w:w="10700"/>
          </w:cols>
          <w:pgMar w:left="400" w:top="1440" w:right="799" w:bottom="1440" w:gutter="0" w:footer="0" w:header="0"/>
        </w:sectPr>
      </w:pPr>
    </w:p>
    <w:bookmarkStart w:id="43" w:name="page44"/>
    <w:bookmarkEnd w:id="4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11.10</w:t>
            </w:r>
          </w:p>
        </w:tc>
        <w:tc>
          <w:tcPr>
            <w:tcW w:w="8020" w:type="dxa"/>
            <w:vAlign w:val="bottom"/>
          </w:tcPr>
          <w:p>
            <w:pPr>
              <w:ind w:left="120"/>
              <w:spacing w:after="0"/>
              <w:rPr>
                <w:sz w:val="20"/>
                <w:szCs w:val="20"/>
                <w:color w:val="auto"/>
              </w:rPr>
            </w:pPr>
            <w:r>
              <w:rPr>
                <w:rFonts w:ascii="Arial" w:cs="Arial" w:eastAsia="Arial" w:hAnsi="Arial"/>
                <w:sz w:val="22"/>
                <w:szCs w:val="22"/>
                <w:color w:val="auto"/>
              </w:rPr>
              <w:t>Integration; Effectiveness</w:t>
            </w:r>
          </w:p>
        </w:tc>
        <w:tc>
          <w:tcPr>
            <w:tcW w:w="166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auto"/>
              </w:rPr>
              <w:t>11.11  Survival of Representations and Warranties</w:t>
            </w:r>
          </w:p>
        </w:tc>
        <w:tc>
          <w:tcPr>
            <w:tcW w:w="166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11.12</w:t>
            </w:r>
          </w:p>
        </w:tc>
        <w:tc>
          <w:tcPr>
            <w:tcW w:w="802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166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11.13</w:t>
            </w:r>
          </w:p>
        </w:tc>
        <w:tc>
          <w:tcPr>
            <w:tcW w:w="8020" w:type="dxa"/>
            <w:vAlign w:val="bottom"/>
          </w:tcPr>
          <w:p>
            <w:pPr>
              <w:ind w:left="120"/>
              <w:spacing w:after="0"/>
              <w:rPr>
                <w:sz w:val="20"/>
                <w:szCs w:val="20"/>
                <w:color w:val="auto"/>
              </w:rPr>
            </w:pPr>
            <w:r>
              <w:rPr>
                <w:rFonts w:ascii="Arial" w:cs="Arial" w:eastAsia="Arial" w:hAnsi="Arial"/>
                <w:sz w:val="22"/>
                <w:szCs w:val="22"/>
                <w:color w:val="auto"/>
              </w:rPr>
              <w:t>Replacement of Lenders</w:t>
            </w:r>
          </w:p>
        </w:tc>
        <w:tc>
          <w:tcPr>
            <w:tcW w:w="166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11.14</w:t>
            </w:r>
          </w:p>
        </w:tc>
        <w:tc>
          <w:tcPr>
            <w:tcW w:w="8020" w:type="dxa"/>
            <w:vAlign w:val="bottom"/>
          </w:tcPr>
          <w:p>
            <w:pPr>
              <w:ind w:left="120"/>
              <w:spacing w:after="0"/>
              <w:rPr>
                <w:sz w:val="20"/>
                <w:szCs w:val="20"/>
                <w:color w:val="auto"/>
              </w:rPr>
            </w:pPr>
            <w:r>
              <w:rPr>
                <w:rFonts w:ascii="Arial" w:cs="Arial" w:eastAsia="Arial" w:hAnsi="Arial"/>
                <w:sz w:val="22"/>
                <w:szCs w:val="22"/>
                <w:color w:val="auto"/>
              </w:rPr>
              <w:t>Governing Law; Jurisdiction; Etc</w:t>
            </w:r>
          </w:p>
        </w:tc>
        <w:tc>
          <w:tcPr>
            <w:tcW w:w="166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11.15</w:t>
            </w:r>
          </w:p>
        </w:tc>
        <w:tc>
          <w:tcPr>
            <w:tcW w:w="8020" w:type="dxa"/>
            <w:vAlign w:val="bottom"/>
          </w:tcPr>
          <w:p>
            <w:pPr>
              <w:ind w:left="120"/>
              <w:spacing w:after="0"/>
              <w:rPr>
                <w:sz w:val="20"/>
                <w:szCs w:val="20"/>
                <w:color w:val="auto"/>
              </w:rPr>
            </w:pPr>
            <w:r>
              <w:rPr>
                <w:rFonts w:ascii="Arial" w:cs="Arial" w:eastAsia="Arial" w:hAnsi="Arial"/>
                <w:sz w:val="22"/>
                <w:szCs w:val="22"/>
                <w:color w:val="auto"/>
              </w:rPr>
              <w:t>WAIVER OF JURY TRIAL</w:t>
            </w:r>
          </w:p>
        </w:tc>
        <w:tc>
          <w:tcPr>
            <w:tcW w:w="16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11.16</w:t>
            </w:r>
          </w:p>
        </w:tc>
        <w:tc>
          <w:tcPr>
            <w:tcW w:w="8020" w:type="dxa"/>
            <w:vAlign w:val="bottom"/>
          </w:tcPr>
          <w:p>
            <w:pPr>
              <w:ind w:left="120"/>
              <w:spacing w:after="0"/>
              <w:rPr>
                <w:sz w:val="20"/>
                <w:szCs w:val="20"/>
                <w:color w:val="auto"/>
              </w:rPr>
            </w:pPr>
            <w:r>
              <w:rPr>
                <w:rFonts w:ascii="Arial" w:cs="Arial" w:eastAsia="Arial" w:hAnsi="Arial"/>
                <w:sz w:val="22"/>
                <w:szCs w:val="22"/>
                <w:color w:val="auto"/>
              </w:rPr>
              <w:t>Subordination</w:t>
            </w:r>
          </w:p>
        </w:tc>
        <w:tc>
          <w:tcPr>
            <w:tcW w:w="16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11.17</w:t>
            </w:r>
          </w:p>
        </w:tc>
        <w:tc>
          <w:tcPr>
            <w:tcW w:w="8020" w:type="dxa"/>
            <w:vAlign w:val="bottom"/>
          </w:tcPr>
          <w:p>
            <w:pPr>
              <w:ind w:left="120"/>
              <w:spacing w:after="0"/>
              <w:rPr>
                <w:sz w:val="20"/>
                <w:szCs w:val="20"/>
                <w:color w:val="auto"/>
              </w:rPr>
            </w:pPr>
            <w:r>
              <w:rPr>
                <w:rFonts w:ascii="Arial" w:cs="Arial" w:eastAsia="Arial" w:hAnsi="Arial"/>
                <w:sz w:val="22"/>
                <w:szCs w:val="22"/>
                <w:color w:val="auto"/>
              </w:rPr>
              <w:t>No Advisory or Fiduciary Responsibility</w:t>
            </w:r>
          </w:p>
        </w:tc>
        <w:tc>
          <w:tcPr>
            <w:tcW w:w="16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11.18</w:t>
            </w:r>
          </w:p>
        </w:tc>
        <w:tc>
          <w:tcPr>
            <w:tcW w:w="8020" w:type="dxa"/>
            <w:vAlign w:val="bottom"/>
          </w:tcPr>
          <w:p>
            <w:pPr>
              <w:ind w:left="120"/>
              <w:spacing w:after="0"/>
              <w:rPr>
                <w:sz w:val="20"/>
                <w:szCs w:val="20"/>
                <w:color w:val="auto"/>
              </w:rPr>
            </w:pPr>
            <w:r>
              <w:rPr>
                <w:rFonts w:ascii="Arial" w:cs="Arial" w:eastAsia="Arial" w:hAnsi="Arial"/>
                <w:sz w:val="22"/>
                <w:szCs w:val="22"/>
                <w:color w:val="auto"/>
              </w:rPr>
              <w:t>Electronic Execution; Electronic Records; Counterparts</w:t>
            </w:r>
          </w:p>
        </w:tc>
        <w:tc>
          <w:tcPr>
            <w:tcW w:w="166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11.19</w:t>
            </w:r>
          </w:p>
        </w:tc>
        <w:tc>
          <w:tcPr>
            <w:tcW w:w="8020" w:type="dxa"/>
            <w:vAlign w:val="bottom"/>
          </w:tcPr>
          <w:p>
            <w:pPr>
              <w:ind w:left="120"/>
              <w:spacing w:after="0"/>
              <w:rPr>
                <w:sz w:val="20"/>
                <w:szCs w:val="20"/>
                <w:color w:val="auto"/>
              </w:rPr>
            </w:pPr>
            <w:r>
              <w:rPr>
                <w:rFonts w:ascii="Arial" w:cs="Arial" w:eastAsia="Arial" w:hAnsi="Arial"/>
                <w:sz w:val="22"/>
                <w:szCs w:val="22"/>
                <w:color w:val="auto"/>
              </w:rPr>
              <w:t>USA PATRIOT Act Notice</w:t>
            </w:r>
          </w:p>
        </w:tc>
        <w:tc>
          <w:tcPr>
            <w:tcW w:w="166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11.20</w:t>
            </w:r>
          </w:p>
        </w:tc>
        <w:tc>
          <w:tcPr>
            <w:tcW w:w="8020" w:type="dxa"/>
            <w:vAlign w:val="bottom"/>
          </w:tcPr>
          <w:p>
            <w:pPr>
              <w:ind w:left="120"/>
              <w:spacing w:after="0"/>
              <w:rPr>
                <w:sz w:val="20"/>
                <w:szCs w:val="20"/>
                <w:color w:val="auto"/>
              </w:rPr>
            </w:pPr>
            <w:r>
              <w:rPr>
                <w:rFonts w:ascii="Arial" w:cs="Arial" w:eastAsia="Arial" w:hAnsi="Arial"/>
                <w:sz w:val="22"/>
                <w:szCs w:val="22"/>
                <w:color w:val="auto"/>
              </w:rPr>
              <w:t>Acknowledgement and Consent to Bail-In of Affected Financial Institutions</w:t>
            </w:r>
          </w:p>
        </w:tc>
        <w:tc>
          <w:tcPr>
            <w:tcW w:w="166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11.21</w:t>
            </w:r>
          </w:p>
        </w:tc>
        <w:tc>
          <w:tcPr>
            <w:tcW w:w="8020" w:type="dxa"/>
            <w:vAlign w:val="bottom"/>
          </w:tcPr>
          <w:p>
            <w:pPr>
              <w:ind w:left="120"/>
              <w:spacing w:after="0"/>
              <w:rPr>
                <w:sz w:val="20"/>
                <w:szCs w:val="20"/>
                <w:color w:val="auto"/>
              </w:rPr>
            </w:pPr>
            <w:r>
              <w:rPr>
                <w:rFonts w:ascii="Arial" w:cs="Arial" w:eastAsia="Arial" w:hAnsi="Arial"/>
                <w:sz w:val="22"/>
                <w:szCs w:val="22"/>
                <w:color w:val="auto"/>
              </w:rPr>
              <w:t>Acknowledgement Regarding Any Supported QFCs</w:t>
            </w:r>
          </w:p>
        </w:tc>
        <w:tc>
          <w:tcPr>
            <w:tcW w:w="166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11.22</w:t>
            </w:r>
          </w:p>
        </w:tc>
        <w:tc>
          <w:tcPr>
            <w:tcW w:w="8020" w:type="dxa"/>
            <w:vAlign w:val="bottom"/>
          </w:tcPr>
          <w:p>
            <w:pPr>
              <w:ind w:left="120"/>
              <w:spacing w:after="0"/>
              <w:rPr>
                <w:sz w:val="20"/>
                <w:szCs w:val="20"/>
                <w:color w:val="auto"/>
              </w:rPr>
            </w:pPr>
            <w:r>
              <w:rPr>
                <w:rFonts w:ascii="Arial" w:cs="Arial" w:eastAsia="Arial" w:hAnsi="Arial"/>
                <w:sz w:val="22"/>
                <w:szCs w:val="22"/>
                <w:color w:val="auto"/>
              </w:rPr>
              <w:t>Release of Subsidiary Guarantors.</w:t>
            </w:r>
          </w:p>
        </w:tc>
        <w:tc>
          <w:tcPr>
            <w:tcW w:w="166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270"/>
        </w:trPr>
        <w:tc>
          <w:tcPr>
            <w:tcW w:w="600" w:type="dxa"/>
            <w:vAlign w:val="bottom"/>
          </w:tcPr>
          <w:p>
            <w:pPr>
              <w:spacing w:after="0"/>
              <w:rPr>
                <w:sz w:val="20"/>
                <w:szCs w:val="20"/>
                <w:color w:val="auto"/>
              </w:rPr>
            </w:pPr>
            <w:r>
              <w:rPr>
                <w:rFonts w:ascii="Arial" w:cs="Arial" w:eastAsia="Arial" w:hAnsi="Arial"/>
                <w:sz w:val="22"/>
                <w:szCs w:val="22"/>
                <w:color w:val="auto"/>
              </w:rPr>
              <w:t>11.23</w:t>
            </w:r>
          </w:p>
        </w:tc>
        <w:tc>
          <w:tcPr>
            <w:tcW w:w="8020" w:type="dxa"/>
            <w:vAlign w:val="bottom"/>
          </w:tcPr>
          <w:p>
            <w:pPr>
              <w:ind w:left="120"/>
              <w:spacing w:after="0"/>
              <w:rPr>
                <w:sz w:val="20"/>
                <w:szCs w:val="20"/>
                <w:color w:val="auto"/>
              </w:rPr>
            </w:pPr>
            <w:r>
              <w:rPr>
                <w:rFonts w:ascii="Arial" w:cs="Arial" w:eastAsia="Arial" w:hAnsi="Arial"/>
                <w:sz w:val="22"/>
                <w:szCs w:val="22"/>
                <w:color w:val="auto"/>
              </w:rPr>
              <w:t>Judgment Currency</w:t>
            </w:r>
          </w:p>
        </w:tc>
        <w:tc>
          <w:tcPr>
            <w:tcW w:w="166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11.24</w:t>
            </w:r>
          </w:p>
        </w:tc>
        <w:tc>
          <w:tcPr>
            <w:tcW w:w="8020" w:type="dxa"/>
            <w:vAlign w:val="bottom"/>
          </w:tcPr>
          <w:p>
            <w:pPr>
              <w:ind w:left="120"/>
              <w:spacing w:after="0"/>
              <w:rPr>
                <w:sz w:val="20"/>
                <w:szCs w:val="20"/>
                <w:color w:val="auto"/>
              </w:rPr>
            </w:pPr>
            <w:r>
              <w:rPr>
                <w:rFonts w:ascii="Arial" w:cs="Arial" w:eastAsia="Arial" w:hAnsi="Arial"/>
                <w:sz w:val="22"/>
                <w:szCs w:val="22"/>
                <w:color w:val="auto"/>
              </w:rPr>
              <w:t>ENTIRE AGREEMENT</w:t>
            </w:r>
          </w:p>
        </w:tc>
        <w:tc>
          <w:tcPr>
            <w:tcW w:w="1660" w:type="dxa"/>
            <w:vAlign w:val="bottom"/>
          </w:tcPr>
          <w:p>
            <w:pPr>
              <w:jc w:val="right"/>
              <w:spacing w:after="0"/>
              <w:rPr>
                <w:sz w:val="20"/>
                <w:szCs w:val="20"/>
                <w:color w:val="auto"/>
              </w:rPr>
            </w:pPr>
            <w:r>
              <w:rPr>
                <w:rFonts w:ascii="Arial" w:cs="Arial" w:eastAsia="Arial" w:hAnsi="Arial"/>
                <w:sz w:val="22"/>
                <w:szCs w:val="22"/>
                <w:color w:val="auto"/>
              </w:rPr>
              <w:t>147</w:t>
            </w:r>
          </w:p>
        </w:tc>
      </w:tr>
    </w:tbl>
    <w:p>
      <w:pPr>
        <w:sectPr>
          <w:pgSz w:w="11900" w:h="16838" w:orient="portrait"/>
          <w:cols w:equalWidth="0" w:num="1">
            <w:col w:w="10280"/>
          </w:cols>
          <w:pgMar w:left="820" w:top="1440" w:right="79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COMPANY PREPARED SCHEDULES</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Schedule 7.01</w:t>
      </w:r>
      <w:r>
        <w:rPr>
          <w:sz w:val="20"/>
          <w:szCs w:val="20"/>
          <w:color w:val="auto"/>
        </w:rPr>
        <w:tab/>
      </w:r>
      <w:r>
        <w:rPr>
          <w:rFonts w:ascii="Arial" w:cs="Arial" w:eastAsia="Arial" w:hAnsi="Arial"/>
          <w:sz w:val="18"/>
          <w:szCs w:val="18"/>
          <w:color w:val="auto"/>
        </w:rPr>
        <w:t>Existing Liens</w:t>
      </w:r>
    </w:p>
    <w:p>
      <w:pPr>
        <w:spacing w:after="0"/>
        <w:tabs>
          <w:tab w:leader="none" w:pos="1300" w:val="left"/>
        </w:tabs>
        <w:rPr>
          <w:sz w:val="20"/>
          <w:szCs w:val="20"/>
          <w:color w:val="auto"/>
        </w:rPr>
      </w:pPr>
      <w:r>
        <w:rPr>
          <w:rFonts w:ascii="Arial" w:cs="Arial" w:eastAsia="Arial" w:hAnsi="Arial"/>
          <w:sz w:val="20"/>
          <w:szCs w:val="20"/>
          <w:color w:val="auto"/>
        </w:rPr>
        <w:t>Schedule 7.02</w:t>
      </w:r>
      <w:r>
        <w:rPr>
          <w:sz w:val="20"/>
          <w:szCs w:val="20"/>
          <w:color w:val="auto"/>
        </w:rPr>
        <w:tab/>
      </w:r>
      <w:r>
        <w:rPr>
          <w:rFonts w:ascii="Arial" w:cs="Arial" w:eastAsia="Arial" w:hAnsi="Arial"/>
          <w:sz w:val="16"/>
          <w:szCs w:val="16"/>
          <w:color w:val="auto"/>
        </w:rPr>
        <w:t>Existing Subsidiary Indebtedness</w:t>
      </w:r>
    </w:p>
    <w:p>
      <w:pPr>
        <w:spacing w:after="0"/>
        <w:tabs>
          <w:tab w:leader="none" w:pos="1400" w:val="left"/>
        </w:tabs>
        <w:rPr>
          <w:sz w:val="20"/>
          <w:szCs w:val="20"/>
          <w:color w:val="auto"/>
        </w:rPr>
      </w:pPr>
      <w:r>
        <w:rPr>
          <w:rFonts w:ascii="Arial" w:cs="Arial" w:eastAsia="Arial" w:hAnsi="Arial"/>
          <w:sz w:val="20"/>
          <w:szCs w:val="20"/>
          <w:color w:val="auto"/>
        </w:rPr>
        <w:t>Schedule 11.06</w:t>
      </w:r>
      <w:r>
        <w:rPr>
          <w:sz w:val="20"/>
          <w:szCs w:val="20"/>
          <w:color w:val="auto"/>
        </w:rPr>
        <w:tab/>
      </w:r>
      <w:r>
        <w:rPr>
          <w:rFonts w:ascii="Arial" w:cs="Arial" w:eastAsia="Arial" w:hAnsi="Arial"/>
          <w:sz w:val="19"/>
          <w:szCs w:val="19"/>
          <w:color w:val="auto"/>
        </w:rPr>
        <w:t>DQ List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PREPARED SCHEDULES</w:t>
      </w:r>
    </w:p>
    <w:p>
      <w:pPr>
        <w:spacing w:after="0" w:line="150"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Schedule 1.01(a)</w:t>
      </w:r>
      <w:r>
        <w:rPr>
          <w:sz w:val="20"/>
          <w:szCs w:val="20"/>
          <w:color w:val="auto"/>
        </w:rPr>
        <w:tab/>
      </w:r>
      <w:r>
        <w:rPr>
          <w:rFonts w:ascii="Arial" w:cs="Arial" w:eastAsia="Arial" w:hAnsi="Arial"/>
          <w:sz w:val="16"/>
          <w:szCs w:val="16"/>
          <w:color w:val="auto"/>
        </w:rPr>
        <w:t>Certain Addresses for Notices</w:t>
      </w:r>
    </w:p>
    <w:p>
      <w:pPr>
        <w:ind w:right="4339"/>
        <w:spacing w:after="0" w:line="197" w:lineRule="auto"/>
        <w:rPr>
          <w:sz w:val="20"/>
          <w:szCs w:val="20"/>
          <w:color w:val="auto"/>
        </w:rPr>
      </w:pPr>
      <w:r>
        <w:rPr>
          <w:rFonts w:ascii="Arial" w:cs="Arial" w:eastAsia="Arial" w:hAnsi="Arial"/>
          <w:sz w:val="20"/>
          <w:szCs w:val="20"/>
          <w:color w:val="auto"/>
        </w:rPr>
        <w:t>Schedule 1.01(b) Revolving Commitments and Applicable Percentages Schedule 1.01(c) Existing Letters of Credit</w:t>
      </w:r>
    </w:p>
    <w:p>
      <w:pPr>
        <w:spacing w:after="0"/>
        <w:tabs>
          <w:tab w:leader="none" w:pos="1540" w:val="left"/>
        </w:tabs>
        <w:rPr>
          <w:sz w:val="20"/>
          <w:szCs w:val="20"/>
          <w:color w:val="auto"/>
        </w:rPr>
      </w:pPr>
      <w:r>
        <w:rPr>
          <w:rFonts w:ascii="Arial" w:cs="Arial" w:eastAsia="Arial" w:hAnsi="Arial"/>
          <w:sz w:val="20"/>
          <w:szCs w:val="20"/>
          <w:color w:val="auto"/>
        </w:rPr>
        <w:t>Schedule 1.01(d)</w:t>
      </w:r>
      <w:r>
        <w:rPr>
          <w:sz w:val="20"/>
          <w:szCs w:val="20"/>
          <w:color w:val="auto"/>
        </w:rPr>
        <w:tab/>
      </w:r>
      <w:r>
        <w:rPr>
          <w:rFonts w:ascii="Arial" w:cs="Arial" w:eastAsia="Arial" w:hAnsi="Arial"/>
          <w:sz w:val="18"/>
          <w:szCs w:val="18"/>
          <w:color w:val="auto"/>
        </w:rPr>
        <w:t>UK Qualifying Lender Confirmation and UK DTTP Scheme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[Reserved]</w:t>
      </w:r>
    </w:p>
    <w:p>
      <w:pPr>
        <w:spacing w:after="0" w:line="219" w:lineRule="auto"/>
        <w:tabs>
          <w:tab w:leader="none" w:pos="9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Assignment and Assumption</w:t>
      </w:r>
    </w:p>
    <w:p>
      <w:pPr>
        <w:spacing w:after="0" w:line="219" w:lineRule="auto"/>
        <w:tabs>
          <w:tab w:leader="none" w:pos="94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Compliance Certificate</w:t>
      </w:r>
    </w:p>
    <w:p>
      <w:pPr>
        <w:spacing w:after="0" w:line="219" w:lineRule="auto"/>
        <w:tabs>
          <w:tab w:leader="none" w:pos="96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Form of Joinder Agreement</w:t>
      </w:r>
    </w:p>
    <w:p>
      <w:pPr>
        <w:spacing w:after="0" w:line="219" w:lineRule="auto"/>
        <w:tabs>
          <w:tab w:leader="none" w:pos="94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Form of Loan Notice</w:t>
      </w:r>
    </w:p>
    <w:p>
      <w:pPr>
        <w:spacing w:after="0" w:line="219" w:lineRule="auto"/>
        <w:tabs>
          <w:tab w:leader="none" w:pos="92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8"/>
          <w:szCs w:val="18"/>
          <w:color w:val="auto"/>
        </w:rPr>
        <w:t>Form of Revolving Note</w:t>
      </w:r>
    </w:p>
    <w:p>
      <w:pPr>
        <w:spacing w:after="0" w:line="219" w:lineRule="auto"/>
        <w:tabs>
          <w:tab w:leader="none" w:pos="96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8"/>
          <w:szCs w:val="18"/>
          <w:color w:val="auto"/>
        </w:rPr>
        <w:t>Form of Guaranteed Party Designation Notice</w:t>
      </w:r>
    </w:p>
    <w:p>
      <w:pPr>
        <w:spacing w:after="0" w:line="220" w:lineRule="auto"/>
        <w:tabs>
          <w:tab w:leader="none" w:pos="96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8"/>
          <w:szCs w:val="18"/>
          <w:color w:val="auto"/>
        </w:rPr>
        <w:t>Form of Swingline Loan Notice</w:t>
      </w:r>
    </w:p>
    <w:p>
      <w:pPr>
        <w:spacing w:after="0" w:line="219" w:lineRule="auto"/>
        <w:tabs>
          <w:tab w:leader="none" w:pos="88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8"/>
          <w:szCs w:val="18"/>
          <w:color w:val="auto"/>
        </w:rPr>
        <w:t>Forms of U.S. Tax Compliance Certificates</w:t>
      </w:r>
    </w:p>
    <w:p>
      <w:pPr>
        <w:spacing w:after="0"/>
        <w:tabs>
          <w:tab w:leader="none" w:pos="900" w:val="left"/>
        </w:tabs>
        <w:rPr>
          <w:sz w:val="20"/>
          <w:szCs w:val="20"/>
          <w:color w:val="auto"/>
        </w:rPr>
      </w:pPr>
      <w:r>
        <w:rPr>
          <w:rFonts w:ascii="Arial" w:cs="Arial" w:eastAsia="Arial" w:hAnsi="Arial"/>
          <w:sz w:val="20"/>
          <w:szCs w:val="20"/>
          <w:color w:val="auto"/>
        </w:rPr>
        <w:t>Exhibit J</w:t>
      </w:r>
      <w:r>
        <w:rPr>
          <w:sz w:val="20"/>
          <w:szCs w:val="20"/>
          <w:color w:val="auto"/>
        </w:rPr>
        <w:tab/>
      </w:r>
      <w:r>
        <w:rPr>
          <w:rFonts w:ascii="Arial" w:cs="Arial" w:eastAsia="Arial" w:hAnsi="Arial"/>
          <w:sz w:val="16"/>
          <w:szCs w:val="16"/>
          <w:color w:val="auto"/>
        </w:rPr>
        <w:t>[Reserved]</w:t>
      </w:r>
    </w:p>
    <w:p>
      <w:pPr>
        <w:spacing w:after="0" w:line="219" w:lineRule="auto"/>
        <w:tabs>
          <w:tab w:leader="none" w:pos="96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8"/>
          <w:szCs w:val="18"/>
          <w:color w:val="auto"/>
        </w:rPr>
        <w:t>Form of Notice of Loan Prepayment</w:t>
      </w:r>
    </w:p>
    <w:p>
      <w:pPr>
        <w:spacing w:after="0" w:line="219" w:lineRule="auto"/>
        <w:tabs>
          <w:tab w:leader="none" w:pos="940" w:val="left"/>
        </w:tabs>
        <w:rPr>
          <w:sz w:val="20"/>
          <w:szCs w:val="20"/>
          <w:color w:val="auto"/>
        </w:rPr>
      </w:pPr>
      <w:r>
        <w:rPr>
          <w:rFonts w:ascii="Arial" w:cs="Arial" w:eastAsia="Arial" w:hAnsi="Arial"/>
          <w:sz w:val="20"/>
          <w:szCs w:val="20"/>
          <w:color w:val="auto"/>
        </w:rPr>
        <w:t>Exhibit L</w:t>
      </w:r>
      <w:r>
        <w:rPr>
          <w:sz w:val="20"/>
          <w:szCs w:val="20"/>
          <w:color w:val="auto"/>
        </w:rPr>
        <w:tab/>
      </w:r>
      <w:r>
        <w:rPr>
          <w:rFonts w:ascii="Arial" w:cs="Arial" w:eastAsia="Arial" w:hAnsi="Arial"/>
          <w:sz w:val="18"/>
          <w:szCs w:val="18"/>
          <w:color w:val="auto"/>
        </w:rPr>
        <w:t>Form of Letter of Credit Report</w:t>
      </w:r>
    </w:p>
    <w:p>
      <w:pPr>
        <w:spacing w:after="0" w:line="219" w:lineRule="auto"/>
        <w:tabs>
          <w:tab w:leader="none" w:pos="1000" w:val="left"/>
        </w:tabs>
        <w:rPr>
          <w:sz w:val="20"/>
          <w:szCs w:val="20"/>
          <w:color w:val="auto"/>
        </w:rPr>
      </w:pPr>
      <w:r>
        <w:rPr>
          <w:rFonts w:ascii="Arial" w:cs="Arial" w:eastAsia="Arial" w:hAnsi="Arial"/>
          <w:sz w:val="20"/>
          <w:szCs w:val="20"/>
          <w:color w:val="auto"/>
        </w:rPr>
        <w:t>Exhibit M</w:t>
      </w:r>
      <w:r>
        <w:rPr>
          <w:sz w:val="20"/>
          <w:szCs w:val="20"/>
          <w:color w:val="auto"/>
        </w:rPr>
        <w:tab/>
      </w:r>
      <w:r>
        <w:rPr>
          <w:rFonts w:ascii="Arial" w:cs="Arial" w:eastAsia="Arial" w:hAnsi="Arial"/>
          <w:sz w:val="18"/>
          <w:szCs w:val="18"/>
          <w:color w:val="auto"/>
        </w:rPr>
        <w:t>Form of Notice of Additional L/C Issuer</w:t>
      </w:r>
    </w:p>
    <w:p>
      <w:pPr>
        <w:spacing w:after="0" w:line="1" w:lineRule="exact"/>
        <w:rPr>
          <w:sz w:val="20"/>
          <w:szCs w:val="20"/>
          <w:color w:val="auto"/>
        </w:rPr>
      </w:pPr>
    </w:p>
    <w:p>
      <w:pPr>
        <w:ind w:right="3139"/>
        <w:spacing w:after="0" w:line="220" w:lineRule="auto"/>
        <w:rPr>
          <w:sz w:val="20"/>
          <w:szCs w:val="20"/>
          <w:color w:val="auto"/>
        </w:rPr>
      </w:pPr>
      <w:r>
        <w:rPr>
          <w:rFonts w:ascii="Arial" w:cs="Arial" w:eastAsia="Arial" w:hAnsi="Arial"/>
          <w:sz w:val="20"/>
          <w:szCs w:val="20"/>
          <w:color w:val="auto"/>
        </w:rPr>
        <w:t>Exhibit N Form of Designated Foreign Borrower Request and Assumption Agreement Exhibit O Form of Designated Foreign Borrower Notice</w:t>
      </w:r>
    </w:p>
    <w:p>
      <w:pPr>
        <w:sectPr>
          <w:pgSz w:w="11900" w:h="16838" w:orient="portrait"/>
          <w:cols w:equalWidth="0" w:num="1">
            <w:col w:w="10139"/>
          </w:cols>
          <w:pgMar w:left="320" w:top="1405"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CREDIT AGREEMENT</w:t>
      </w:r>
      <w:r>
        <w:rPr>
          <w:rFonts w:ascii="Arial" w:cs="Arial" w:eastAsia="Arial" w:hAnsi="Arial"/>
          <w:sz w:val="18"/>
          <w:szCs w:val="18"/>
          <w:color w:val="auto"/>
        </w:rPr>
        <w:t xml:space="preserve"> is entered into as of July 1, 2022, among </w:t>
      </w:r>
      <w:r>
        <w:rPr>
          <w:rFonts w:ascii="Arial" w:cs="Arial" w:eastAsia="Arial" w:hAnsi="Arial"/>
          <w:sz w:val="18"/>
          <w:szCs w:val="18"/>
          <w:b w:val="1"/>
          <w:bCs w:val="1"/>
          <w:color w:val="auto"/>
        </w:rPr>
        <w:t>VERTEX PHARMACEUTICALS INCORPORATED</w:t>
      </w:r>
      <w:r>
        <w:rPr>
          <w:rFonts w:ascii="Arial" w:cs="Arial" w:eastAsia="Arial" w:hAnsi="Arial"/>
          <w:sz w:val="18"/>
          <w:szCs w:val="18"/>
          <w:color w:val="auto"/>
        </w:rPr>
        <w:t>, a Massachusetts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VERTEX PHARMACEUTICALS (EUROPE) LIMITED</w:t>
      </w:r>
      <w:r>
        <w:rPr>
          <w:rFonts w:ascii="Arial" w:cs="Arial" w:eastAsia="Arial" w:hAnsi="Arial"/>
          <w:sz w:val="18"/>
          <w:szCs w:val="18"/>
          <w:color w:val="auto"/>
        </w:rPr>
        <w:t>, a private limited company incorporated in England and Wales with registered number 02907620 (“</w:t>
      </w:r>
      <w:r>
        <w:rPr>
          <w:rFonts w:ascii="Arial" w:cs="Arial" w:eastAsia="Arial" w:hAnsi="Arial"/>
          <w:sz w:val="18"/>
          <w:szCs w:val="18"/>
          <w:u w:val="single" w:color="auto"/>
          <w:color w:val="auto"/>
        </w:rPr>
        <w:t>Vertex Europe</w:t>
      </w:r>
      <w:r>
        <w:rPr>
          <w:rFonts w:ascii="Arial" w:cs="Arial" w:eastAsia="Arial" w:hAnsi="Arial"/>
          <w:sz w:val="18"/>
          <w:szCs w:val="18"/>
          <w:color w:val="auto"/>
        </w:rPr>
        <w:t xml:space="preserve">”), </w:t>
      </w:r>
      <w:r>
        <w:rPr>
          <w:rFonts w:ascii="Arial" w:cs="Arial" w:eastAsia="Arial" w:hAnsi="Arial"/>
          <w:sz w:val="18"/>
          <w:szCs w:val="18"/>
          <w:b w:val="1"/>
          <w:bCs w:val="1"/>
          <w:color w:val="auto"/>
        </w:rPr>
        <w:t>VERTEX PHARMACEUTICALS (IRELAND)</w:t>
      </w:r>
      <w:r>
        <w:rPr>
          <w:rFonts w:ascii="Arial" w:cs="Arial" w:eastAsia="Arial" w:hAnsi="Arial"/>
          <w:sz w:val="18"/>
          <w:szCs w:val="18"/>
          <w:color w:val="auto"/>
        </w:rPr>
        <w:t xml:space="preserve"> </w:t>
      </w:r>
      <w:r>
        <w:rPr>
          <w:rFonts w:ascii="Arial" w:cs="Arial" w:eastAsia="Arial" w:hAnsi="Arial"/>
          <w:sz w:val="18"/>
          <w:szCs w:val="18"/>
          <w:b w:val="1"/>
          <w:bCs w:val="1"/>
          <w:color w:val="auto"/>
        </w:rPr>
        <w:t>LIMITED</w:t>
      </w:r>
      <w:r>
        <w:rPr>
          <w:rFonts w:ascii="Arial" w:cs="Arial" w:eastAsia="Arial" w:hAnsi="Arial"/>
          <w:sz w:val="18"/>
          <w:szCs w:val="18"/>
          <w:color w:val="auto"/>
        </w:rPr>
        <w:t>, a private company limited by shares incorporated and existing under the laws of Ireland and registered with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502558 (“</w:t>
      </w:r>
      <w:r>
        <w:rPr>
          <w:rFonts w:ascii="Arial" w:cs="Arial" w:eastAsia="Arial" w:hAnsi="Arial"/>
          <w:sz w:val="18"/>
          <w:szCs w:val="18"/>
          <w:u w:val="single" w:color="auto"/>
          <w:color w:val="auto"/>
        </w:rPr>
        <w:t>Vertex Ireland</w:t>
      </w:r>
      <w:r>
        <w:rPr>
          <w:rFonts w:ascii="Arial" w:cs="Arial" w:eastAsia="Arial" w:hAnsi="Arial"/>
          <w:sz w:val="18"/>
          <w:szCs w:val="18"/>
          <w:color w:val="auto"/>
        </w:rPr>
        <w:t xml:space="preserve">”), any other Foreign Subsidiaries of the Company party hereto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(together with Vertex Europe and Vertex Ireland, collectively, the “</w:t>
      </w:r>
      <w:r>
        <w:rPr>
          <w:rFonts w:ascii="Arial" w:cs="Arial" w:eastAsia="Arial" w:hAnsi="Arial"/>
          <w:sz w:val="18"/>
          <w:szCs w:val="18"/>
          <w:u w:val="single" w:color="auto"/>
          <w:color w:val="auto"/>
        </w:rPr>
        <w:t>Designated Foreign 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Designated Foreign Borrower</w:t>
      </w:r>
      <w:r>
        <w:rPr>
          <w:rFonts w:ascii="Arial" w:cs="Arial" w:eastAsia="Arial" w:hAnsi="Arial"/>
          <w:sz w:val="18"/>
          <w:szCs w:val="18"/>
          <w:color w:val="auto"/>
        </w:rPr>
        <w:t>”; the Designated Foreign Borrowers, together with the Company,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the Subsidiaries of the Company as are or may from time to time become parties to this Agreement as Subsidiary Guarantors, the Lenders, </w:t>
      </w:r>
      <w:r>
        <w:rPr>
          <w:rFonts w:ascii="Arial" w:cs="Arial" w:eastAsia="Arial" w:hAnsi="Arial"/>
          <w:sz w:val="18"/>
          <w:szCs w:val="18"/>
          <w:b w:val="1"/>
          <w:bCs w:val="1"/>
          <w:color w:val="auto"/>
        </w:rPr>
        <w:t>BANK OF AMERICA, N.A.</w:t>
      </w:r>
      <w:r>
        <w:rPr>
          <w:rFonts w:ascii="Arial" w:cs="Arial" w:eastAsia="Arial" w:hAnsi="Arial"/>
          <w:sz w:val="18"/>
          <w:szCs w:val="18"/>
          <w:color w:val="auto"/>
        </w:rPr>
        <w:t>, as the Administrative Agent, the Swingline Lender and an L/C Issuer, and the other L/C Issuers party thereto.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Borrowers have requested that the Lenders, the Swingline Lender and the L/C Issuers make loans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accommodations to the Borrowers in an aggregate amount of $500,000,000, in the form of a revolving credit facility.</w:t>
      </w:r>
    </w:p>
    <w:p>
      <w:pPr>
        <w:spacing w:after="0" w:line="14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the Swingline Lender and the L/C Issuers have agreed to make such loans and other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accommodations to the Borrowers on the terms and subject to the conditions set forth herein.</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 contained, the parties hereto covenant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3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w:t>
      </w:r>
    </w:p>
    <w:p>
      <w:pPr>
        <w:ind w:left="3640"/>
        <w:spacing w:after="0"/>
        <w:rPr>
          <w:sz w:val="20"/>
          <w:szCs w:val="20"/>
          <w:color w:val="auto"/>
        </w:rPr>
      </w:pPr>
      <w:r>
        <w:rPr>
          <w:rFonts w:ascii="Arial" w:cs="Arial" w:eastAsia="Arial" w:hAnsi="Arial"/>
          <w:sz w:val="20"/>
          <w:szCs w:val="20"/>
          <w:b w:val="1"/>
          <w:bCs w:val="1"/>
          <w:color w:val="auto"/>
        </w:rPr>
        <w:t>DEFINITIONS AND ACCOUNTING TERMS</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u w:val="single" w:color="auto"/>
          <w:color w:val="auto"/>
        </w:rPr>
        <w:t>Defined Terms</w:t>
      </w:r>
      <w:r>
        <w:rPr>
          <w:rFonts w:ascii="Arial" w:cs="Arial" w:eastAsia="Arial" w:hAnsi="Arial"/>
          <w:sz w:val="16"/>
          <w:szCs w:val="16"/>
          <w:b w:val="1"/>
          <w:bCs w:val="1"/>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2020 Credit Agreement</w:t>
      </w:r>
      <w:r>
        <w:rPr>
          <w:rFonts w:ascii="Arial" w:cs="Arial" w:eastAsia="Arial" w:hAnsi="Arial"/>
          <w:sz w:val="20"/>
          <w:szCs w:val="20"/>
          <w:color w:val="auto"/>
        </w:rPr>
        <w:t>” means that certain Credit Agreement, dated as of September 18, 2020, among the Company, certain Subsidiaries of the Company from time to time party thereto as co-borrower and/or guarantors, the lenders from time to time party thereto and Bank of America as administrative agent and swingline lender thereunder.</w:t>
      </w:r>
    </w:p>
    <w:p>
      <w:pPr>
        <w:spacing w:after="0" w:line="15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Commitment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Obligations</w:t>
      </w:r>
      <w:r>
        <w:rPr>
          <w:rFonts w:ascii="Arial" w:cs="Arial" w:eastAsia="Arial" w:hAnsi="Arial"/>
          <w:sz w:val="19"/>
          <w:szCs w:val="19"/>
          <w:color w:val="auto"/>
        </w:rPr>
        <w:t>” means (a) all obligations arising under Guaranteed Cash Management Agreements and Guaranteed Hedge Agreements and (b) all costs and expenses incurred in connection with enforcement and collection of the foregoing,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9" w:right="339" w:bottom="1440" w:gutter="0" w:footer="0" w:header="0"/>
        </w:sectPr>
      </w:pPr>
    </w:p>
    <w:bookmarkStart w:id="46" w:name="page47"/>
    <w:bookmarkEnd w:id="46"/>
    <w:p>
      <w:pPr>
        <w:jc w:val="both"/>
        <w:spacing w:after="0" w:line="221" w:lineRule="auto"/>
        <w:rPr>
          <w:sz w:val="20"/>
          <w:szCs w:val="20"/>
          <w:color w:val="auto"/>
        </w:rPr>
      </w:pPr>
      <w:r>
        <w:rPr>
          <w:rFonts w:ascii="Arial" w:cs="Arial" w:eastAsia="Arial" w:hAnsi="Arial"/>
          <w:sz w:val="19"/>
          <w:szCs w:val="19"/>
          <w:color w:val="auto"/>
        </w:rPr>
        <w:t xml:space="preserve">debtor in such proceeding, regardless of whether such interest, expenses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Additional Obligations shall be guaranteed pursuant to the Guaranty only until such time as the Guaranty terminates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w:t>
      </w:r>
      <w:r>
        <w:rPr>
          <w:rFonts w:ascii="Arial" w:cs="Arial" w:eastAsia="Arial" w:hAnsi="Arial"/>
          <w:sz w:val="19"/>
          <w:szCs w:val="19"/>
          <w:color w:val="auto"/>
        </w:rPr>
        <w:t xml:space="preserve"> and (ii) any release of Guarantors and/or Designated Foreign Borrowers shall not require the consent of holders of obligations under any Guaranteed Cash Management Agreements or any Guaranteed Hedge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Additional Obligations of a Loan Party shall exclude any Excluded Swap Obligations with respect to such Loan Party.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Consolidated Leverage Ratio</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(or any of its designated branch offices or affiliates), in its capacity as administrative agent under any of the Loan Documents, or any successor administrative agent.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the Company and the Lenders.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approved by the Administrative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11.02(c)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Commitments</w:t>
      </w:r>
      <w:r>
        <w:rPr>
          <w:rFonts w:ascii="Arial" w:cs="Arial" w:eastAsia="Arial" w:hAnsi="Arial"/>
          <w:sz w:val="20"/>
          <w:szCs w:val="20"/>
          <w:color w:val="auto"/>
        </w:rPr>
        <w:t>” means, as of any date of determination, the Revolving Commitments of all the Lenders as of such date.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11.23</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the following currencies: Australian Dollars, Canadian Dollars, Euro, Sterling, and Swiss Francs, together with each other currency (other than Dollars) that is approved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Daily Rate</w:t>
      </w:r>
      <w:r>
        <w:rPr>
          <w:rFonts w:ascii="Arial" w:cs="Arial" w:eastAsia="Arial" w:hAnsi="Arial"/>
          <w:sz w:val="18"/>
          <w:szCs w:val="18"/>
          <w:color w:val="auto"/>
        </w:rPr>
        <w:t xml:space="preserve">” means, for any day, with respect to any Revolving Loan: (a) denominated in Sterling, the rate per annum equal to SONIA determined pursuant to the definition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SONIA Adjustment; (b) denominated in Swiss Francs, the rate per annum equal to SARON determined pursuant to the definition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SARON Adjustment; and (c) denominated in any other Alternative Currency (to the extent such Revolving Loan denominated in such currency will bear interest at a daily rate), the daily rate per annum as designated with respect to such Alternative Currency at the time such Alternative Currency is approved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plus the adjustment (if any) determined by the Administrative Agent and the Lenders pursuant to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Alternative Currency Daily Rate shall be less than zero, such rate shall be deemed to be zero for purposes of this Agreement. Any change in an Alternative Currency Daily Rate shall be effective from and including the date of such change without further notice.</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Daily Rate Loan</w:t>
      </w:r>
      <w:r>
        <w:rPr>
          <w:rFonts w:ascii="Arial" w:cs="Arial" w:eastAsia="Arial" w:hAnsi="Arial"/>
          <w:sz w:val="20"/>
          <w:szCs w:val="20"/>
          <w:color w:val="auto"/>
        </w:rPr>
        <w:t>” means a Revolving Loan that bears interest at a rate based on the definition of “Alternative Currency Daily Rate”. All Alternative Currency Daily Rate Loans must be denominated in an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05" w:right="339" w:bottom="1440" w:gutter="0" w:footer="0" w:header="0"/>
        </w:sectPr>
      </w:pPr>
    </w:p>
    <w:bookmarkStart w:id="47" w:name="page48"/>
    <w:bookmarkEnd w:id="47"/>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Administrative Agent or Alternative Currency L/C Issuer, as the case may be, at such time on the basis of the Spot Rate (determined in respect of the most recent Revaluation Date) for the purchase of such Alternative Currency with Dollars.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L/C Issuer</w:t>
      </w:r>
      <w:r>
        <w:rPr>
          <w:rFonts w:ascii="Arial" w:cs="Arial" w:eastAsia="Arial" w:hAnsi="Arial"/>
          <w:sz w:val="20"/>
          <w:szCs w:val="20"/>
          <w:color w:val="auto"/>
        </w:rPr>
        <w:t>” means Bank of America (or any of its designated branch offices or affiliates), in its capacity as an L/C Issuer hereunder.</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Loan</w:t>
      </w:r>
      <w:r>
        <w:rPr>
          <w:rFonts w:ascii="Arial" w:cs="Arial" w:eastAsia="Arial" w:hAnsi="Arial"/>
          <w:sz w:val="20"/>
          <w:szCs w:val="20"/>
          <w:color w:val="auto"/>
        </w:rPr>
        <w:t>” means an Alternative Currency Daily Rate Loan or an Alternative Currency Term Rate Loan, as applicable.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Sublimit</w:t>
      </w:r>
      <w:r>
        <w:rPr>
          <w:rFonts w:ascii="Arial" w:cs="Arial" w:eastAsia="Arial" w:hAnsi="Arial"/>
          <w:sz w:val="20"/>
          <w:szCs w:val="20"/>
          <w:color w:val="auto"/>
        </w:rPr>
        <w:t>” means, as of any date of determination, an amount equal to the lesser of (a) $100,000,000 and (b) the amount of the Revolving Facility as of such date. The Alternative Currency Sublimit is part of, and not in addition to, the Revolving Facility.</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w:t>
      </w:r>
      <w:r>
        <w:rPr>
          <w:rFonts w:ascii="Arial" w:cs="Arial" w:eastAsia="Arial" w:hAnsi="Arial"/>
          <w:sz w:val="18"/>
          <w:szCs w:val="18"/>
          <w:color w:val="auto"/>
        </w:rPr>
        <w:t>” means, for any Interest Period, with respect to any Revolving Loan: (a) denominated in Euros, the rate per annum equal to the Euro Interbank Offered Rate (“</w:t>
      </w:r>
      <w:r>
        <w:rPr>
          <w:rFonts w:ascii="Arial" w:cs="Arial" w:eastAsia="Arial" w:hAnsi="Arial"/>
          <w:sz w:val="18"/>
          <w:szCs w:val="18"/>
          <w:u w:val="single" w:color="auto"/>
          <w:color w:val="auto"/>
        </w:rPr>
        <w:t>EURIBOR</w:t>
      </w:r>
      <w:r>
        <w:rPr>
          <w:rFonts w:ascii="Arial" w:cs="Arial" w:eastAsia="Arial" w:hAnsi="Arial"/>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(b) denominated in Canadian Dollars, the rate per annum equal to the Canadian Dollar Offered Rate (“</w:t>
      </w:r>
      <w:r>
        <w:rPr>
          <w:rFonts w:ascii="Arial" w:cs="Arial" w:eastAsia="Arial" w:hAnsi="Arial"/>
          <w:sz w:val="18"/>
          <w:szCs w:val="18"/>
          <w:u w:val="single" w:color="auto"/>
          <w:color w:val="auto"/>
        </w:rPr>
        <w:t>CDOR</w:t>
      </w:r>
      <w:r>
        <w:rPr>
          <w:rFonts w:ascii="Arial" w:cs="Arial" w:eastAsia="Arial" w:hAnsi="Arial"/>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(c) denominated in Australian Dollars, the rate per annum equal to the Bank Bill Swap Reference Bid Rate (“</w:t>
      </w:r>
      <w:r>
        <w:rPr>
          <w:rFonts w:ascii="Arial" w:cs="Arial" w:eastAsia="Arial" w:hAnsi="Arial"/>
          <w:sz w:val="18"/>
          <w:szCs w:val="18"/>
          <w:u w:val="single" w:color="auto"/>
          <w:color w:val="auto"/>
        </w:rPr>
        <w:t>BBSY</w:t>
      </w:r>
      <w:r>
        <w:rPr>
          <w:rFonts w:ascii="Arial" w:cs="Arial" w:eastAsia="Arial" w:hAnsi="Arial"/>
          <w:sz w:val="18"/>
          <w:szCs w:val="18"/>
          <w:color w:val="auto"/>
        </w:rPr>
        <w:t xml:space="preserve">”), as published on the applicable Reuters screen page (or such other commercially available source providing such quotations as may be designated by the Administrative Agent from time to time) on the Rate Determination Date with a term equivalent to such Interest Period; and (d) denominated in any other Alternative Currency (to the extent such Revolving Loan denominated in such currency will bear interest at a term rate), the term rate per annum as designated with respect to such Alternative Currency at the time such Alternative Currency is approved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adjustment (if any) determined by the Administrative Agent and the Lenders pursuant to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Alternative Currency Term Rate shall be less than zero, such rate shall be deemed to be zero for purposes of this Agreement.</w:t>
      </w:r>
    </w:p>
    <w:p>
      <w:pPr>
        <w:spacing w:after="0" w:line="15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Term Rate Loan</w:t>
      </w:r>
      <w:r>
        <w:rPr>
          <w:rFonts w:ascii="Arial" w:cs="Arial" w:eastAsia="Arial" w:hAnsi="Arial"/>
          <w:sz w:val="20"/>
          <w:szCs w:val="20"/>
          <w:color w:val="auto"/>
        </w:rPr>
        <w:t>” means a Revolving Loan that bears interest at a rate based on the definition of “Alternative Currency Term Rate”. All Alternative Currency Term Rate Loans must be denominated in an Alternative Currency.</w:t>
      </w:r>
    </w:p>
    <w:p>
      <w:pPr>
        <w:spacing w:after="0" w:line="155"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Authority</w:t>
      </w:r>
      <w:r>
        <w:rPr>
          <w:rFonts w:ascii="Arial" w:cs="Arial" w:eastAsia="Arial" w:hAnsi="Arial"/>
          <w:sz w:val="19"/>
          <w:szCs w:val="19"/>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Designated Foreign Borrower Documents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5.23(a)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Revolving Lender at any time, the percentage (carried out to the ninth decimal place) of the Revolving Facility represented by such Revolving Lender’s Revolving Commitment at such time,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If the Revolving Commitments of all of the Revolving Lenders to make Revolving Loans and the obligations of the L/C Issuers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Revolving Facility has expired, then the Applicable Percentage of each Revolving Lender shall be determined based on the Applicable Percentage of such Revolving Lender most recently in effect, giving effect to any subsequent assignments. The Applicable Percentage of each Revolving Lender is set forth opposite the name of such Revolving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as of the Closing Date (and as automatically updated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2.19</w:t>
      </w:r>
      <w:r>
        <w:rPr>
          <w:rFonts w:ascii="Arial" w:cs="Arial" w:eastAsia="Arial" w:hAnsi="Arial"/>
          <w:sz w:val="18"/>
          <w:szCs w:val="18"/>
          <w:color w:val="auto"/>
        </w:rPr>
        <w:t>) or in the Assignment and Assumption pursuant to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05" w:right="339" w:bottom="1440" w:gutter="0" w:footer="0" w:header="0"/>
        </w:sectPr>
      </w:pPr>
    </w:p>
    <w:bookmarkStart w:id="48" w:name="page49"/>
    <w:bookmarkEnd w:id="48"/>
    <w:p>
      <w:pPr>
        <w:jc w:val="both"/>
        <w:ind w:right="40"/>
        <w:spacing w:after="0" w:line="229" w:lineRule="auto"/>
        <w:rPr>
          <w:sz w:val="20"/>
          <w:szCs w:val="20"/>
          <w:color w:val="auto"/>
        </w:rPr>
      </w:pPr>
      <w:r>
        <w:rPr>
          <w:rFonts w:ascii="Arial" w:cs="Arial" w:eastAsia="Arial" w:hAnsi="Arial"/>
          <w:sz w:val="20"/>
          <w:szCs w:val="20"/>
          <w:color w:val="auto"/>
        </w:rPr>
        <w:t xml:space="preserve">Revolving Lender becomes a party hereto or in any documentation executed by such Revolving Lender pursuant to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2.19</w:t>
      </w:r>
      <w:r>
        <w:rPr>
          <w:rFonts w:ascii="Arial" w:cs="Arial" w:eastAsia="Arial" w:hAnsi="Arial"/>
          <w:sz w:val="20"/>
          <w:szCs w:val="20"/>
          <w:color w:val="auto"/>
        </w:rPr>
        <w:t>.</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with respect to Revolving Loans, Swingline Loans, the Letter of Credit Fee and the commitment fee, (a) from the Closing Date until the first Business Day immediately following the date a Compliance Certificate is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6.02(a)</w:t>
      </w:r>
      <w:r>
        <w:rPr>
          <w:rFonts w:ascii="Arial" w:cs="Arial" w:eastAsia="Arial" w:hAnsi="Arial"/>
          <w:sz w:val="18"/>
          <w:szCs w:val="18"/>
          <w:color w:val="auto"/>
        </w:rPr>
        <w:t xml:space="preserve"> for the fiscal quarter of the Company ending September 30, 2022, the percentages per annum set forth in the table below based upon Pricing Level I, and (b) thereafter, for any day, the percentages per annum set forth in the table below determined by reference to the numerically lower of (i) the Pricing Level corresponding to the Debt Ratings as in effect on such day, and (ii) the Pricing Level corresponding to the Consolidated Leverage Ratio as of the last day of the most recently ended fiscal quarter of the Company,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on or prior to such day:</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20" w:type="dxa"/>
            <w:vAlign w:val="bottom"/>
            <w:tcBorders>
              <w:top w:val="single" w:sz="8" w:color="auto"/>
              <w:left w:val="single" w:sz="8" w:color="auto"/>
            </w:tcBorders>
            <w:shd w:val="clear" w:color="auto" w:fill="D9D9D9"/>
          </w:tcPr>
          <w:p>
            <w:pPr>
              <w:spacing w:after="0"/>
              <w:rPr>
                <w:sz w:val="17"/>
                <w:szCs w:val="17"/>
                <w:color w:val="auto"/>
              </w:rPr>
            </w:pPr>
          </w:p>
        </w:tc>
        <w:tc>
          <w:tcPr>
            <w:tcW w:w="60" w:type="dxa"/>
            <w:vAlign w:val="bottom"/>
            <w:tcBorders>
              <w:top w:val="single" w:sz="8" w:color="auto"/>
            </w:tcBorders>
            <w:shd w:val="clear" w:color="auto" w:fill="D9D9D9"/>
          </w:tcPr>
          <w:p>
            <w:pPr>
              <w:spacing w:after="0"/>
              <w:rPr>
                <w:sz w:val="17"/>
                <w:szCs w:val="17"/>
                <w:color w:val="auto"/>
              </w:rPr>
            </w:pPr>
          </w:p>
        </w:tc>
        <w:tc>
          <w:tcPr>
            <w:tcW w:w="420" w:type="dxa"/>
            <w:vAlign w:val="bottom"/>
            <w:tcBorders>
              <w:top w:val="single" w:sz="8" w:color="auto"/>
            </w:tcBorders>
            <w:shd w:val="clear" w:color="auto" w:fill="D9D9D9"/>
          </w:tcPr>
          <w:p>
            <w:pPr>
              <w:spacing w:after="0"/>
              <w:rPr>
                <w:sz w:val="17"/>
                <w:szCs w:val="17"/>
                <w:color w:val="auto"/>
              </w:rPr>
            </w:pPr>
          </w:p>
        </w:tc>
        <w:tc>
          <w:tcPr>
            <w:tcW w:w="200" w:type="dxa"/>
            <w:vAlign w:val="bottom"/>
            <w:tcBorders>
              <w:top w:val="single" w:sz="8" w:color="auto"/>
            </w:tcBorders>
            <w:shd w:val="clear" w:color="auto" w:fill="D9D9D9"/>
          </w:tcPr>
          <w:p>
            <w:pPr>
              <w:spacing w:after="0"/>
              <w:rPr>
                <w:sz w:val="17"/>
                <w:szCs w:val="17"/>
                <w:color w:val="auto"/>
              </w:rPr>
            </w:pPr>
          </w:p>
        </w:tc>
        <w:tc>
          <w:tcPr>
            <w:tcW w:w="280" w:type="dxa"/>
            <w:vAlign w:val="bottom"/>
            <w:tcBorders>
              <w:top w:val="single" w:sz="8" w:color="auto"/>
              <w:right w:val="single" w:sz="8" w:color="auto"/>
            </w:tcBorders>
            <w:shd w:val="clear" w:color="auto" w:fill="D9D9D9"/>
          </w:tcPr>
          <w:p>
            <w:pPr>
              <w:spacing w:after="0"/>
              <w:rPr>
                <w:sz w:val="17"/>
                <w:szCs w:val="17"/>
                <w:color w:val="auto"/>
              </w:rPr>
            </w:pPr>
          </w:p>
        </w:tc>
        <w:tc>
          <w:tcPr>
            <w:tcW w:w="1520" w:type="dxa"/>
            <w:vAlign w:val="bottom"/>
            <w:tcBorders>
              <w:top w:val="single" w:sz="8" w:color="auto"/>
              <w:right w:val="single" w:sz="8" w:color="auto"/>
            </w:tcBorders>
            <w:shd w:val="clear" w:color="auto" w:fill="D9D9D9"/>
          </w:tcPr>
          <w:p>
            <w:pPr>
              <w:spacing w:after="0"/>
              <w:rPr>
                <w:sz w:val="17"/>
                <w:szCs w:val="17"/>
                <w:color w:val="auto"/>
              </w:rPr>
            </w:pPr>
          </w:p>
        </w:tc>
        <w:tc>
          <w:tcPr>
            <w:tcW w:w="360" w:type="dxa"/>
            <w:vAlign w:val="bottom"/>
            <w:tcBorders>
              <w:top w:val="single" w:sz="8" w:color="auto"/>
            </w:tcBorders>
            <w:shd w:val="clear" w:color="auto" w:fill="D9D9D9"/>
          </w:tcPr>
          <w:p>
            <w:pPr>
              <w:spacing w:after="0"/>
              <w:rPr>
                <w:sz w:val="17"/>
                <w:szCs w:val="17"/>
                <w:color w:val="auto"/>
              </w:rPr>
            </w:pPr>
          </w:p>
        </w:tc>
        <w:tc>
          <w:tcPr>
            <w:tcW w:w="120" w:type="dxa"/>
            <w:vAlign w:val="bottom"/>
            <w:tcBorders>
              <w:top w:val="single" w:sz="8" w:color="auto"/>
            </w:tcBorders>
            <w:shd w:val="clear" w:color="auto" w:fill="D9D9D9"/>
          </w:tcPr>
          <w:p>
            <w:pPr>
              <w:spacing w:after="0"/>
              <w:rPr>
                <w:sz w:val="17"/>
                <w:szCs w:val="17"/>
                <w:color w:val="auto"/>
              </w:rPr>
            </w:pPr>
          </w:p>
        </w:tc>
        <w:tc>
          <w:tcPr>
            <w:tcW w:w="60" w:type="dxa"/>
            <w:vAlign w:val="bottom"/>
            <w:tcBorders>
              <w:top w:val="single" w:sz="8" w:color="auto"/>
            </w:tcBorders>
            <w:shd w:val="clear" w:color="auto" w:fill="D9D9D9"/>
          </w:tcPr>
          <w:p>
            <w:pPr>
              <w:spacing w:after="0"/>
              <w:rPr>
                <w:sz w:val="17"/>
                <w:szCs w:val="17"/>
                <w:color w:val="auto"/>
              </w:rPr>
            </w:pPr>
          </w:p>
        </w:tc>
        <w:tc>
          <w:tcPr>
            <w:tcW w:w="120" w:type="dxa"/>
            <w:vAlign w:val="bottom"/>
            <w:tcBorders>
              <w:top w:val="single" w:sz="8" w:color="auto"/>
            </w:tcBorders>
            <w:shd w:val="clear" w:color="auto" w:fill="D9D9D9"/>
          </w:tcPr>
          <w:p>
            <w:pPr>
              <w:spacing w:after="0"/>
              <w:rPr>
                <w:sz w:val="17"/>
                <w:szCs w:val="17"/>
                <w:color w:val="auto"/>
              </w:rPr>
            </w:pPr>
          </w:p>
        </w:tc>
        <w:tc>
          <w:tcPr>
            <w:tcW w:w="1980" w:type="dxa"/>
            <w:vAlign w:val="bottom"/>
            <w:tcBorders>
              <w:top w:val="single" w:sz="8" w:color="auto"/>
              <w:right w:val="single" w:sz="8" w:color="auto"/>
            </w:tcBorders>
            <w:shd w:val="clear" w:color="auto" w:fill="D9D9D9"/>
          </w:tcPr>
          <w:p>
            <w:pPr>
              <w:spacing w:after="0"/>
              <w:rPr>
                <w:sz w:val="17"/>
                <w:szCs w:val="17"/>
                <w:color w:val="auto"/>
              </w:rPr>
            </w:pPr>
          </w:p>
        </w:tc>
        <w:tc>
          <w:tcPr>
            <w:tcW w:w="2440" w:type="dxa"/>
            <w:vAlign w:val="bottom"/>
            <w:tcBorders>
              <w:top w:val="single" w:sz="8" w:color="auto"/>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20"/>
                <w:szCs w:val="20"/>
                <w:b w:val="1"/>
                <w:bCs w:val="1"/>
                <w:color w:val="auto"/>
                <w:w w:val="92"/>
              </w:rPr>
              <w:t>Term SOFR Loans, SOFR</w:t>
            </w:r>
          </w:p>
        </w:tc>
        <w:tc>
          <w:tcPr>
            <w:tcW w:w="1680" w:type="dxa"/>
            <w:vAlign w:val="bottom"/>
            <w:tcBorders>
              <w:top w:val="single" w:sz="8" w:color="auto"/>
              <w:right w:val="single" w:sz="8" w:color="auto"/>
            </w:tcBorders>
            <w:shd w:val="clear" w:color="auto" w:fill="D9D9D9"/>
          </w:tcPr>
          <w:p>
            <w:pPr>
              <w:spacing w:after="0"/>
              <w:rPr>
                <w:sz w:val="17"/>
                <w:szCs w:val="17"/>
                <w:color w:val="auto"/>
              </w:rPr>
            </w:pPr>
          </w:p>
        </w:tc>
        <w:tc>
          <w:tcPr>
            <w:tcW w:w="170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right w:val="single" w:sz="8" w:color="auto"/>
            </w:tcBorders>
            <w:gridSpan w:val="5"/>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Pricing Level</w:t>
            </w:r>
          </w:p>
        </w:tc>
        <w:tc>
          <w:tcPr>
            <w:tcW w:w="15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Consolidated</w:t>
            </w:r>
          </w:p>
        </w:tc>
        <w:tc>
          <w:tcPr>
            <w:tcW w:w="36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980" w:type="dxa"/>
            <w:vAlign w:val="bottom"/>
            <w:tcBorders>
              <w:right w:val="single" w:sz="8" w:color="auto"/>
            </w:tcBorders>
            <w:shd w:val="clear" w:color="auto" w:fill="D9D9D9"/>
          </w:tcPr>
          <w:p>
            <w:pPr>
              <w:spacing w:after="0"/>
              <w:rPr>
                <w:sz w:val="16"/>
                <w:szCs w:val="16"/>
                <w:color w:val="auto"/>
              </w:rPr>
            </w:pPr>
          </w:p>
        </w:tc>
        <w:tc>
          <w:tcPr>
            <w:tcW w:w="244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20"/>
                <w:szCs w:val="20"/>
                <w:b w:val="1"/>
                <w:bCs w:val="1"/>
                <w:color w:val="auto"/>
                <w:w w:val="90"/>
              </w:rPr>
              <w:t>Daily Floating Rate Loans,</w:t>
            </w: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Base Rate Loans</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Commitment Fee</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right w:val="single" w:sz="8" w:color="auto"/>
            </w:tcBorders>
            <w:gridSpan w:val="5"/>
            <w:vMerge w:val="continue"/>
            <w:shd w:val="clear" w:color="auto" w:fill="D9D9D9"/>
          </w:tcPr>
          <w:p>
            <w:pPr>
              <w:spacing w:after="0"/>
              <w:rPr>
                <w:sz w:val="16"/>
                <w:szCs w:val="16"/>
                <w:color w:val="auto"/>
              </w:rPr>
            </w:pPr>
          </w:p>
        </w:tc>
        <w:tc>
          <w:tcPr>
            <w:tcW w:w="1520" w:type="dxa"/>
            <w:vAlign w:val="bottom"/>
            <w:tcBorders>
              <w:right w:val="single" w:sz="8" w:color="auto"/>
            </w:tcBorders>
            <w:vMerge w:val="continue"/>
            <w:shd w:val="clear" w:color="auto" w:fill="D9D9D9"/>
          </w:tcPr>
          <w:p>
            <w:pPr>
              <w:spacing w:after="0"/>
              <w:rPr>
                <w:sz w:val="16"/>
                <w:szCs w:val="16"/>
                <w:color w:val="auto"/>
              </w:rPr>
            </w:pPr>
          </w:p>
        </w:tc>
        <w:tc>
          <w:tcPr>
            <w:tcW w:w="36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980" w:type="dxa"/>
            <w:vAlign w:val="bottom"/>
            <w:tcBorders>
              <w:right w:val="single" w:sz="8" w:color="auto"/>
            </w:tcBorders>
            <w:shd w:val="clear" w:color="auto" w:fill="D9D9D9"/>
          </w:tcPr>
          <w:p>
            <w:pPr>
              <w:spacing w:after="0"/>
              <w:rPr>
                <w:sz w:val="16"/>
                <w:szCs w:val="16"/>
                <w:color w:val="auto"/>
              </w:rPr>
            </w:pPr>
          </w:p>
        </w:tc>
        <w:tc>
          <w:tcPr>
            <w:tcW w:w="244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20"/>
                <w:szCs w:val="20"/>
                <w:b w:val="1"/>
                <w:bCs w:val="1"/>
                <w:color w:val="auto"/>
                <w:w w:val="92"/>
              </w:rPr>
              <w:t>Alternative Currency</w:t>
            </w:r>
          </w:p>
        </w:tc>
        <w:tc>
          <w:tcPr>
            <w:tcW w:w="1680" w:type="dxa"/>
            <w:vAlign w:val="bottom"/>
            <w:tcBorders>
              <w:right w:val="single" w:sz="8" w:color="auto"/>
            </w:tcBorders>
            <w:vMerge w:val="continue"/>
            <w:shd w:val="clear" w:color="auto" w:fill="D9D9D9"/>
          </w:tcPr>
          <w:p>
            <w:pPr>
              <w:spacing w:after="0"/>
              <w:rPr>
                <w:sz w:val="16"/>
                <w:szCs w:val="16"/>
                <w:color w:val="auto"/>
              </w:rPr>
            </w:pPr>
          </w:p>
        </w:tc>
        <w:tc>
          <w:tcPr>
            <w:tcW w:w="1700" w:type="dxa"/>
            <w:vAlign w:val="bottom"/>
            <w:tcBorders>
              <w:right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0" w:type="dxa"/>
            <w:vAlign w:val="bottom"/>
            <w:tcBorders>
              <w:left w:val="single" w:sz="8" w:color="auto"/>
              <w:bottom w:val="single" w:sz="8" w:color="D9D9D9"/>
            </w:tcBorders>
            <w:gridSpan w:val="2"/>
            <w:vMerge w:val="restart"/>
            <w:shd w:val="clear" w:color="auto" w:fill="D9D9D9"/>
          </w:tcPr>
          <w:p>
            <w:pPr>
              <w:ind w:left="280"/>
              <w:spacing w:after="0" w:line="189" w:lineRule="exact"/>
              <w:rPr>
                <w:sz w:val="20"/>
                <w:szCs w:val="20"/>
                <w:color w:val="auto"/>
              </w:rPr>
            </w:pPr>
            <w:r>
              <w:rPr>
                <w:rFonts w:ascii="Arial" w:cs="Arial" w:eastAsia="Arial" w:hAnsi="Arial"/>
                <w:sz w:val="20"/>
                <w:szCs w:val="20"/>
                <w:b w:val="1"/>
                <w:bCs w:val="1"/>
                <w:color w:val="auto"/>
                <w:w w:val="79"/>
              </w:rPr>
              <w:t>“</w:t>
            </w:r>
          </w:p>
        </w:tc>
        <w:tc>
          <w:tcPr>
            <w:tcW w:w="620" w:type="dxa"/>
            <w:vAlign w:val="bottom"/>
            <w:tcBorders>
              <w:bottom w:val="single" w:sz="8" w:color="auto"/>
            </w:tcBorders>
            <w:gridSpan w:val="2"/>
            <w:shd w:val="clear" w:color="auto" w:fill="D9D9D9"/>
          </w:tcPr>
          <w:p>
            <w:pPr>
              <w:spacing w:after="0" w:line="129" w:lineRule="exact"/>
              <w:rPr>
                <w:sz w:val="20"/>
                <w:szCs w:val="20"/>
                <w:color w:val="auto"/>
              </w:rPr>
            </w:pPr>
            <w:r>
              <w:rPr>
                <w:rFonts w:ascii="Arial" w:cs="Arial" w:eastAsia="Arial" w:hAnsi="Arial"/>
                <w:sz w:val="14"/>
                <w:szCs w:val="14"/>
                <w:b w:val="1"/>
                <w:bCs w:val="1"/>
                <w:color w:val="auto"/>
              </w:rPr>
              <w:t>Pricing</w:t>
            </w:r>
          </w:p>
        </w:tc>
        <w:tc>
          <w:tcPr>
            <w:tcW w:w="280" w:type="dxa"/>
            <w:vAlign w:val="bottom"/>
            <w:tcBorders>
              <w:bottom w:val="single" w:sz="8" w:color="D9D9D9"/>
              <w:right w:val="single" w:sz="8" w:color="auto"/>
            </w:tcBorders>
            <w:vMerge w:val="restart"/>
            <w:shd w:val="clear" w:color="auto" w:fill="D9D9D9"/>
          </w:tcPr>
          <w:p>
            <w:pPr>
              <w:spacing w:after="0"/>
              <w:rPr>
                <w:sz w:val="12"/>
                <w:szCs w:val="12"/>
                <w:color w:val="auto"/>
              </w:rPr>
            </w:pPr>
          </w:p>
        </w:tc>
        <w:tc>
          <w:tcPr>
            <w:tcW w:w="1520" w:type="dxa"/>
            <w:vAlign w:val="bottom"/>
            <w:tcBorders>
              <w:bottom w:val="single" w:sz="8" w:color="D9D9D9"/>
              <w:right w:val="single" w:sz="8" w:color="auto"/>
            </w:tcBorders>
            <w:shd w:val="clear" w:color="auto" w:fill="D9D9D9"/>
          </w:tcPr>
          <w:p>
            <w:pPr>
              <w:jc w:val="center"/>
              <w:spacing w:after="0" w:line="142" w:lineRule="exact"/>
              <w:rPr>
                <w:sz w:val="20"/>
                <w:szCs w:val="20"/>
                <w:color w:val="auto"/>
              </w:rPr>
            </w:pPr>
            <w:r>
              <w:rPr>
                <w:rFonts w:ascii="Arial" w:cs="Arial" w:eastAsia="Arial" w:hAnsi="Arial"/>
                <w:sz w:val="16"/>
                <w:szCs w:val="16"/>
                <w:b w:val="1"/>
                <w:bCs w:val="1"/>
                <w:color w:val="auto"/>
              </w:rPr>
              <w:t>Leverage Ratio</w:t>
            </w:r>
          </w:p>
        </w:tc>
        <w:tc>
          <w:tcPr>
            <w:tcW w:w="360" w:type="dxa"/>
            <w:vAlign w:val="bottom"/>
            <w:tcBorders>
              <w:bottom w:val="single" w:sz="8" w:color="D9D9D9"/>
            </w:tcBorders>
            <w:vMerge w:val="restart"/>
            <w:shd w:val="clear" w:color="auto" w:fill="D9D9D9"/>
          </w:tcPr>
          <w:p>
            <w:pPr>
              <w:spacing w:after="0"/>
              <w:rPr>
                <w:sz w:val="12"/>
                <w:szCs w:val="12"/>
                <w:color w:val="auto"/>
              </w:rPr>
            </w:pPr>
          </w:p>
        </w:tc>
        <w:tc>
          <w:tcPr>
            <w:tcW w:w="120" w:type="dxa"/>
            <w:vAlign w:val="bottom"/>
            <w:tcBorders>
              <w:bottom w:val="single" w:sz="8" w:color="D9D9D9"/>
            </w:tcBorders>
            <w:vMerge w:val="restart"/>
            <w:shd w:val="clear" w:color="auto" w:fill="D9D9D9"/>
          </w:tcPr>
          <w:p>
            <w:pPr>
              <w:spacing w:after="0"/>
              <w:rPr>
                <w:sz w:val="12"/>
                <w:szCs w:val="12"/>
                <w:color w:val="auto"/>
              </w:rPr>
            </w:pPr>
          </w:p>
        </w:tc>
        <w:tc>
          <w:tcPr>
            <w:tcW w:w="60" w:type="dxa"/>
            <w:vAlign w:val="bottom"/>
            <w:tcBorders>
              <w:bottom w:val="single" w:sz="8" w:color="D9D9D9"/>
            </w:tcBorders>
            <w:vMerge w:val="restart"/>
            <w:shd w:val="clear" w:color="auto" w:fill="D9D9D9"/>
          </w:tcPr>
          <w:p>
            <w:pPr>
              <w:spacing w:after="0"/>
              <w:rPr>
                <w:sz w:val="12"/>
                <w:szCs w:val="12"/>
                <w:color w:val="auto"/>
              </w:rPr>
            </w:pPr>
          </w:p>
        </w:tc>
        <w:tc>
          <w:tcPr>
            <w:tcW w:w="120" w:type="dxa"/>
            <w:vAlign w:val="bottom"/>
            <w:tcBorders>
              <w:bottom w:val="single" w:sz="8" w:color="D9D9D9"/>
            </w:tcBorders>
            <w:vMerge w:val="restart"/>
            <w:shd w:val="clear" w:color="auto" w:fill="D9D9D9"/>
          </w:tcPr>
          <w:p>
            <w:pPr>
              <w:spacing w:after="0"/>
              <w:rPr>
                <w:sz w:val="12"/>
                <w:szCs w:val="12"/>
                <w:color w:val="auto"/>
              </w:rPr>
            </w:pPr>
          </w:p>
        </w:tc>
        <w:tc>
          <w:tcPr>
            <w:tcW w:w="1980" w:type="dxa"/>
            <w:vAlign w:val="bottom"/>
            <w:tcBorders>
              <w:bottom w:val="single" w:sz="8" w:color="D9D9D9"/>
              <w:right w:val="single" w:sz="8" w:color="auto"/>
            </w:tcBorders>
            <w:vMerge w:val="restart"/>
            <w:shd w:val="clear" w:color="auto" w:fill="D9D9D9"/>
          </w:tcPr>
          <w:p>
            <w:pPr>
              <w:jc w:val="center"/>
              <w:ind w:right="581"/>
              <w:spacing w:after="0" w:line="189" w:lineRule="exact"/>
              <w:rPr>
                <w:sz w:val="20"/>
                <w:szCs w:val="20"/>
                <w:color w:val="auto"/>
              </w:rPr>
            </w:pPr>
            <w:r>
              <w:rPr>
                <w:rFonts w:ascii="Arial" w:cs="Arial" w:eastAsia="Arial" w:hAnsi="Arial"/>
                <w:sz w:val="20"/>
                <w:szCs w:val="20"/>
                <w:b w:val="1"/>
                <w:bCs w:val="1"/>
                <w:color w:val="auto"/>
                <w:w w:val="89"/>
              </w:rPr>
              <w:t>Debt Ratings</w:t>
            </w:r>
          </w:p>
        </w:tc>
        <w:tc>
          <w:tcPr>
            <w:tcW w:w="2440" w:type="dxa"/>
            <w:vAlign w:val="bottom"/>
            <w:tcBorders>
              <w:bottom w:val="single" w:sz="8" w:color="D9D9D9"/>
              <w:right w:val="single" w:sz="8" w:color="auto"/>
            </w:tcBorders>
            <w:vMerge w:val="restart"/>
            <w:shd w:val="clear" w:color="auto" w:fill="D9D9D9"/>
          </w:tcPr>
          <w:p>
            <w:pPr>
              <w:jc w:val="center"/>
              <w:spacing w:after="0" w:line="189" w:lineRule="exact"/>
              <w:rPr>
                <w:sz w:val="20"/>
                <w:szCs w:val="20"/>
                <w:color w:val="auto"/>
              </w:rPr>
            </w:pPr>
            <w:r>
              <w:rPr>
                <w:rFonts w:ascii="Arial" w:cs="Arial" w:eastAsia="Arial" w:hAnsi="Arial"/>
                <w:sz w:val="20"/>
                <w:szCs w:val="20"/>
                <w:b w:val="1"/>
                <w:bCs w:val="1"/>
                <w:color w:val="auto"/>
                <w:w w:val="93"/>
              </w:rPr>
              <w:t>Loans &amp; Letter of Credit</w:t>
            </w:r>
          </w:p>
        </w:tc>
        <w:tc>
          <w:tcPr>
            <w:tcW w:w="1680" w:type="dxa"/>
            <w:vAlign w:val="bottom"/>
            <w:tcBorders>
              <w:bottom w:val="single" w:sz="8" w:color="D9D9D9"/>
              <w:right w:val="single" w:sz="8" w:color="auto"/>
            </w:tcBorders>
            <w:shd w:val="clear" w:color="auto" w:fill="D9D9D9"/>
          </w:tcPr>
          <w:p>
            <w:pPr>
              <w:spacing w:after="0"/>
              <w:rPr>
                <w:sz w:val="12"/>
                <w:szCs w:val="12"/>
                <w:color w:val="auto"/>
              </w:rPr>
            </w:pPr>
          </w:p>
        </w:tc>
        <w:tc>
          <w:tcPr>
            <w:tcW w:w="1700" w:type="dxa"/>
            <w:vAlign w:val="bottom"/>
            <w:tcBorders>
              <w:bottom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0" w:type="dxa"/>
            <w:vAlign w:val="bottom"/>
            <w:tcBorders>
              <w:left w:val="single" w:sz="8" w:color="auto"/>
            </w:tcBorders>
            <w:gridSpan w:val="2"/>
            <w:vMerge w:val="continue"/>
            <w:shd w:val="clear" w:color="auto" w:fill="D9D9D9"/>
          </w:tcPr>
          <w:p>
            <w:pPr>
              <w:spacing w:after="0" w:line="20" w:lineRule="exact"/>
              <w:rPr>
                <w:sz w:val="1"/>
                <w:szCs w:val="1"/>
                <w:color w:val="auto"/>
              </w:rPr>
            </w:pPr>
          </w:p>
        </w:tc>
        <w:tc>
          <w:tcPr>
            <w:tcW w:w="420" w:type="dxa"/>
            <w:vAlign w:val="bottom"/>
            <w:shd w:val="clear" w:color="auto" w:fill="D9D9D9"/>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280" w:type="dxa"/>
            <w:vAlign w:val="bottom"/>
            <w:tcBorders>
              <w:right w:val="single" w:sz="8" w:color="auto"/>
            </w:tcBorders>
            <w:vMerge w:val="continue"/>
            <w:shd w:val="clear" w:color="auto" w:fill="D9D9D9"/>
          </w:tcPr>
          <w:p>
            <w:pPr>
              <w:spacing w:after="0" w:line="20" w:lineRule="exact"/>
              <w:rPr>
                <w:sz w:val="1"/>
                <w:szCs w:val="1"/>
                <w:color w:val="auto"/>
              </w:rPr>
            </w:pPr>
          </w:p>
        </w:tc>
        <w:tc>
          <w:tcPr>
            <w:tcW w:w="1520" w:type="dxa"/>
            <w:vAlign w:val="bottom"/>
            <w:tcBorders>
              <w:right w:val="single" w:sz="8" w:color="auto"/>
            </w:tcBorders>
            <w:shd w:val="clear" w:color="auto" w:fill="D9D9D9"/>
          </w:tcPr>
          <w:p>
            <w:pPr>
              <w:spacing w:after="0" w:line="20" w:lineRule="exact"/>
              <w:rPr>
                <w:sz w:val="1"/>
                <w:szCs w:val="1"/>
                <w:color w:val="auto"/>
              </w:rPr>
            </w:pPr>
          </w:p>
        </w:tc>
        <w:tc>
          <w:tcPr>
            <w:tcW w:w="360" w:type="dxa"/>
            <w:vAlign w:val="bottom"/>
            <w:vMerge w:val="continue"/>
            <w:shd w:val="clear" w:color="auto" w:fill="D9D9D9"/>
          </w:tcPr>
          <w:p>
            <w:pPr>
              <w:spacing w:after="0" w:line="20" w:lineRule="exact"/>
              <w:rPr>
                <w:sz w:val="1"/>
                <w:szCs w:val="1"/>
                <w:color w:val="auto"/>
              </w:rPr>
            </w:pPr>
          </w:p>
        </w:tc>
        <w:tc>
          <w:tcPr>
            <w:tcW w:w="120" w:type="dxa"/>
            <w:vAlign w:val="bottom"/>
            <w:vMerge w:val="continue"/>
            <w:shd w:val="clear" w:color="auto" w:fill="D9D9D9"/>
          </w:tcPr>
          <w:p>
            <w:pPr>
              <w:spacing w:after="0" w:line="20" w:lineRule="exact"/>
              <w:rPr>
                <w:sz w:val="1"/>
                <w:szCs w:val="1"/>
                <w:color w:val="auto"/>
              </w:rPr>
            </w:pPr>
          </w:p>
        </w:tc>
        <w:tc>
          <w:tcPr>
            <w:tcW w:w="60" w:type="dxa"/>
            <w:vAlign w:val="bottom"/>
            <w:vMerge w:val="continue"/>
            <w:shd w:val="clear" w:color="auto" w:fill="D9D9D9"/>
          </w:tcPr>
          <w:p>
            <w:pPr>
              <w:spacing w:after="0" w:line="20" w:lineRule="exact"/>
              <w:rPr>
                <w:sz w:val="1"/>
                <w:szCs w:val="1"/>
                <w:color w:val="auto"/>
              </w:rPr>
            </w:pPr>
          </w:p>
        </w:tc>
        <w:tc>
          <w:tcPr>
            <w:tcW w:w="120" w:type="dxa"/>
            <w:vAlign w:val="bottom"/>
            <w:vMerge w:val="continue"/>
            <w:shd w:val="clear" w:color="auto" w:fill="D9D9D9"/>
          </w:tcPr>
          <w:p>
            <w:pPr>
              <w:spacing w:after="0" w:line="20" w:lineRule="exact"/>
              <w:rPr>
                <w:sz w:val="1"/>
                <w:szCs w:val="1"/>
                <w:color w:val="auto"/>
              </w:rPr>
            </w:pPr>
          </w:p>
        </w:tc>
        <w:tc>
          <w:tcPr>
            <w:tcW w:w="1980" w:type="dxa"/>
            <w:vAlign w:val="bottom"/>
            <w:tcBorders>
              <w:right w:val="single" w:sz="8" w:color="auto"/>
            </w:tcBorders>
            <w:vMerge w:val="continue"/>
            <w:shd w:val="clear" w:color="auto" w:fill="D9D9D9"/>
          </w:tcPr>
          <w:p>
            <w:pPr>
              <w:spacing w:after="0" w:line="20" w:lineRule="exact"/>
              <w:rPr>
                <w:sz w:val="1"/>
                <w:szCs w:val="1"/>
                <w:color w:val="auto"/>
              </w:rPr>
            </w:pPr>
          </w:p>
        </w:tc>
        <w:tc>
          <w:tcPr>
            <w:tcW w:w="2440" w:type="dxa"/>
            <w:vAlign w:val="bottom"/>
            <w:tcBorders>
              <w:right w:val="single" w:sz="8" w:color="auto"/>
            </w:tcBorders>
            <w:vMerge w:val="continue"/>
            <w:shd w:val="clear" w:color="auto" w:fill="D9D9D9"/>
          </w:tcPr>
          <w:p>
            <w:pPr>
              <w:spacing w:after="0" w:line="20" w:lineRule="exact"/>
              <w:rPr>
                <w:sz w:val="1"/>
                <w:szCs w:val="1"/>
                <w:color w:val="auto"/>
              </w:rPr>
            </w:pPr>
          </w:p>
        </w:tc>
        <w:tc>
          <w:tcPr>
            <w:tcW w:w="1680" w:type="dxa"/>
            <w:vAlign w:val="bottom"/>
            <w:tcBorders>
              <w:right w:val="single" w:sz="8" w:color="auto"/>
            </w:tcBorders>
            <w:shd w:val="clear" w:color="auto" w:fill="D9D9D9"/>
          </w:tcPr>
          <w:p>
            <w:pPr>
              <w:spacing w:after="0" w:line="20" w:lineRule="exact"/>
              <w:rPr>
                <w:sz w:val="1"/>
                <w:szCs w:val="1"/>
                <w:color w:val="auto"/>
              </w:rPr>
            </w:pPr>
          </w:p>
        </w:tc>
        <w:tc>
          <w:tcPr>
            <w:tcW w:w="170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0" w:type="dxa"/>
            <w:vAlign w:val="bottom"/>
            <w:tcBorders>
              <w:left w:val="single" w:sz="8" w:color="auto"/>
              <w:bottom w:val="single" w:sz="8" w:color="D9D9D9"/>
            </w:tcBorders>
            <w:vMerge w:val="restart"/>
            <w:shd w:val="clear" w:color="auto" w:fill="D9D9D9"/>
          </w:tcPr>
          <w:p>
            <w:pPr>
              <w:spacing w:after="0"/>
              <w:rPr>
                <w:sz w:val="12"/>
                <w:szCs w:val="12"/>
                <w:color w:val="auto"/>
              </w:rPr>
            </w:pPr>
          </w:p>
        </w:tc>
        <w:tc>
          <w:tcPr>
            <w:tcW w:w="480" w:type="dxa"/>
            <w:vAlign w:val="bottom"/>
            <w:tcBorders>
              <w:bottom w:val="single" w:sz="8" w:color="auto"/>
            </w:tcBorders>
            <w:gridSpan w:val="2"/>
            <w:shd w:val="clear" w:color="auto" w:fill="D9D9D9"/>
          </w:tcPr>
          <w:p>
            <w:pPr>
              <w:spacing w:after="0" w:line="129" w:lineRule="exact"/>
              <w:rPr>
                <w:sz w:val="20"/>
                <w:szCs w:val="20"/>
                <w:color w:val="auto"/>
              </w:rPr>
            </w:pPr>
            <w:r>
              <w:rPr>
                <w:rFonts w:ascii="Arial" w:cs="Arial" w:eastAsia="Arial" w:hAnsi="Arial"/>
                <w:sz w:val="14"/>
                <w:szCs w:val="14"/>
                <w:b w:val="1"/>
                <w:bCs w:val="1"/>
                <w:color w:val="auto"/>
              </w:rPr>
              <w:t>Level</w:t>
            </w:r>
          </w:p>
        </w:tc>
        <w:tc>
          <w:tcPr>
            <w:tcW w:w="480" w:type="dxa"/>
            <w:vAlign w:val="bottom"/>
            <w:tcBorders>
              <w:bottom w:val="single" w:sz="8" w:color="D9D9D9"/>
              <w:right w:val="single" w:sz="8" w:color="auto"/>
            </w:tcBorders>
            <w:gridSpan w:val="2"/>
            <w:vMerge w:val="restart"/>
            <w:shd w:val="clear" w:color="auto" w:fill="D9D9D9"/>
          </w:tcPr>
          <w:p>
            <w:pPr>
              <w:spacing w:after="0"/>
              <w:rPr>
                <w:sz w:val="20"/>
                <w:szCs w:val="20"/>
                <w:color w:val="auto"/>
              </w:rPr>
            </w:pPr>
            <w:r>
              <w:rPr>
                <w:rFonts w:ascii="Arial" w:cs="Arial" w:eastAsia="Arial" w:hAnsi="Arial"/>
                <w:sz w:val="20"/>
                <w:szCs w:val="20"/>
                <w:b w:val="1"/>
                <w:bCs w:val="1"/>
                <w:color w:val="auto"/>
              </w:rPr>
              <w:t>”)</w:t>
            </w:r>
          </w:p>
        </w:tc>
        <w:tc>
          <w:tcPr>
            <w:tcW w:w="1520" w:type="dxa"/>
            <w:vAlign w:val="bottom"/>
            <w:tcBorders>
              <w:bottom w:val="single" w:sz="8" w:color="D9D9D9"/>
              <w:right w:val="single" w:sz="8" w:color="auto"/>
            </w:tcBorders>
            <w:shd w:val="clear" w:color="auto" w:fill="D9D9D9"/>
          </w:tcPr>
          <w:p>
            <w:pPr>
              <w:spacing w:after="0"/>
              <w:rPr>
                <w:sz w:val="12"/>
                <w:szCs w:val="12"/>
                <w:color w:val="auto"/>
              </w:rPr>
            </w:pPr>
          </w:p>
        </w:tc>
        <w:tc>
          <w:tcPr>
            <w:tcW w:w="2640" w:type="dxa"/>
            <w:vAlign w:val="bottom"/>
            <w:tcBorders>
              <w:bottom w:val="single" w:sz="8" w:color="D9D9D9"/>
              <w:right w:val="single" w:sz="8" w:color="auto"/>
            </w:tcBorders>
            <w:gridSpan w:val="5"/>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(S&amp;P / Moody’s / Fitch)</w:t>
            </w:r>
          </w:p>
        </w:tc>
        <w:tc>
          <w:tcPr>
            <w:tcW w:w="2440" w:type="dxa"/>
            <w:vAlign w:val="bottom"/>
            <w:tcBorders>
              <w:bottom w:val="single" w:sz="8" w:color="D9D9D9"/>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Fee</w:t>
            </w:r>
          </w:p>
        </w:tc>
        <w:tc>
          <w:tcPr>
            <w:tcW w:w="1680" w:type="dxa"/>
            <w:vAlign w:val="bottom"/>
            <w:tcBorders>
              <w:bottom w:val="single" w:sz="8" w:color="D9D9D9"/>
              <w:right w:val="single" w:sz="8" w:color="auto"/>
            </w:tcBorders>
            <w:shd w:val="clear" w:color="auto" w:fill="D9D9D9"/>
          </w:tcPr>
          <w:p>
            <w:pPr>
              <w:spacing w:after="0"/>
              <w:rPr>
                <w:sz w:val="12"/>
                <w:szCs w:val="12"/>
                <w:color w:val="auto"/>
              </w:rPr>
            </w:pPr>
          </w:p>
        </w:tc>
        <w:tc>
          <w:tcPr>
            <w:tcW w:w="1700" w:type="dxa"/>
            <w:vAlign w:val="bottom"/>
            <w:tcBorders>
              <w:bottom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20" w:type="dxa"/>
            <w:vAlign w:val="bottom"/>
            <w:tcBorders>
              <w:left w:val="single" w:sz="8" w:color="auto"/>
              <w:bottom w:val="single" w:sz="8" w:color="auto"/>
            </w:tcBorders>
            <w:vMerge w:val="continue"/>
            <w:shd w:val="clear" w:color="auto" w:fill="D9D9D9"/>
          </w:tcPr>
          <w:p>
            <w:pPr>
              <w:spacing w:after="0"/>
              <w:rPr>
                <w:sz w:val="6"/>
                <w:szCs w:val="6"/>
                <w:color w:val="auto"/>
              </w:rPr>
            </w:pPr>
          </w:p>
        </w:tc>
        <w:tc>
          <w:tcPr>
            <w:tcW w:w="480" w:type="dxa"/>
            <w:vAlign w:val="bottom"/>
            <w:tcBorders>
              <w:bottom w:val="single" w:sz="8" w:color="auto"/>
            </w:tcBorders>
            <w:gridSpan w:val="2"/>
            <w:shd w:val="clear" w:color="auto" w:fill="D9D9D9"/>
          </w:tcPr>
          <w:p>
            <w:pPr>
              <w:spacing w:after="0"/>
              <w:rPr>
                <w:sz w:val="6"/>
                <w:szCs w:val="6"/>
                <w:color w:val="auto"/>
              </w:rPr>
            </w:pPr>
          </w:p>
        </w:tc>
        <w:tc>
          <w:tcPr>
            <w:tcW w:w="480" w:type="dxa"/>
            <w:vAlign w:val="bottom"/>
            <w:tcBorders>
              <w:bottom w:val="single" w:sz="8" w:color="auto"/>
              <w:right w:val="single" w:sz="8" w:color="auto"/>
            </w:tcBorders>
            <w:gridSpan w:val="2"/>
            <w:vMerge w:val="continue"/>
            <w:shd w:val="clear" w:color="auto" w:fill="D9D9D9"/>
          </w:tcPr>
          <w:p>
            <w:pPr>
              <w:spacing w:after="0"/>
              <w:rPr>
                <w:sz w:val="6"/>
                <w:szCs w:val="6"/>
                <w:color w:val="auto"/>
              </w:rPr>
            </w:pPr>
          </w:p>
        </w:tc>
        <w:tc>
          <w:tcPr>
            <w:tcW w:w="1520" w:type="dxa"/>
            <w:vAlign w:val="bottom"/>
            <w:tcBorders>
              <w:bottom w:val="single" w:sz="8" w:color="auto"/>
              <w:right w:val="single" w:sz="8" w:color="auto"/>
            </w:tcBorders>
            <w:shd w:val="clear" w:color="auto" w:fill="D9D9D9"/>
          </w:tcPr>
          <w:p>
            <w:pPr>
              <w:spacing w:after="0"/>
              <w:rPr>
                <w:sz w:val="6"/>
                <w:szCs w:val="6"/>
                <w:color w:val="auto"/>
              </w:rPr>
            </w:pPr>
          </w:p>
        </w:tc>
        <w:tc>
          <w:tcPr>
            <w:tcW w:w="2640" w:type="dxa"/>
            <w:vAlign w:val="bottom"/>
            <w:tcBorders>
              <w:bottom w:val="single" w:sz="8" w:color="auto"/>
              <w:right w:val="single" w:sz="8" w:color="auto"/>
            </w:tcBorders>
            <w:gridSpan w:val="5"/>
            <w:vMerge w:val="continue"/>
            <w:shd w:val="clear" w:color="auto" w:fill="D9D9D9"/>
          </w:tcPr>
          <w:p>
            <w:pPr>
              <w:spacing w:after="0"/>
              <w:rPr>
                <w:sz w:val="6"/>
                <w:szCs w:val="6"/>
                <w:color w:val="auto"/>
              </w:rPr>
            </w:pPr>
          </w:p>
        </w:tc>
        <w:tc>
          <w:tcPr>
            <w:tcW w:w="244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1680" w:type="dxa"/>
            <w:vAlign w:val="bottom"/>
            <w:tcBorders>
              <w:bottom w:val="single" w:sz="8" w:color="auto"/>
              <w:right w:val="single" w:sz="8" w:color="auto"/>
            </w:tcBorders>
            <w:shd w:val="clear" w:color="auto" w:fill="D9D9D9"/>
          </w:tcPr>
          <w:p>
            <w:pPr>
              <w:spacing w:after="0"/>
              <w:rPr>
                <w:sz w:val="6"/>
                <w:szCs w:val="6"/>
                <w:color w:val="auto"/>
              </w:rPr>
            </w:pPr>
          </w:p>
        </w:tc>
        <w:tc>
          <w:tcPr>
            <w:tcW w:w="170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gridSpan w:val="3"/>
          </w:tcPr>
          <w:p>
            <w:pPr>
              <w:jc w:val="center"/>
              <w:ind w:right="380"/>
              <w:spacing w:after="0" w:line="183" w:lineRule="exact"/>
              <w:rPr>
                <w:sz w:val="20"/>
                <w:szCs w:val="20"/>
                <w:color w:val="auto"/>
              </w:rPr>
            </w:pPr>
            <w:r>
              <w:rPr>
                <w:rFonts w:ascii="Arial" w:cs="Arial" w:eastAsia="Arial" w:hAnsi="Arial"/>
                <w:sz w:val="20"/>
                <w:szCs w:val="20"/>
                <w:color w:val="auto"/>
              </w:rPr>
              <w:t>I</w:t>
            </w:r>
          </w:p>
        </w:tc>
        <w:tc>
          <w:tcPr>
            <w:tcW w:w="15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&lt; 1.00 to 1.00</w:t>
            </w:r>
          </w:p>
        </w:tc>
        <w:tc>
          <w:tcPr>
            <w:tcW w:w="360" w:type="dxa"/>
            <w:vAlign w:val="bottom"/>
          </w:tcPr>
          <w:p>
            <w:pPr>
              <w:spacing w:after="0"/>
              <w:rPr>
                <w:sz w:val="17"/>
                <w:szCs w:val="17"/>
                <w:color w:val="auto"/>
              </w:rPr>
            </w:pPr>
          </w:p>
        </w:tc>
        <w:tc>
          <w:tcPr>
            <w:tcW w:w="2280" w:type="dxa"/>
            <w:vAlign w:val="bottom"/>
            <w:tcBorders>
              <w:right w:val="single" w:sz="8" w:color="auto"/>
            </w:tcBorders>
            <w:gridSpan w:val="4"/>
          </w:tcPr>
          <w:p>
            <w:pPr>
              <w:jc w:val="center"/>
              <w:ind w:right="281"/>
              <w:spacing w:after="0" w:line="183" w:lineRule="exact"/>
              <w:rPr>
                <w:sz w:val="20"/>
                <w:szCs w:val="20"/>
                <w:color w:val="auto"/>
              </w:rPr>
            </w:pPr>
            <w:r>
              <w:rPr>
                <w:rFonts w:ascii="Arial" w:cs="Arial" w:eastAsia="Arial" w:hAnsi="Arial"/>
                <w:sz w:val="20"/>
                <w:szCs w:val="20"/>
                <w:color w:val="auto"/>
                <w:w w:val="94"/>
              </w:rPr>
              <w:t>&gt; BBB+ / Baa1 / BBB+</w:t>
            </w:r>
          </w:p>
        </w:tc>
        <w:tc>
          <w:tcPr>
            <w:tcW w:w="24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1.000%</w:t>
            </w:r>
          </w:p>
        </w:tc>
        <w:tc>
          <w:tcPr>
            <w:tcW w:w="16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0.000%</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0.100%</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2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gridSpan w:val="3"/>
            <w:vMerge w:val="restart"/>
          </w:tcPr>
          <w:p>
            <w:pPr>
              <w:jc w:val="center"/>
              <w:ind w:right="380"/>
              <w:spacing w:after="0"/>
              <w:rPr>
                <w:sz w:val="20"/>
                <w:szCs w:val="20"/>
                <w:color w:val="auto"/>
              </w:rPr>
            </w:pPr>
            <w:r>
              <w:rPr>
                <w:rFonts w:ascii="Arial" w:cs="Arial" w:eastAsia="Arial" w:hAnsi="Arial"/>
                <w:sz w:val="20"/>
                <w:szCs w:val="20"/>
                <w:color w:val="auto"/>
              </w:rPr>
              <w:t>II</w:t>
            </w:r>
          </w:p>
        </w:tc>
        <w:tc>
          <w:tcPr>
            <w:tcW w:w="15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 1.00 to 1.00 but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tcBorders>
              <w:right w:val="single" w:sz="8" w:color="auto"/>
            </w:tcBorders>
            <w:gridSpan w:val="2"/>
            <w:vMerge w:val="restart"/>
          </w:tcPr>
          <w:p>
            <w:pPr>
              <w:jc w:val="center"/>
              <w:ind w:right="461"/>
              <w:spacing w:after="0"/>
              <w:rPr>
                <w:sz w:val="20"/>
                <w:szCs w:val="20"/>
                <w:color w:val="auto"/>
              </w:rPr>
            </w:pPr>
            <w:r>
              <w:rPr>
                <w:rFonts w:ascii="Arial" w:cs="Arial" w:eastAsia="Arial" w:hAnsi="Arial"/>
                <w:sz w:val="20"/>
                <w:szCs w:val="20"/>
                <w:color w:val="auto"/>
                <w:w w:val="93"/>
              </w:rPr>
              <w:t>BBB / Baa2 / BBB</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1.125%</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0.125%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0.125%</w:t>
            </w:r>
          </w:p>
        </w:tc>
        <w:tc>
          <w:tcPr>
            <w:tcW w:w="0" w:type="dxa"/>
            <w:vAlign w:val="bottom"/>
          </w:tcPr>
          <w:p>
            <w:pPr>
              <w:spacing w:after="0"/>
              <w:rPr>
                <w:sz w:val="1"/>
                <w:szCs w:val="1"/>
                <w:color w:val="auto"/>
              </w:rPr>
            </w:pPr>
          </w:p>
        </w:tc>
      </w:tr>
      <w:tr>
        <w:trPr>
          <w:trHeight w:val="153"/>
        </w:trPr>
        <w:tc>
          <w:tcPr>
            <w:tcW w:w="32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right w:val="single" w:sz="8" w:color="auto"/>
            </w:tcBorders>
            <w:gridSpan w:val="3"/>
            <w:vMerge w:val="continue"/>
          </w:tcPr>
          <w:p>
            <w:pPr>
              <w:spacing w:after="0"/>
              <w:rPr>
                <w:sz w:val="13"/>
                <w:szCs w:val="13"/>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&lt; 2.00 to 1.00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00" w:type="dxa"/>
            <w:vAlign w:val="bottom"/>
            <w:tcBorders>
              <w:right w:val="single" w:sz="8" w:color="auto"/>
            </w:tcBorders>
            <w:gridSpan w:val="2"/>
            <w:vMerge w:val="continue"/>
          </w:tcPr>
          <w:p>
            <w:pPr>
              <w:spacing w:after="0"/>
              <w:rPr>
                <w:sz w:val="13"/>
                <w:szCs w:val="13"/>
                <w:color w:val="auto"/>
              </w:rPr>
            </w:pPr>
          </w:p>
        </w:tc>
        <w:tc>
          <w:tcPr>
            <w:tcW w:w="2440" w:type="dxa"/>
            <w:vAlign w:val="bottom"/>
            <w:tcBorders>
              <w:right w:val="single" w:sz="8" w:color="auto"/>
            </w:tcBorders>
            <w:vMerge w:val="continue"/>
          </w:tcPr>
          <w:p>
            <w:pPr>
              <w:spacing w:after="0"/>
              <w:rPr>
                <w:sz w:val="13"/>
                <w:szCs w:val="13"/>
                <w:color w:val="auto"/>
              </w:rPr>
            </w:pPr>
          </w:p>
        </w:tc>
        <w:tc>
          <w:tcPr>
            <w:tcW w:w="168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2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2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gridSpan w:val="3"/>
            <w:vMerge w:val="restart"/>
          </w:tcPr>
          <w:p>
            <w:pPr>
              <w:jc w:val="center"/>
              <w:ind w:right="380"/>
              <w:spacing w:after="0"/>
              <w:rPr>
                <w:sz w:val="20"/>
                <w:szCs w:val="20"/>
                <w:color w:val="auto"/>
              </w:rPr>
            </w:pPr>
            <w:r>
              <w:rPr>
                <w:rFonts w:ascii="Arial" w:cs="Arial" w:eastAsia="Arial" w:hAnsi="Arial"/>
                <w:sz w:val="20"/>
                <w:szCs w:val="20"/>
                <w:color w:val="auto"/>
              </w:rPr>
              <w:t>III</w:t>
            </w:r>
          </w:p>
        </w:tc>
        <w:tc>
          <w:tcPr>
            <w:tcW w:w="15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 2.00 to 1.00 but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Borders>
              <w:right w:val="single" w:sz="8" w:color="auto"/>
            </w:tcBorders>
            <w:gridSpan w:val="3"/>
            <w:vMerge w:val="restart"/>
          </w:tcPr>
          <w:p>
            <w:pPr>
              <w:jc w:val="center"/>
              <w:ind w:right="381"/>
              <w:spacing w:after="0"/>
              <w:rPr>
                <w:sz w:val="20"/>
                <w:szCs w:val="20"/>
                <w:color w:val="auto"/>
              </w:rPr>
            </w:pPr>
            <w:r>
              <w:rPr>
                <w:rFonts w:ascii="Arial" w:cs="Arial" w:eastAsia="Arial" w:hAnsi="Arial"/>
                <w:sz w:val="20"/>
                <w:szCs w:val="20"/>
                <w:color w:val="auto"/>
                <w:w w:val="94"/>
              </w:rPr>
              <w:t>BBB- / Baa3 / BBB-</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1.375%</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0.375%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0.175%</w:t>
            </w:r>
          </w:p>
        </w:tc>
        <w:tc>
          <w:tcPr>
            <w:tcW w:w="0" w:type="dxa"/>
            <w:vAlign w:val="bottom"/>
          </w:tcPr>
          <w:p>
            <w:pPr>
              <w:spacing w:after="0"/>
              <w:rPr>
                <w:sz w:val="1"/>
                <w:szCs w:val="1"/>
                <w:color w:val="auto"/>
              </w:rPr>
            </w:pPr>
          </w:p>
        </w:tc>
      </w:tr>
      <w:tr>
        <w:trPr>
          <w:trHeight w:val="153"/>
        </w:trPr>
        <w:tc>
          <w:tcPr>
            <w:tcW w:w="32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right w:val="single" w:sz="8" w:color="auto"/>
            </w:tcBorders>
            <w:gridSpan w:val="3"/>
            <w:vMerge w:val="continue"/>
          </w:tcPr>
          <w:p>
            <w:pPr>
              <w:spacing w:after="0"/>
              <w:rPr>
                <w:sz w:val="13"/>
                <w:szCs w:val="13"/>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&lt; 3.00 to 1.00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right w:val="single" w:sz="8" w:color="auto"/>
            </w:tcBorders>
            <w:gridSpan w:val="3"/>
            <w:vMerge w:val="continue"/>
          </w:tcPr>
          <w:p>
            <w:pPr>
              <w:spacing w:after="0"/>
              <w:rPr>
                <w:sz w:val="13"/>
                <w:szCs w:val="13"/>
                <w:color w:val="auto"/>
              </w:rPr>
            </w:pPr>
          </w:p>
        </w:tc>
        <w:tc>
          <w:tcPr>
            <w:tcW w:w="2440" w:type="dxa"/>
            <w:vAlign w:val="bottom"/>
            <w:tcBorders>
              <w:right w:val="single" w:sz="8" w:color="auto"/>
            </w:tcBorders>
            <w:vMerge w:val="continue"/>
          </w:tcPr>
          <w:p>
            <w:pPr>
              <w:spacing w:after="0"/>
              <w:rPr>
                <w:sz w:val="13"/>
                <w:szCs w:val="13"/>
                <w:color w:val="auto"/>
              </w:rPr>
            </w:pPr>
          </w:p>
        </w:tc>
        <w:tc>
          <w:tcPr>
            <w:tcW w:w="168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2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gridSpan w:val="3"/>
          </w:tcPr>
          <w:p>
            <w:pPr>
              <w:jc w:val="center"/>
              <w:ind w:right="380"/>
              <w:spacing w:after="0" w:line="183" w:lineRule="exact"/>
              <w:rPr>
                <w:sz w:val="20"/>
                <w:szCs w:val="20"/>
                <w:color w:val="auto"/>
              </w:rPr>
            </w:pPr>
            <w:r>
              <w:rPr>
                <w:rFonts w:ascii="Arial" w:cs="Arial" w:eastAsia="Arial" w:hAnsi="Arial"/>
                <w:sz w:val="20"/>
                <w:szCs w:val="20"/>
                <w:color w:val="auto"/>
              </w:rPr>
              <w:t>IV</w:t>
            </w:r>
          </w:p>
        </w:tc>
        <w:tc>
          <w:tcPr>
            <w:tcW w:w="15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 3.00 to 1.00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right w:val="single" w:sz="8" w:color="auto"/>
            </w:tcBorders>
            <w:gridSpan w:val="2"/>
          </w:tcPr>
          <w:p>
            <w:pPr>
              <w:jc w:val="center"/>
              <w:ind w:right="461"/>
              <w:spacing w:after="0" w:line="183" w:lineRule="exact"/>
              <w:rPr>
                <w:sz w:val="20"/>
                <w:szCs w:val="20"/>
                <w:color w:val="auto"/>
              </w:rPr>
            </w:pPr>
            <w:r>
              <w:rPr>
                <w:rFonts w:ascii="Arial" w:cs="Arial" w:eastAsia="Arial" w:hAnsi="Arial"/>
                <w:sz w:val="20"/>
                <w:szCs w:val="20"/>
                <w:color w:val="auto"/>
                <w:w w:val="94"/>
              </w:rPr>
              <w:t>&lt; BB+ / Ba1 / BB+</w:t>
            </w:r>
          </w:p>
        </w:tc>
        <w:tc>
          <w:tcPr>
            <w:tcW w:w="24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1.500%</w:t>
            </w:r>
          </w:p>
        </w:tc>
        <w:tc>
          <w:tcPr>
            <w:tcW w:w="16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0.500%</w:t>
            </w:r>
          </w:p>
        </w:tc>
        <w:tc>
          <w:tcPr>
            <w:tcW w:w="17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0.200%</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a Compliance Certificate is not delivered when due in accordance with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then Pricing Level IV shall apply as of the first Business Day after the date on which such Compliance Certificate was required to have been delivered and shall remain in effect until the first Business Day following the date on which such Compliance Certificate is delivered in accordance with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and (B) if at any time there is (1) only one Debt Rating, or (2) no Debt Rating, then, in either case, the Applicable Rate shall be determined by reference to the Pricing Level corresponding to the Consolidated Leverage Ratio as of the last day of the most recently ended fiscal quarter of the Company as set forth in the most recent Compliance Certificate received by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6.02(a)</w:t>
      </w:r>
      <w:r>
        <w:rPr>
          <w:rFonts w:ascii="Arial" w:cs="Arial" w:eastAsia="Arial" w:hAnsi="Arial"/>
          <w:sz w:val="18"/>
          <w:szCs w:val="18"/>
          <w:color w:val="auto"/>
        </w:rPr>
        <w:t xml:space="preserve">. Any increase or decrease in the Applicable Rate (x) resulting from a change in the Consolidated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and</w:t>
      </w:r>
    </w:p>
    <w:p>
      <w:pPr>
        <w:spacing w:after="0" w:line="3" w:lineRule="exact"/>
        <w:rPr>
          <w:sz w:val="20"/>
          <w:szCs w:val="20"/>
          <w:color w:val="auto"/>
        </w:rPr>
      </w:pPr>
    </w:p>
    <w:p>
      <w:pPr>
        <w:jc w:val="both"/>
        <w:ind w:right="20" w:firstLine="8"/>
        <w:spacing w:after="0" w:line="227"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resulting from a publicly announced change in the Debt Ratings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Notwithstanding anything to the contrary contained in this definition, at any time the Applicable Rate is determined by reference to the Consolidated Leverage Ratio, the determination of the Applicable Rate for any such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320" w:top="1405" w:right="319" w:bottom="1440" w:gutter="0" w:footer="0" w:header="0"/>
        </w:sectPr>
      </w:pPr>
    </w:p>
    <w:bookmarkStart w:id="49" w:name="page50"/>
    <w:bookmarkEnd w:id="49"/>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Time</w:t>
      </w:r>
      <w:r>
        <w:rPr>
          <w:rFonts w:ascii="Arial" w:cs="Arial" w:eastAsia="Arial" w:hAnsi="Arial"/>
          <w:sz w:val="20"/>
          <w:szCs w:val="20"/>
          <w:color w:val="auto"/>
        </w:rPr>
        <w:t>” means, with respect to any Borrowings and payments in any Alternative Currency, the local time in the place of settlement for such Alternative Currency as may be determined by the Administrative Agent or the Alternative Currency L/C Issuer, as the case may be, to be necessary for timely settlement on the relevant date in accordance with normal banking procedures in the place of payment.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Foreign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2.16(b)</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xml:space="preserve">” means, at any time, (a) with respect to the Revolving Facility, each Revolving Lender, (b) with respect to the Letter of Credit Sublimit, (i) each L/C Issuer and (ii) if any Letters of Credit have been issued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each Revolving Lender and (c) with respect to the Swingline Sublimit, (i) the Swingline Lender and (ii) if any Swingline Loans are outstanding pursuant to </w:t>
      </w:r>
      <w:r>
        <w:rPr>
          <w:rFonts w:ascii="Arial" w:cs="Arial" w:eastAsia="Arial" w:hAnsi="Arial"/>
          <w:sz w:val="20"/>
          <w:szCs w:val="20"/>
          <w:u w:val="single" w:color="auto"/>
          <w:color w:val="auto"/>
        </w:rPr>
        <w:t>Section 2.04(a)</w:t>
      </w:r>
      <w:r>
        <w:rPr>
          <w:rFonts w:ascii="Arial" w:cs="Arial" w:eastAsia="Arial" w:hAnsi="Arial"/>
          <w:sz w:val="20"/>
          <w:szCs w:val="20"/>
          <w:color w:val="auto"/>
        </w:rPr>
        <w:t>, each Revolving Lender.</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Foreign Jurisdiction</w:t>
      </w:r>
      <w:r>
        <w:rPr>
          <w:rFonts w:ascii="Arial" w:cs="Arial" w:eastAsia="Arial" w:hAnsi="Arial"/>
          <w:sz w:val="20"/>
          <w:szCs w:val="20"/>
          <w:color w:val="auto"/>
        </w:rPr>
        <w:t>” means, as of any date of determination, (a) England and Wales, (b) Ireland, and (c) any jurisdiction in which any then-existing Designated Foreign Borrower is organized as of such date.</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each of (a) BofA Securities, Inc., (b) Citibank, N.A., (c) JPMorgan Chase Bank, N.A., (d) Truist Securities, Inc., and (e) Wells Fargo Securities, LLC, in each case in its capacities as a joint lead arranger and a joint bookrunner.</w:t>
      </w:r>
    </w:p>
    <w:p>
      <w:pPr>
        <w:spacing w:after="0" w:line="15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11.06(b)(iii)</w:t>
      </w:r>
      <w:r>
        <w:rPr>
          <w:rFonts w:ascii="Arial" w:cs="Arial" w:eastAsia="Arial" w:hAnsi="Arial"/>
          <w:sz w:val="20"/>
          <w:szCs w:val="20"/>
          <w:color w:val="auto"/>
        </w:rPr>
        <w:t>), and accepted by the Administrative Agent, in substantially the form of Exhibit B or any other form (including an electronic documentation form generated by use of an electronic platform) approved by the Administrative Agent.</w:t>
      </w:r>
    </w:p>
    <w:p>
      <w:pPr>
        <w:spacing w:after="0" w:line="15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and without duplication, (a) in respect of any Capitalized Lease of any Person, the capitalized amount thereof that would appear on a balance sheet of such Person prepared as of such date in accordance with GAAP (excluding Capitalized Leases in respect of the Specified Leased Properties),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Company and its Subsidiaries for the fiscal year ended December 31, 2021, and the related Consolidated statements of income or operations, shareholders’ equity and cash flows for such fiscal year of the Company and its Subsidiaries, including the notes thereto.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Dollar</w:t>
      </w:r>
      <w:r>
        <w:rPr>
          <w:rFonts w:ascii="Arial" w:cs="Arial" w:eastAsia="Arial" w:hAnsi="Arial"/>
          <w:sz w:val="20"/>
          <w:szCs w:val="20"/>
          <w:color w:val="auto"/>
        </w:rPr>
        <w:t>” means the lawful currency of Australia.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2.03(b)(iv)</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the period from and including the Closing Date to the earliest of (a) the Maturity Date, (b) the date of termination of the Revolving Facility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Revolving Commitment of each Revolving Lender to make Revolving Loans and of the obligation of each L/C Issuer to make L/C Credit Extensions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8.02</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05" w:right="339" w:bottom="1440" w:gutter="0" w:footer="0" w:header="0"/>
        </w:sectPr>
      </w:pPr>
    </w:p>
    <w:bookmarkStart w:id="50" w:name="page51"/>
    <w:bookmarkEnd w:id="50"/>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(11 U.S.C. Section 101 et. seq.) or any successor statute thereto.</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of interest per annum equal to the highest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w:t>
      </w:r>
    </w:p>
    <w:p>
      <w:pPr>
        <w:spacing w:after="0" w:line="21" w:lineRule="exact"/>
        <w:rPr>
          <w:sz w:val="20"/>
          <w:szCs w:val="20"/>
          <w:color w:val="auto"/>
        </w:rPr>
      </w:pPr>
    </w:p>
    <w:p>
      <w:pPr>
        <w:jc w:val="both"/>
        <w:ind w:firstLine="8"/>
        <w:spacing w:after="0" w:line="257" w:lineRule="auto"/>
        <w:tabs>
          <w:tab w:leader="none" w:pos="2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rate of interest in effect for such day as publicly announced from time to time by Bank of America as its “prime rate,” and (c) Term SOFR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then the Base Rate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 shall be determined without reference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w:t>
      </w:r>
    </w:p>
    <w:p>
      <w:pPr>
        <w:spacing w:after="0" w:line="14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Revolving Loan that bears interest based on the Base Rate. All Base Rate Loans are available only to the Company and shall be denominated in Dollars.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BBSY</w:t>
      </w:r>
      <w:r>
        <w:rPr>
          <w:rFonts w:ascii="Arial" w:cs="Arial" w:eastAsia="Arial" w:hAnsi="Arial"/>
          <w:sz w:val="20"/>
          <w:szCs w:val="20"/>
          <w:color w:val="auto"/>
        </w:rPr>
        <w:t>” has the meaning specified in the definition of “Alternative Currency Term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4.01(h)</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4.01(h)</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rPr>
          <w:sz w:val="20"/>
          <w:szCs w:val="20"/>
          <w:color w:val="auto"/>
        </w:rPr>
      </w:pPr>
      <w:r>
        <w:rPr>
          <w:rFonts w:ascii="Arial" w:cs="Arial" w:eastAsia="Arial" w:hAnsi="Arial"/>
          <w:sz w:val="20"/>
          <w:szCs w:val="20"/>
          <w:color w:val="auto"/>
        </w:rPr>
        <w:t>1841(k)) of such party.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have the meanings specified in the introductory paragraph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Borrowing or a Swingline Borrowing, as the context may require.</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 (a)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TARGET Day; (b) 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 (c) if such day relates to any fundings, disbursements, settlements and payments in a currency other than Euro in respect of an Alternative Currency Loan denominated in a currency other than Euro, or any other dealings in any currency other than Euro to be carried out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05" w:right="339" w:bottom="1440" w:gutter="0" w:footer="0" w:header="0"/>
        </w:sectPr>
      </w:pPr>
    </w:p>
    <w:bookmarkStart w:id="51" w:name="page52"/>
    <w:bookmarkEnd w:id="51"/>
    <w:p>
      <w:pPr>
        <w:jc w:val="both"/>
        <w:spacing w:after="0" w:line="229" w:lineRule="auto"/>
        <w:rPr>
          <w:sz w:val="20"/>
          <w:szCs w:val="20"/>
          <w:color w:val="auto"/>
        </w:rPr>
      </w:pPr>
      <w:r>
        <w:rPr>
          <w:rFonts w:ascii="Arial" w:cs="Arial" w:eastAsia="Arial" w:hAnsi="Arial"/>
          <w:sz w:val="20"/>
          <w:szCs w:val="20"/>
          <w:color w:val="auto"/>
        </w:rPr>
        <w:t>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and “</w:t>
      </w:r>
      <w:r>
        <w:rPr>
          <w:rFonts w:ascii="Arial" w:cs="Arial" w:eastAsia="Arial" w:hAnsi="Arial"/>
          <w:sz w:val="20"/>
          <w:szCs w:val="20"/>
          <w:u w:val="single" w:color="auto"/>
          <w:color w:val="auto"/>
        </w:rPr>
        <w:t>CAD</w:t>
      </w:r>
      <w:r>
        <w:rPr>
          <w:rFonts w:ascii="Arial" w:cs="Arial" w:eastAsia="Arial" w:hAnsi="Arial"/>
          <w:sz w:val="20"/>
          <w:szCs w:val="20"/>
          <w:color w:val="auto"/>
        </w:rPr>
        <w:t>” means the lawful currency of Canada.</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Leases</w:t>
      </w:r>
      <w:r>
        <w:rPr>
          <w:rFonts w:ascii="Arial" w:cs="Arial" w:eastAsia="Arial" w:hAnsi="Arial"/>
          <w:sz w:val="20"/>
          <w:szCs w:val="20"/>
          <w:color w:val="auto"/>
        </w:rPr>
        <w:t xml:space="preserve">” means all leases that have been or should be, in accordance with GAAP, recorded as capitalized leases, subject to </w:t>
      </w:r>
      <w:r>
        <w:rPr>
          <w:rFonts w:ascii="Arial" w:cs="Arial" w:eastAsia="Arial" w:hAnsi="Arial"/>
          <w:sz w:val="20"/>
          <w:szCs w:val="20"/>
          <w:u w:val="single" w:color="auto"/>
          <w:color w:val="auto"/>
        </w:rPr>
        <w:t>Section 1.03(c)</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Capped Call Transactions</w:t>
      </w:r>
      <w:r>
        <w:rPr>
          <w:rFonts w:ascii="Arial" w:cs="Arial" w:eastAsia="Arial" w:hAnsi="Arial"/>
          <w:sz w:val="19"/>
          <w:szCs w:val="19"/>
          <w:color w:val="auto"/>
        </w:rPr>
        <w:t>” means one or more call options referencing the Company’s Equity Interests purchased by the Company in connection with the issuance of Convertible Bond Indebtedness with a strike or exercise price (howsoever defined) initially equal to the conversion price (howsoever defined) of the related Convertible Bond Indebtedness (subject to rounding) and limiting the amount deliverable to the Company upon exercise thereof based on a cap or upper strike price (howsoever defined).</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Subsidiary</w:t>
      </w:r>
      <w:r>
        <w:rPr>
          <w:rFonts w:ascii="Arial" w:cs="Arial" w:eastAsia="Arial" w:hAnsi="Arial"/>
          <w:sz w:val="20"/>
          <w:szCs w:val="20"/>
          <w:color w:val="auto"/>
        </w:rPr>
        <w:t>” means any Subsidiary of the Company that is subject to regulation as an insurance company (or any Subsidiary thereof) under, and in accordance with, applicable Law.</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L/C Issuers or the Swingline Lender (as applicable) or the Lenders, as collateral for L/C Obligations, the Obligations in respect of Swingline Loans, or obligations of the Revolving Lenders to fund participations in respect of either thereof (as the context may require), cash or deposit account balances, or, if the Administrative Agent and the applicable L/C Issuer or the Swingline Lender, as the case may be, shall agree, other credit support, in each case, pursuant to documentation in form and substance reasonably satisfactory to the Administrative Agent and such L/C Issuer or the Swingline Lender (as applicable). “</w:t>
      </w:r>
      <w:r>
        <w:rPr>
          <w:rFonts w:ascii="Arial" w:cs="Arial" w:eastAsia="Arial" w:hAnsi="Arial"/>
          <w:sz w:val="18"/>
          <w:szCs w:val="18"/>
          <w:u w:val="single" w:color="auto"/>
          <w:color w:val="auto"/>
        </w:rPr>
        <w:t>Cash Collateral</w:t>
      </w:r>
      <w:r>
        <w:rPr>
          <w:rFonts w:ascii="Arial" w:cs="Arial" w:eastAsia="Arial" w:hAnsi="Arial"/>
          <w:sz w:val="18"/>
          <w:szCs w:val="18"/>
          <w:color w:val="auto"/>
        </w:rPr>
        <w: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any of the following types of Investments, to the extent owned by the Company or any of its Restricted Subsidiaries free and clear of all Liens (other than Permitted Liens):</w:t>
      </w:r>
    </w:p>
    <w:p>
      <w:pPr>
        <w:spacing w:after="0" w:line="155" w:lineRule="exact"/>
        <w:rPr>
          <w:sz w:val="20"/>
          <w:szCs w:val="20"/>
          <w:color w:val="auto"/>
        </w:rPr>
      </w:pPr>
    </w:p>
    <w:p>
      <w:pPr>
        <w:jc w:val="both"/>
        <w:ind w:left="660" w:firstLine="644"/>
        <w:spacing w:after="0" w:line="218" w:lineRule="auto"/>
        <w:tabs>
          <w:tab w:leader="none" w:pos="1752"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readily marketable obligations issued or directly and fully guaranteed or insured by the United States or any agency or instrumentality thereof having maturities of not more than three hundred sixty days (360) days from the date of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 of the United States is pledged in support thereof;</w:t>
      </w:r>
    </w:p>
    <w:p>
      <w:pPr>
        <w:spacing w:after="0" w:line="156" w:lineRule="exact"/>
        <w:rPr>
          <w:rFonts w:ascii="Arial" w:cs="Arial" w:eastAsia="Arial" w:hAnsi="Arial"/>
          <w:sz w:val="20"/>
          <w:szCs w:val="20"/>
          <w:color w:val="auto"/>
        </w:rPr>
      </w:pPr>
    </w:p>
    <w:p>
      <w:pPr>
        <w:jc w:val="both"/>
        <w:ind w:left="660" w:firstLine="644"/>
        <w:spacing w:after="0" w:line="231" w:lineRule="auto"/>
        <w:tabs>
          <w:tab w:leader="none" w:pos="17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one hundred eighty (180) days from the date of acquisition thereof;</w:t>
      </w:r>
    </w:p>
    <w:p>
      <w:pPr>
        <w:spacing w:after="0" w:line="154" w:lineRule="exact"/>
        <w:rPr>
          <w:rFonts w:ascii="Arial" w:cs="Arial" w:eastAsia="Arial" w:hAnsi="Arial"/>
          <w:sz w:val="18"/>
          <w:szCs w:val="18"/>
          <w:color w:val="auto"/>
        </w:rPr>
      </w:pPr>
    </w:p>
    <w:p>
      <w:pPr>
        <w:jc w:val="both"/>
        <w:ind w:left="660" w:firstLine="644"/>
        <w:spacing w:after="0" w:line="218" w:lineRule="auto"/>
        <w:tabs>
          <w:tab w:leader="none" w:pos="1788"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w:t>
      </w:r>
    </w:p>
    <w:p>
      <w:pPr>
        <w:spacing w:after="0" w:line="156" w:lineRule="exact"/>
        <w:rPr>
          <w:rFonts w:ascii="Arial" w:cs="Arial" w:eastAsia="Arial" w:hAnsi="Arial"/>
          <w:sz w:val="20"/>
          <w:szCs w:val="20"/>
          <w:color w:val="auto"/>
        </w:rPr>
      </w:pPr>
    </w:p>
    <w:p>
      <w:pPr>
        <w:jc w:val="both"/>
        <w:ind w:left="660" w:firstLine="644"/>
        <w:spacing w:after="0" w:line="236" w:lineRule="auto"/>
        <w:tabs>
          <w:tab w:leader="none" w:pos="19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05" w:right="339" w:bottom="1440" w:gutter="0" w:footer="0" w:header="0"/>
        </w:sectPr>
      </w:pPr>
    </w:p>
    <w:bookmarkStart w:id="52" w:name="page53"/>
    <w:bookmarkEnd w:id="52"/>
    <w:p>
      <w:pPr>
        <w:ind w:left="660" w:firstLine="644"/>
        <w:spacing w:after="0" w:line="229" w:lineRule="auto"/>
        <w:tabs>
          <w:tab w:leader="none" w:pos="1826"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repurchase obligations for underlying securities of the types described in clauses (a) and (b) entered into with any financial institution or recognized securities dealer meeting the qualifications specified in clause (b) above;</w:t>
      </w:r>
    </w:p>
    <w:p>
      <w:pPr>
        <w:spacing w:after="0" w:line="155" w:lineRule="exact"/>
        <w:rPr>
          <w:rFonts w:ascii="Arial" w:cs="Arial" w:eastAsia="Arial" w:hAnsi="Arial"/>
          <w:sz w:val="20"/>
          <w:szCs w:val="20"/>
          <w:color w:val="auto"/>
        </w:rPr>
      </w:pPr>
    </w:p>
    <w:p>
      <w:pPr>
        <w:jc w:val="both"/>
        <w:ind w:left="660" w:firstLine="644"/>
        <w:spacing w:after="0" w:line="224" w:lineRule="auto"/>
        <w:tabs>
          <w:tab w:leader="none" w:pos="1723" w:val="left"/>
        </w:tabs>
        <w:numPr>
          <w:ilvl w:val="0"/>
          <w:numId w:val="23"/>
        </w:numPr>
        <w:rPr>
          <w:rFonts w:ascii="Arial" w:cs="Arial" w:eastAsia="Arial" w:hAnsi="Arial"/>
          <w:sz w:val="19"/>
          <w:szCs w:val="19"/>
          <w:color w:val="auto"/>
        </w:rPr>
      </w:pPr>
      <w:r>
        <w:rPr>
          <w:rFonts w:ascii="Arial" w:cs="Arial" w:eastAsia="Arial" w:hAnsi="Arial"/>
          <w:sz w:val="19"/>
          <w:szCs w:val="19"/>
          <w:color w:val="auto"/>
        </w:rPr>
        <w:t>solely with respect to any Restricted Subsidiary that is a Foreign Subsidiary, (i) such local currencies in those countries in which such Foreign Subsidiary transacts business from time to time in the ordinary course of business and (ii) Investments of comparable tenor and credit quality to those described in the foregoing clauses (a) through (e) customarily utilized in countries in which such Foreign Subsidiary operates for short term cash management purposes; and</w:t>
      </w:r>
    </w:p>
    <w:p>
      <w:pPr>
        <w:spacing w:after="0" w:line="156" w:lineRule="exact"/>
        <w:rPr>
          <w:rFonts w:ascii="Arial" w:cs="Arial" w:eastAsia="Arial" w:hAnsi="Arial"/>
          <w:sz w:val="19"/>
          <w:szCs w:val="19"/>
          <w:color w:val="auto"/>
        </w:rPr>
      </w:pPr>
    </w:p>
    <w:p>
      <w:pPr>
        <w:ind w:left="1740" w:hanging="436"/>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Investments held by the Company and its Restricted Subsidiaries in accordance with the Investment Policy.</w:t>
      </w:r>
    </w:p>
    <w:p>
      <w:pPr>
        <w:spacing w:after="0" w:line="19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Bank</w:t>
      </w:r>
      <w:r>
        <w:rPr>
          <w:rFonts w:ascii="Arial" w:cs="Arial" w:eastAsia="Arial" w:hAnsi="Arial"/>
          <w:sz w:val="16"/>
          <w:szCs w:val="16"/>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any of the foregoing to be included as a “Guaranteed Cash Management Agreement” on any date of determination by the Administrative Agent, the applicable Cash Management Bank (other than the Administrative Agent or an Affiliate of the Administrative Agent) must have delivered a Guaranteed Party Designation Notice to the Administrative Agent prior to such date of determination.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w:t>
      </w:r>
      <w:r>
        <w:rPr>
          <w:rFonts w:ascii="Arial" w:cs="Arial" w:eastAsia="Arial" w:hAnsi="Arial"/>
          <w:sz w:val="20"/>
          <w:szCs w:val="20"/>
          <w:color w:val="auto"/>
        </w:rPr>
        <w:t>” has the meaning specified in the definition of “Alternative Currency Term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Person that is a controlled foreign corporation within the meaning of Section 957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CFF</w:t>
      </w:r>
      <w:r>
        <w:rPr>
          <w:rFonts w:ascii="Arial" w:cs="Arial" w:eastAsia="Arial" w:hAnsi="Arial"/>
          <w:sz w:val="19"/>
          <w:szCs w:val="19"/>
          <w:color w:val="auto"/>
        </w:rPr>
        <w:t>” means Cystic Fibrosis Foundation (as successor in interest to Cystic Fibrosis Foundation Therapeutics Incorporated).</w:t>
      </w:r>
    </w:p>
    <w:p>
      <w:pPr>
        <w:spacing w:after="0" w:line="18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CFF Amendment</w:t>
      </w:r>
      <w:r>
        <w:rPr>
          <w:rFonts w:ascii="Arial" w:cs="Arial" w:eastAsia="Arial" w:hAnsi="Arial"/>
          <w:sz w:val="20"/>
          <w:szCs w:val="20"/>
          <w:color w:val="auto"/>
        </w:rPr>
        <w:t>” means that certain Amendment #7 to the CFF R&amp;D Agreement, dated as of October 13, 2016, by and among the Company and CFF, and any agreements ancillary thereto.</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CFF R&amp;D Agreement</w:t>
      </w:r>
      <w:r>
        <w:rPr>
          <w:rFonts w:ascii="Arial" w:cs="Arial" w:eastAsia="Arial" w:hAnsi="Arial"/>
          <w:sz w:val="20"/>
          <w:szCs w:val="20"/>
          <w:color w:val="auto"/>
        </w:rPr>
        <w:t>” means that certain Research, Development and Commercialization Agreement, dated as of May 24, 2004 between the Company and CFF, as amended.</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CFF Royalty Payments</w:t>
      </w:r>
      <w:r>
        <w:rPr>
          <w:rFonts w:ascii="Arial" w:cs="Arial" w:eastAsia="Arial" w:hAnsi="Arial"/>
          <w:sz w:val="20"/>
          <w:szCs w:val="20"/>
          <w:color w:val="auto"/>
        </w:rPr>
        <w:t>” means royalty payments paid pursuant to the CFF R&amp;D Agreement (as amended by the CFF Amendment) by the Company to CFF, if any, on net sales of compounds.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05" w:right="339" w:bottom="1440" w:gutter="0" w:footer="0" w:header="0"/>
        </w:sectPr>
      </w:pPr>
    </w:p>
    <w:bookmarkStart w:id="53" w:name="page54"/>
    <w:bookmarkEnd w:id="53"/>
    <w:p>
      <w:pPr>
        <w:jc w:val="both"/>
        <w:spacing w:after="0" w:line="229" w:lineRule="auto"/>
        <w:rPr>
          <w:sz w:val="20"/>
          <w:szCs w:val="20"/>
          <w:color w:val="auto"/>
        </w:rPr>
      </w:pPr>
      <w:r>
        <w:rPr>
          <w:rFonts w:ascii="Arial" w:cs="Arial" w:eastAsia="Arial" w:hAnsi="Arial"/>
          <w:sz w:val="20"/>
          <w:szCs w:val="20"/>
          <w:color w:val="auto"/>
        </w:rPr>
        <w:t>regulatory authorities, in each case pursuant to Basel III or CRD IV, shall in each case be deemed to be a “Change in Law”, regardless of the date enacted, adopted or issued.</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thirty-five percent (35)% or more of the Equity Interests of the Company entitled to vote for members of the board of directors or equivalent governing body of the Company on a fully-diluted basis (and taking into account all such securities that such “person” or “group” has the right to acquire pursuant to any option right).</w:t>
      </w:r>
    </w:p>
    <w:p>
      <w:pPr>
        <w:spacing w:after="0" w:line="1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(a) when used in respect of any Loan or Borrowing, whether such Loan or the Loans comprising such Borrowing are Revolving Loans under the Revolving Facility, Revolving Loans under an Extended Revolving Facility, or Swingline Loans, and (b) when used in respect of any commitment, whether such commitment is a Revolving Commitment or an Extended Revolving Commitment. Extended Revolving Facilities that have different terms and conditions (together with the Extended Revolving Commitments in respect thereof) from any other Class of Revolving Commitments shall be construed to be in separate and distinct Classes.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July 1, 2022.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w:t>
      </w:r>
      <w:r>
        <w:rPr>
          <w:rFonts w:ascii="Arial" w:cs="Arial" w:eastAsia="Arial" w:hAnsi="Arial"/>
          <w:sz w:val="20"/>
          <w:szCs w:val="20"/>
          <w:color w:val="auto"/>
        </w:rPr>
        <w:t>” means CME Group Benchmark Administration Limited.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w:t>
      </w:r>
      <w:r>
        <w:rPr>
          <w:rFonts w:ascii="Arial" w:cs="Arial" w:eastAsia="Arial" w:hAnsi="Arial"/>
          <w:sz w:val="20"/>
          <w:szCs w:val="20"/>
          <w:color w:val="auto"/>
        </w:rPr>
        <w:t>” means this Agreement, any other Loan Document, and any other document, amendment, approval, consent, information, notice, certificate, request, statement, disclosure, or authorization related to any Loan Document.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means a certificate substantially in the form of Exhibit C.</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Conforming Changes</w:t>
      </w:r>
      <w:r>
        <w:rPr>
          <w:rFonts w:ascii="Arial" w:cs="Arial" w:eastAsia="Arial" w:hAnsi="Arial"/>
          <w:sz w:val="19"/>
          <w:szCs w:val="19"/>
          <w:color w:val="auto"/>
        </w:rPr>
        <w:t>” means, with respect to the use, administration of or any conventions associated with any Relevant Rate or any proposed Successor Rate for an Alternative Currency, as applicable, any conforming changes to the definition of “BBSY”, the definition of “CDOR”, the definition of “EURIBOR”, the definition of “Interest Period”, the definition of “SARON”, the definition of “SONIA”, the timing and frequency of determining rates and making payments of interest and other technical, administrative or operational matters (including, for the avoidance of doubt, the definition of “Business Day”, the timing of borrowing requests or prepayment, conversion or continuation notices and the length of lookback periods) as may be appropriate, in the reasonable discretion of the Administrative Agent, in consultation with the Company, to reflect the adoption and implementation of such applicable rate(s) and to permit the administration thereof by the Administrative Agent in a manner substantially consistent with market practice for such Alternative Currency (or, if the Administrative Agent determines that adoption of any portion of such market practice is not administratively feasible or that no market practice for the administration of such rate for such Alternative Currency exists, in such other manner of administration as the Administrative Agent, in consultation with the Company, determines is reasonably necessary in connection with the administration of this Agreement and any other Loan Document).</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05" w:right="339" w:bottom="1440" w:gutter="0" w:footer="0" w:header="0"/>
        </w:sectPr>
      </w:pPr>
    </w:p>
    <w:bookmarkStart w:id="54" w:name="page55"/>
    <w:bookmarkEnd w:id="54"/>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the Company and its Subsidiaries (or Restricted Subsidiaries, as applicable) or any other Person, such statements or items on a consolidated basis in accordance with the consolidation principles of GAAP.</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means, for any Measurement Period, the sum of the following determined on a Consolidated basis, without duplication, for the Company and its Restricted Subsidiaries in accordance with GAAP:</w:t>
      </w:r>
    </w:p>
    <w:p>
      <w:pPr>
        <w:spacing w:after="0" w:line="155" w:lineRule="exact"/>
        <w:rPr>
          <w:sz w:val="20"/>
          <w:szCs w:val="20"/>
          <w:color w:val="auto"/>
        </w:rPr>
      </w:pPr>
    </w:p>
    <w:p>
      <w:pPr>
        <w:ind w:left="1720" w:hanging="416"/>
        <w:spacing w:after="0"/>
        <w:tabs>
          <w:tab w:leader="none" w:pos="1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Measurement Period, </w:t>
      </w:r>
      <w:r>
        <w:rPr>
          <w:rFonts w:ascii="Arial" w:cs="Arial" w:eastAsia="Arial" w:hAnsi="Arial"/>
          <w:sz w:val="20"/>
          <w:szCs w:val="20"/>
          <w:u w:val="single" w:color="auto"/>
          <w:color w:val="auto"/>
        </w:rPr>
        <w:t>plus</w:t>
      </w:r>
    </w:p>
    <w:p>
      <w:pPr>
        <w:spacing w:after="0" w:line="175" w:lineRule="exact"/>
        <w:rPr>
          <w:rFonts w:ascii="Arial" w:cs="Arial" w:eastAsia="Arial" w:hAnsi="Arial"/>
          <w:sz w:val="20"/>
          <w:szCs w:val="20"/>
          <w:color w:val="auto"/>
        </w:rPr>
      </w:pPr>
    </w:p>
    <w:p>
      <w:pPr>
        <w:ind w:left="660" w:firstLine="644"/>
        <w:spacing w:after="0" w:line="229" w:lineRule="auto"/>
        <w:tabs>
          <w:tab w:leader="none" w:pos="1852"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of the following to the extent deducted (or, in the case of clause (xiv)(A) below, not otherwise included) in calculating such Consolidated Net Income (without duplication):</w:t>
      </w:r>
    </w:p>
    <w:p>
      <w:pPr>
        <w:spacing w:after="0" w:line="155" w:lineRule="exact"/>
        <w:rPr>
          <w:rFonts w:ascii="Arial" w:cs="Arial" w:eastAsia="Arial" w:hAnsi="Arial"/>
          <w:sz w:val="20"/>
          <w:szCs w:val="20"/>
          <w:color w:val="auto"/>
        </w:rPr>
      </w:pPr>
    </w:p>
    <w:p>
      <w:pPr>
        <w:ind w:left="2340" w:hanging="388"/>
        <w:spacing w:after="0"/>
        <w:tabs>
          <w:tab w:leader="none" w:pos="23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Consolidated Interest Charges,</w:t>
      </w:r>
    </w:p>
    <w:p>
      <w:pPr>
        <w:spacing w:after="0" w:line="175" w:lineRule="exact"/>
        <w:rPr>
          <w:rFonts w:ascii="Arial" w:cs="Arial" w:eastAsia="Arial" w:hAnsi="Arial"/>
          <w:sz w:val="20"/>
          <w:szCs w:val="20"/>
          <w:color w:val="auto"/>
        </w:rPr>
      </w:pPr>
    </w:p>
    <w:p>
      <w:pPr>
        <w:ind w:left="2400" w:hanging="448"/>
        <w:spacing w:after="0"/>
        <w:tabs>
          <w:tab w:leader="none" w:pos="24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provision for federal, state, local and foreign income taxes payable,</w:t>
      </w:r>
    </w:p>
    <w:p>
      <w:pPr>
        <w:spacing w:after="0" w:line="175" w:lineRule="exact"/>
        <w:rPr>
          <w:rFonts w:ascii="Arial" w:cs="Arial" w:eastAsia="Arial" w:hAnsi="Arial"/>
          <w:sz w:val="20"/>
          <w:szCs w:val="20"/>
          <w:color w:val="auto"/>
        </w:rPr>
      </w:pPr>
    </w:p>
    <w:p>
      <w:pPr>
        <w:ind w:left="2440" w:hanging="488"/>
        <w:spacing w:after="0"/>
        <w:tabs>
          <w:tab w:leader="none" w:pos="24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depreciation and amortization expense,</w:t>
      </w:r>
    </w:p>
    <w:p>
      <w:pPr>
        <w:spacing w:after="0" w:line="175" w:lineRule="exact"/>
        <w:rPr>
          <w:rFonts w:ascii="Arial" w:cs="Arial" w:eastAsia="Arial" w:hAnsi="Arial"/>
          <w:sz w:val="20"/>
          <w:szCs w:val="20"/>
          <w:color w:val="auto"/>
        </w:rPr>
      </w:pPr>
    </w:p>
    <w:p>
      <w:pPr>
        <w:ind w:left="1300" w:right="20" w:firstLine="652"/>
        <w:spacing w:after="0" w:line="229" w:lineRule="auto"/>
        <w:tabs>
          <w:tab w:leader="none" w:pos="2548"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non-cash expenses related to stock-based compensation, benefits or incentives (</w:t>
      </w:r>
      <w:r>
        <w:rPr>
          <w:rFonts w:ascii="Arial" w:cs="Arial" w:eastAsia="Arial" w:hAnsi="Arial"/>
          <w:sz w:val="20"/>
          <w:szCs w:val="20"/>
          <w:u w:val="single" w:color="auto"/>
          <w:color w:val="auto"/>
        </w:rPr>
        <w:t>net of</w:t>
      </w:r>
      <w:r>
        <w:rPr>
          <w:rFonts w:ascii="Arial" w:cs="Arial" w:eastAsia="Arial" w:hAnsi="Arial"/>
          <w:sz w:val="20"/>
          <w:szCs w:val="20"/>
          <w:color w:val="auto"/>
        </w:rPr>
        <w:t xml:space="preserve"> any cash payments related to stock-based compensation, benefits or incentives),</w:t>
      </w:r>
    </w:p>
    <w:p>
      <w:pPr>
        <w:spacing w:after="0" w:line="155" w:lineRule="exact"/>
        <w:rPr>
          <w:rFonts w:ascii="Arial" w:cs="Arial" w:eastAsia="Arial" w:hAnsi="Arial"/>
          <w:sz w:val="20"/>
          <w:szCs w:val="20"/>
          <w:color w:val="auto"/>
        </w:rPr>
      </w:pPr>
    </w:p>
    <w:p>
      <w:pPr>
        <w:jc w:val="both"/>
        <w:ind w:left="1300" w:firstLine="652"/>
        <w:spacing w:after="0" w:line="228" w:lineRule="auto"/>
        <w:tabs>
          <w:tab w:leader="none" w:pos="24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non-cash charges, expenses and losses (including any non-cash charges attributable to impairment of goodwill or other intangible assets or impairment of long-lived assets but excluding any such non-cash charges or losses to the extent</w:t>
      </w:r>
    </w:p>
    <w:p>
      <w:pPr>
        <w:ind w:left="1300"/>
        <w:spacing w:after="0" w:line="250" w:lineRule="auto"/>
        <w:rPr>
          <w:rFonts w:ascii="Arial" w:cs="Arial" w:eastAsia="Arial" w:hAnsi="Arial"/>
          <w:sz w:val="18"/>
          <w:szCs w:val="18"/>
          <w:color w:val="auto"/>
        </w:rPr>
      </w:pPr>
      <w:r>
        <w:rPr>
          <w:rFonts w:ascii="Arial" w:cs="Arial" w:eastAsia="Arial" w:hAnsi="Arial"/>
          <w:sz w:val="18"/>
          <w:szCs w:val="18"/>
          <w:color w:val="auto"/>
        </w:rPr>
        <w:t>(A) there were cash charges with respect to such charges and losses in past accounting periods or (B) there is a reasonable expectation that there will be cash charges with respect to such charges and losses in future accounting periods),</w:t>
      </w:r>
    </w:p>
    <w:p>
      <w:pPr>
        <w:spacing w:after="0" w:line="146" w:lineRule="exact"/>
        <w:rPr>
          <w:rFonts w:ascii="Arial" w:cs="Arial" w:eastAsia="Arial" w:hAnsi="Arial"/>
          <w:sz w:val="18"/>
          <w:szCs w:val="18"/>
          <w:color w:val="auto"/>
        </w:rPr>
      </w:pPr>
    </w:p>
    <w:p>
      <w:pPr>
        <w:ind w:left="2440" w:hanging="488"/>
        <w:spacing w:after="0"/>
        <w:tabs>
          <w:tab w:leader="none" w:pos="24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R&amp;D Collaboration Payments,</w:t>
      </w:r>
    </w:p>
    <w:p>
      <w:pPr>
        <w:spacing w:after="0" w:line="175" w:lineRule="exact"/>
        <w:rPr>
          <w:rFonts w:ascii="Arial" w:cs="Arial" w:eastAsia="Arial" w:hAnsi="Arial"/>
          <w:sz w:val="20"/>
          <w:szCs w:val="20"/>
          <w:color w:val="auto"/>
        </w:rPr>
      </w:pPr>
    </w:p>
    <w:p>
      <w:pPr>
        <w:ind w:left="2500" w:hanging="548"/>
        <w:spacing w:after="0"/>
        <w:tabs>
          <w:tab w:leader="none" w:pos="25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left="1300" w:firstLine="652"/>
        <w:spacing w:after="0" w:line="225" w:lineRule="auto"/>
        <w:tabs>
          <w:tab w:leader="none" w:pos="25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 one-time non-recurring transaction fees, costs and expenses, integration, reorganization and restructuring costs and facility consolidation and closing costs incurred in connection with reorganizations and restructurings;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fees, costs and expenses are incurred within twenty-four (24) months of the occurrence of such applicable triggering event; (B) one-time non-recurring severance costs and expenses, payments to employees on account of their equity ownership and compensation charges incurred in connection with reorganizations and restructurings;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costs, expenses and charges are incurred within twenty-four (24) months of the occurrence of such applicable triggering event; (C) one-time non-recurring expenses related to the transactions contemplated by this Agreement and any other one-time non-recurring expenses or charges related to any equity offering, Investment, Acquisition, Disposition, divestiture or merger, consolidation, amalgamation or other business combination, in each case, not prohibited under this Agreement, or the incurrence, amendment or modification of Indebtedness permitted to be incurred under this Agreement (including a refinancing thereof) (in each case, whether or not successful); and (D) such other amounts as the Administrative Agent shall approve in its reasonable discretion,</w:t>
      </w:r>
    </w:p>
    <w:p>
      <w:pPr>
        <w:spacing w:after="0" w:line="155" w:lineRule="exact"/>
        <w:rPr>
          <w:rFonts w:ascii="Arial" w:cs="Arial" w:eastAsia="Arial" w:hAnsi="Arial"/>
          <w:sz w:val="18"/>
          <w:szCs w:val="18"/>
          <w:color w:val="auto"/>
        </w:rPr>
      </w:pPr>
    </w:p>
    <w:p>
      <w:pPr>
        <w:ind w:left="1300" w:firstLine="652"/>
        <w:spacing w:after="0" w:line="229" w:lineRule="auto"/>
        <w:tabs>
          <w:tab w:leader="none" w:pos="2604"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earnouts, milestone payments, royalty payments, working capital adjustments and other contingent payment obligations incurred under any Acquisition or other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05" w:right="339" w:bottom="1440" w:gutter="0" w:footer="0" w:header="0"/>
        </w:sectPr>
      </w:pPr>
    </w:p>
    <w:bookmarkStart w:id="55" w:name="page56"/>
    <w:bookmarkEnd w:id="55"/>
    <w:p>
      <w:pPr>
        <w:jc w:val="both"/>
        <w:ind w:left="1300" w:right="20" w:firstLine="652"/>
        <w:spacing w:after="0" w:line="218" w:lineRule="auto"/>
        <w:tabs>
          <w:tab w:leader="none" w:pos="2438" w:val="left"/>
        </w:tabs>
        <w:numPr>
          <w:ilvl w:val="1"/>
          <w:numId w:val="25"/>
        </w:numPr>
        <w:rPr>
          <w:rFonts w:ascii="Arial" w:cs="Arial" w:eastAsia="Arial" w:hAnsi="Arial"/>
          <w:sz w:val="20"/>
          <w:szCs w:val="20"/>
          <w:color w:val="auto"/>
        </w:rPr>
      </w:pPr>
      <w:r>
        <w:rPr>
          <w:rFonts w:ascii="Arial" w:cs="Arial" w:eastAsia="Arial" w:hAnsi="Arial"/>
          <w:sz w:val="20"/>
          <w:szCs w:val="20"/>
          <w:color w:val="auto"/>
        </w:rPr>
        <w:t>net after-tax losses (including all fees and expenses or charges relating thereto) on any sale or disposition of any asset of the Company or any of its Restricted Subsidiaries outside of the ordinary course of business and net after-tax losses from discontinued operations,</w:t>
      </w:r>
    </w:p>
    <w:p>
      <w:pPr>
        <w:spacing w:after="0" w:line="156" w:lineRule="exact"/>
        <w:rPr>
          <w:rFonts w:ascii="Arial" w:cs="Arial" w:eastAsia="Arial" w:hAnsi="Arial"/>
          <w:sz w:val="20"/>
          <w:szCs w:val="20"/>
          <w:color w:val="auto"/>
        </w:rPr>
      </w:pPr>
    </w:p>
    <w:p>
      <w:pPr>
        <w:ind w:left="1300" w:firstLine="652"/>
        <w:spacing w:after="0" w:line="229" w:lineRule="auto"/>
        <w:tabs>
          <w:tab w:leader="none" w:pos="2630" w:val="left"/>
        </w:tabs>
        <w:numPr>
          <w:ilvl w:val="1"/>
          <w:numId w:val="25"/>
        </w:numPr>
        <w:rPr>
          <w:rFonts w:ascii="Arial" w:cs="Arial" w:eastAsia="Arial" w:hAnsi="Arial"/>
          <w:sz w:val="20"/>
          <w:szCs w:val="20"/>
          <w:color w:val="auto"/>
        </w:rPr>
      </w:pPr>
      <w:r>
        <w:rPr>
          <w:rFonts w:ascii="Arial" w:cs="Arial" w:eastAsia="Arial" w:hAnsi="Arial"/>
          <w:sz w:val="20"/>
          <w:szCs w:val="20"/>
          <w:color w:val="auto"/>
        </w:rPr>
        <w:t>net after-tax losses (including all fees and expenses or charges relating thereto) on the retirement or extinguishment of Indebtedness,</w:t>
      </w:r>
    </w:p>
    <w:p>
      <w:pPr>
        <w:spacing w:after="0" w:line="155" w:lineRule="exact"/>
        <w:rPr>
          <w:rFonts w:ascii="Arial" w:cs="Arial" w:eastAsia="Arial" w:hAnsi="Arial"/>
          <w:sz w:val="20"/>
          <w:szCs w:val="20"/>
          <w:color w:val="auto"/>
        </w:rPr>
      </w:pPr>
    </w:p>
    <w:p>
      <w:pPr>
        <w:jc w:val="both"/>
        <w:ind w:left="1300" w:firstLine="652"/>
        <w:spacing w:after="0" w:line="218" w:lineRule="auto"/>
        <w:tabs>
          <w:tab w:leader="none" w:pos="255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effects of adjustments pursuant to GAAP resulting from purchase accounting in relation to Investments not prohibited by this Agreement, or the amortization or write-off of any amounts thereof, net of taxes, in each case, which do not represent a cash item in such period or any future period,</w:t>
      </w:r>
    </w:p>
    <w:p>
      <w:pPr>
        <w:spacing w:after="0" w:line="156" w:lineRule="exact"/>
        <w:rPr>
          <w:rFonts w:ascii="Arial" w:cs="Arial" w:eastAsia="Arial" w:hAnsi="Arial"/>
          <w:sz w:val="20"/>
          <w:szCs w:val="20"/>
          <w:color w:val="auto"/>
        </w:rPr>
      </w:pPr>
    </w:p>
    <w:p>
      <w:pPr>
        <w:ind w:left="1300" w:firstLine="652"/>
        <w:spacing w:after="0" w:line="269" w:lineRule="auto"/>
        <w:tabs>
          <w:tab w:leader="none" w:pos="25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the extent classified as such under Accounting Standards Update No. 2016-01 (“</w:t>
      </w:r>
      <w:r>
        <w:rPr>
          <w:rFonts w:ascii="Arial" w:cs="Arial" w:eastAsia="Arial" w:hAnsi="Arial"/>
          <w:sz w:val="18"/>
          <w:szCs w:val="18"/>
          <w:u w:val="single" w:color="auto"/>
          <w:color w:val="auto"/>
        </w:rPr>
        <w:t>ASU 2016-01</w:t>
      </w:r>
      <w:r>
        <w:rPr>
          <w:rFonts w:ascii="Arial" w:cs="Arial" w:eastAsia="Arial" w:hAnsi="Arial"/>
          <w:sz w:val="18"/>
          <w:szCs w:val="18"/>
          <w:color w:val="auto"/>
        </w:rPr>
        <w:t>”), any net unrealized, non-cash losses associated with the Company’s strategic investments in the ordinary course of business, and</w:t>
      </w:r>
    </w:p>
    <w:p>
      <w:pPr>
        <w:spacing w:after="0" w:line="130" w:lineRule="exact"/>
        <w:rPr>
          <w:rFonts w:ascii="Arial" w:cs="Arial" w:eastAsia="Arial" w:hAnsi="Arial"/>
          <w:sz w:val="18"/>
          <w:szCs w:val="18"/>
          <w:color w:val="auto"/>
        </w:rPr>
      </w:pPr>
    </w:p>
    <w:p>
      <w:pPr>
        <w:jc w:val="both"/>
        <w:ind w:left="1300" w:firstLine="652"/>
        <w:spacing w:after="0" w:line="224" w:lineRule="auto"/>
        <w:tabs>
          <w:tab w:leader="none" w:pos="2617"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(A) proceeds of business interruption insurance in an amount representing the earnings for the applicable period that such proceeds are intended to replace (whether or not received so long as such Person in good faith expects to receive the same within four (4) fiscal quarters of the occurrence of the event for which any such claim is made (it being understood that to the extent not actually received within such fiscal quarters, such proceeds shall be deducted in calculating Consolidated EBITDA for such fiscal quarters)) and (B) the amount of any fee, cost, expense or reserve to the extent actually reimbursed or reimbursable by third parties pursuant to indemnification or reimbursement provisions or similar agreements or insurance (so long as the Company in good faith expects to receive reimbursement for such fee, cost, expense or reserve within the next four (4) fiscal quarters of the occurrence of the event for which any such reimbursement is sought (it being understood that to the extent not actually received within such fiscal quarters, such amounts shall be deducted in calculating Consolidated EBITDA for such fiscal quarters));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the aggregate amount added or added back, as the case may be, pursuant to this clause (xiv) shall not exceed $125,000,000 during the term of this Agreement and (2) with respect to any claim for business interruption or reimbursement made against any insurer, such insurer has been notified to the potential claim and does not dispute coverage, </w:t>
      </w:r>
      <w:r>
        <w:rPr>
          <w:rFonts w:ascii="Arial" w:cs="Arial" w:eastAsia="Arial" w:hAnsi="Arial"/>
          <w:sz w:val="18"/>
          <w:szCs w:val="18"/>
          <w:u w:val="single" w:color="auto"/>
          <w:color w:val="auto"/>
        </w:rPr>
        <w:t>less</w:t>
      </w:r>
    </w:p>
    <w:p>
      <w:pPr>
        <w:spacing w:after="0" w:line="161" w:lineRule="exact"/>
        <w:rPr>
          <w:rFonts w:ascii="Arial" w:cs="Arial" w:eastAsia="Arial" w:hAnsi="Arial"/>
          <w:sz w:val="18"/>
          <w:szCs w:val="18"/>
          <w:color w:val="auto"/>
        </w:rPr>
      </w:pPr>
    </w:p>
    <w:p>
      <w:pPr>
        <w:jc w:val="both"/>
        <w:ind w:left="660" w:firstLine="644"/>
        <w:spacing w:after="0" w:line="214" w:lineRule="auto"/>
        <w:tabs>
          <w:tab w:leader="none" w:pos="1779"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without duplication and to the extent reflected as a gain or otherwise included in the calculation of Consolidated Net Income for such Measurement Period, (i) non-cash gains (excluding any such non-cash gains to the extent (A) there were cash gains with respect to such gains in past accounting periods or (B) there is a reasonable expectation that there will be cash gains with respect to such gains in future accounting periods, but including nonrecurring or unusual gains), (ii) amounts received in respect of upfront, earnout or milestone payments or other similar contingent amounts in connection with any Disposition, (iii) net after-tax gains (less any fees and expenses or charges relating thereto) on any sale or disposition of any asset of the Company or any of its Restricted Subsidiaries outside of the ordinary course of business and net after-tax gains from discontinued operations, (iv) net after-tax gains (less any fees and expenses or charges relating thereto) on the retirement or extinguishment of Indebtedness and (v) to the extent classified as such under ASU 2016-01, any net unrealized, non-cash gains associated with the Company’s strategic investments in the ordinary course of business.</w:t>
      </w:r>
    </w:p>
    <w:p>
      <w:pPr>
        <w:spacing w:after="0" w:line="15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Notwithstanding the foregoing to the contrary, in determining Consolidated EBITDA for any Measurement Period, (I) the net impact of (w) variable interest entities that the Company is required to consolidate pursuant to FASB ASC 810, (x) gains or losses associated with the revaluation of earnouts, milestones or other similar contingent obligations incurred in connection with any Investment (including upfront, earnout or milestone payments) and (y) net unrealized losses/gains from embedded derivatives that require the application of Accounting Standard Codification Topic 815 and related pronouncements (</w:t>
      </w:r>
      <w:r>
        <w:rPr>
          <w:rFonts w:ascii="Arial" w:cs="Arial" w:eastAsia="Arial" w:hAnsi="Arial"/>
          <w:sz w:val="18"/>
          <w:szCs w:val="18"/>
          <w:i w:val="1"/>
          <w:iCs w:val="1"/>
          <w:color w:val="auto"/>
        </w:rPr>
        <w:t>i.e.</w:t>
      </w:r>
      <w:r>
        <w:rPr>
          <w:rFonts w:ascii="Arial" w:cs="Arial" w:eastAsia="Arial" w:hAnsi="Arial"/>
          <w:sz w:val="18"/>
          <w:szCs w:val="18"/>
          <w:color w:val="auto"/>
        </w:rPr>
        <w:t>, related revenues minus related expenses and or reversals of accruals), shall, in each case of clauses (w) – (y), be excluded, (II) interest, depreciation and amortization related to the Specified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05" w:right="339" w:bottom="1440" w:gutter="0" w:footer="0" w:header="0"/>
        </w:sectPr>
      </w:pPr>
    </w:p>
    <w:bookmarkStart w:id="56" w:name="page57"/>
    <w:bookmarkEnd w:id="56"/>
    <w:p>
      <w:pPr>
        <w:jc w:val="both"/>
        <w:spacing w:after="0" w:line="213" w:lineRule="auto"/>
        <w:rPr>
          <w:sz w:val="20"/>
          <w:szCs w:val="20"/>
          <w:color w:val="auto"/>
        </w:rPr>
      </w:pPr>
      <w:r>
        <w:rPr>
          <w:rFonts w:ascii="Arial" w:cs="Arial" w:eastAsia="Arial" w:hAnsi="Arial"/>
          <w:sz w:val="20"/>
          <w:szCs w:val="20"/>
          <w:color w:val="auto"/>
        </w:rPr>
        <w:t>Properties shall be treated as operating expenses, and (III) notwithstanding any accounting principles or standards to the contrary, including Accounting Standards Codification Topic 730 and related pronouncements, for the purposes of calculating Consolidated EBITDA, (x) CFF Royalty Payments shall be characterized as a royalty expense and (y) Quarterly Reimbursement Payments shall be characterized as a reduction to research and development expense.</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w:t>
      </w:r>
    </w:p>
    <w:p>
      <w:pPr>
        <w:spacing w:after="0" w:line="1" w:lineRule="exact"/>
        <w:rPr>
          <w:sz w:val="20"/>
          <w:szCs w:val="20"/>
          <w:color w:val="auto"/>
        </w:rPr>
      </w:pPr>
    </w:p>
    <w:p>
      <w:pPr>
        <w:jc w:val="both"/>
        <w:ind w:firstLine="8"/>
        <w:spacing w:after="0" w:line="221" w:lineRule="auto"/>
        <w:tabs>
          <w:tab w:leader="none" w:pos="3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all purchase money Indebtedness; (c) unreimbursed, drawn and outstanding obligations under letters of credit (including standby and commercial) (but excluding any contingent obligations), bankers’ acceptances, bank guaranties, surety bonds and similar instruments; (d) all obligations in respect of the deferred purchase price of property or services (other than (i) trade accounts payable in the ordinary course of business, and (ii) all purchase price adjustments, earnouts, milestone payments, royalty payments, working capital adjustments and other contingent payment obligations, in each case of this </w:t>
      </w:r>
      <w:r>
        <w:rPr>
          <w:rFonts w:ascii="Arial" w:cs="Arial" w:eastAsia="Arial" w:hAnsi="Arial"/>
          <w:sz w:val="18"/>
          <w:szCs w:val="18"/>
          <w:u w:val="single" w:color="auto"/>
          <w:color w:val="auto"/>
        </w:rPr>
        <w:t>subclause (ii)</w:t>
      </w:r>
      <w:r>
        <w:rPr>
          <w:rFonts w:ascii="Arial" w:cs="Arial" w:eastAsia="Arial" w:hAnsi="Arial"/>
          <w:sz w:val="18"/>
          <w:szCs w:val="18"/>
          <w:color w:val="auto"/>
        </w:rPr>
        <w:t xml:space="preserve">, to the extent such obligations are contingent); (e) all Attributable Indebtedness in respect of Capitalized Leases;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limited liability company or similar limited liability entity) in which the Company or a Restricted Subsidiary is a general partner or joint venturer, unless such Indebtedness is expressly made non-recourse to the Company or such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Funded Indebtedness” shall not include (A) any intercompany Indebtedness among the Company and/or its Restricted Subsidiaries, or (B) any Specified CFF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as of any date of determination, the Company or any Restricted Subsidiary has (1) delivered (or caused to be delivered) an irrevocable repayment or redemption notice on or prior to such date that results in Consolidated Funded Indebtedness of the Company or such Restricted Subsidiary in the form of debt securities (any such Consolidated Funded Indebtedness being “</w:t>
      </w:r>
      <w:r>
        <w:rPr>
          <w:rFonts w:ascii="Arial" w:cs="Arial" w:eastAsia="Arial" w:hAnsi="Arial"/>
          <w:sz w:val="18"/>
          <w:szCs w:val="18"/>
          <w:u w:val="single" w:color="auto"/>
          <w:color w:val="auto"/>
        </w:rPr>
        <w:t>Defeased Debt</w:t>
      </w:r>
      <w:r>
        <w:rPr>
          <w:rFonts w:ascii="Arial" w:cs="Arial" w:eastAsia="Arial" w:hAnsi="Arial"/>
          <w:sz w:val="18"/>
          <w:szCs w:val="18"/>
          <w:color w:val="auto"/>
        </w:rPr>
        <w:t>”) being due and payable in full not later than sixty (60) days after such repayment or redemption notice has been delivered, and (2) deposited on or prior to such date cash with or for the benefit of the trustee or holders of such Defeased Debt to fund such repayment or redemption in full, then such Defeased Debt shall be considered repaid or redeemed for purposes of determining Consolidated Funded Indebtedness as of such date (it being understood that if, as of any date, any such deposit referred to in the foregoing clause (2) is returned and the corresponding Defeased Debt is not repaid or redeemed, but remains outstanding, such Defeased Debt shall no longer be considered repaid or redeemed as of such date).</w:t>
      </w:r>
    </w:p>
    <w:p>
      <w:pPr>
        <w:spacing w:after="0" w:line="16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xml:space="preserve">” means, for any Measurement Period, an amount equal to the following, in each case, of or by the Company and its Restricted Subsidiaries on a Consolidated basis for such Measurement Period: (a) the sum of (i) all interest, premium payments, debt discount, fees, charges and related expenses in connection with borrowed money (including capitalized interest), in each case to the extent treated as interest in accordance with GAAP, and (ii) the portion of rent expense under Capitalized Leases that is treated as interest in accordance with GAAP,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to the extent included in clause (a)(i) above, (i) non-cash amounts attributable to amortization of financing costs paid in a previous period, (ii) non-cash amounts attributable to amortization of debt discounts or accrued interest payable in kind for such period, (iii) any break funding payment made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and (iv) any imputed interest expense (including any interest, yield, rent or break funding payment (or similar obligations) paid or payable) in respect of any operating lease, including in respect of any leases of the Specified Leased Properties.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xml:space="preserve">” means, as of any date of determination, the ratio of (a) Consolidated Funded Indebtedness as of such date </w:t>
      </w:r>
      <w:r>
        <w:rPr>
          <w:rFonts w:ascii="Arial" w:cs="Arial" w:eastAsia="Arial" w:hAnsi="Arial"/>
          <w:sz w:val="20"/>
          <w:szCs w:val="20"/>
          <w:u w:val="single" w:color="auto"/>
          <w:color w:val="auto"/>
        </w:rPr>
        <w:t>to</w:t>
      </w:r>
      <w:r>
        <w:rPr>
          <w:rFonts w:ascii="Arial" w:cs="Arial" w:eastAsia="Arial" w:hAnsi="Arial"/>
          <w:sz w:val="20"/>
          <w:szCs w:val="20"/>
          <w:color w:val="auto"/>
        </w:rPr>
        <w:t xml:space="preserve"> (b) Consolidated EBITDA for the most recently completed Measurement Period.</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at any date of determination, the net income (or loss) of the Company and its Restricted Subsidiaries for the most recently completed Measurement Period, determined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05" w:right="339" w:bottom="1440" w:gutter="0" w:footer="0" w:header="0"/>
        </w:sectPr>
      </w:pPr>
    </w:p>
    <w:bookmarkStart w:id="57" w:name="page58"/>
    <w:bookmarkEnd w:id="57"/>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Worth</w:t>
      </w:r>
      <w:r>
        <w:rPr>
          <w:rFonts w:ascii="Arial" w:cs="Arial" w:eastAsia="Arial" w:hAnsi="Arial"/>
          <w:sz w:val="20"/>
          <w:szCs w:val="20"/>
          <w:color w:val="auto"/>
        </w:rPr>
        <w:t>” means, at any date of determination, the consolidated stockholders’ equity of the Company and its Restricted Subsidiaries on a Consolidated basis at such date.</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Bond Hedge Transactions</w:t>
      </w:r>
      <w:r>
        <w:rPr>
          <w:rFonts w:ascii="Arial" w:cs="Arial" w:eastAsia="Arial" w:hAnsi="Arial"/>
          <w:sz w:val="18"/>
          <w:szCs w:val="18"/>
          <w:color w:val="auto"/>
        </w:rPr>
        <w:t>” means one or more call options referencing the Company’s Equity Interests purchased by the Company in connection with the issuance of Convertible Bond Indebtedness with a strike or exercise price (howsoever defined) initially equal to the conversion or exchange price (howsoever defined) of the related Convertible Bond Indebtedness (subject to rounding).</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Convertible Bond Indebtedness</w:t>
      </w:r>
      <w:r>
        <w:rPr>
          <w:rFonts w:ascii="Arial" w:cs="Arial" w:eastAsia="Arial" w:hAnsi="Arial"/>
          <w:sz w:val="20"/>
          <w:szCs w:val="20"/>
          <w:color w:val="auto"/>
        </w:rPr>
        <w:t>” means Indebtedness having a feature which entitles the holder thereof to convert all or a portion of such Indebtedness into Equity Interests of the Company (and cash in lieu of fractional Equity Interests) and/or cash (in an amount determined by reference to the price of Equity Interests of the Company).</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w:t>
      </w:r>
      <w:r>
        <w:rPr>
          <w:rFonts w:ascii="Arial" w:cs="Arial" w:eastAsia="Arial" w:hAnsi="Arial"/>
          <w:sz w:val="18"/>
          <w:szCs w:val="18"/>
          <w:color w:val="auto"/>
        </w:rPr>
        <w:t>” means any agreement now or hereafter in existence providing for the grant to any Person of any rights (including the grant of rights for a party to be designated as an author or owner and/or to enforce, defend, use, display, copy, manufacture, distribute, exploit and sell, make derivative works, and require joinder in suit and/or receive assistance from another party) in a Copyright.</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collectively, all of the following of any Person: (a) all copyrights, works protectable by copyright, copyright registrations and copyright applications anywhere in the world, (b) all derivative works, counterparts, extensions and renewals of any of the foregoing, (c) all income, royalties, damages and payments now or hereafter due and/or payable under any of the foregoing or with respect to any of the foregoing, including damages or payments for past, present and future infringements, violations or misappropriations of any of the foregoing, (d) the right to sue for past, present and future infringements, violations or misappropriations of any of the foregoing and (e) all rights corresponding to any of the foregoing throughout the world.</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Cost of Acquisition</w:t>
      </w:r>
      <w:r>
        <w:rPr>
          <w:rFonts w:ascii="Arial" w:cs="Arial" w:eastAsia="Arial" w:hAnsi="Arial"/>
          <w:sz w:val="19"/>
          <w:szCs w:val="19"/>
          <w:color w:val="auto"/>
        </w:rPr>
        <w:t>” means, with respect to any Acquisition, as at the date of entering into any agreement therefor, the sum of the following (without duplication): (a) the value of the Equity Interests of the Company or any Restricted Subsidiary to be transferred in connection with such Acquisition, (b) the amount of any cash and Fair Market Value of other property (excluding property described in clause (a) and the unpaid principal amount of any debt instrument) given as consideration in connection with such Acquisition, (c) the amount (determined by using the face amount or the amount payable at maturity, whichever is greater) of any Indebtedness incurred, assumed or acquired by the Company or any Restricted Subsidiary in connection with such Acquisition, and (d) all additional purchase price amounts in the form of earnouts, milestone payments, royalty payments, working capital adjustments and other contingent obligations that would be recorded on the financial statements of the Company and its Restricted Subsidiaries in accordance with GAAP in connection with such Acquisition. For purposes of determining the Cost of Acquisition for any transaction, the Equity Interests of the Company shall be valued in accordance with GAAP.</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CRD IV</w:t>
      </w:r>
      <w:r>
        <w:rPr>
          <w:rFonts w:ascii="Arial" w:cs="Arial" w:eastAsia="Arial" w:hAnsi="Arial"/>
          <w:sz w:val="20"/>
          <w:szCs w:val="20"/>
          <w:color w:val="auto"/>
        </w:rPr>
        <w:t>” means (a) Regulation (EU) No. 575/2013 of the European Parliament and of the Council of 26 June 2013 on prudential requirements for credit institutions and investment firms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05" w:right="339" w:bottom="1440" w:gutter="0" w:footer="0" w:header="0"/>
        </w:sectPr>
      </w:pPr>
    </w:p>
    <w:bookmarkStart w:id="58" w:name="page59"/>
    <w:bookmarkEnd w:id="58"/>
    <w:p>
      <w:pPr>
        <w:jc w:val="both"/>
        <w:ind w:right="20"/>
        <w:spacing w:after="0" w:line="229" w:lineRule="auto"/>
        <w:rPr>
          <w:sz w:val="20"/>
          <w:szCs w:val="20"/>
          <w:color w:val="auto"/>
        </w:rPr>
      </w:pPr>
      <w:r>
        <w:rPr>
          <w:rFonts w:ascii="Arial" w:cs="Arial" w:eastAsia="Arial" w:hAnsi="Arial"/>
          <w:sz w:val="20"/>
          <w:szCs w:val="20"/>
          <w:color w:val="auto"/>
        </w:rPr>
        <w:t>Directive 2013/36/EU of the European Parliament and of the Council of 26 June 2013 on access to the activity of credit institutions and the prudential supervision of credit institutions and investment firms.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xml:space="preserve">” means, collectively, the Administrative Agent, the Lenders, the L/C Issuers, each Hedge Bank, each Cash Management Bank, the Indemnitees and each co-agent or sub-agent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Cystic Fibrosis Drug Franchise Assets</w:t>
      </w:r>
      <w:r>
        <w:rPr>
          <w:rFonts w:ascii="Arial" w:cs="Arial" w:eastAsia="Arial" w:hAnsi="Arial"/>
          <w:sz w:val="18"/>
          <w:szCs w:val="18"/>
          <w:color w:val="auto"/>
        </w:rPr>
        <w:t>” means (a) all approved products manufactured, sold and/or distributed by the Company or any of its Subsidiaries in any country related to the treatment of patients with cystic fibrosis, including, ivacaftor (tradename KALYDECO), lumacaftor in combination with ivacaftor (tradename ORKAMBI), tezacaftor in combination with ivacaftor (tradenames SYMDEKO (US) and SYMKEVI (EU)), elexacaftor in combination with tezacaftor and ivacaftor (tradenames TRIKAFTA(US) and KAFTRIO (EU)) and any drug candidates related to the treatment of cystic fibrosis for which the Company has submitted an application for regulatory approval in any country and (b) all proceeds, Intellectual Property, permits and other assets of the Company or any of its Subsidiaries related thereto.</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means, with respect to any applicable determination date, SOFR published on such date on the Federal Reserve Bank of New York’s website (or any successor source).</w:t>
      </w:r>
    </w:p>
    <w:p>
      <w:pPr>
        <w:spacing w:after="0" w:line="15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xml:space="preserve">” means, as of any date of determination, (a) the Company’s non-credit enhanced, senior unsecured long-term debt rating on such date as determined by S&amp;P, (b) the Company’s non-credit enhanced, senior unsecured long-term debt rating on such date as determined by Moody’s, or (c) the Company’s non-credit enhanced, senior unsecured long-term debt rating on such date as determined by Fitch;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of any such date the Applicable Rate is determined by reference to the Debt Ratings, (i) if as of such date there are only two Debt Ratings, (A) if the Debt Ratings shall differ by one Pricing Level, then the Pricing Level for the higher (i.e., the Pricing Level that is numerically lower) of such Debt Ratings shall apply, and (B) if the Debt Ratings differ by more than one Pricing Level, then the Pricing Level that is one level lower (i.e., the Pricing Level that is numerically higher) than the Pricing Level of the higher (i.e., the Pricing Level that is numerically lower) Debt Rating shall apply, and (ii) if as of such date there are three Debt Ratings, (A) if two of the three Debt Ratings are equivalent and the third Debt Rating is lower (i.e., such Debt Rating corresponds to a numerically higher Pricing Level than the other two Debt Ratings), then the Pricing Level for the two Debt Ratings that are equivalent (i.e., the Pricing Level that is numerically lower) shall apply, (B) if two of the three Debt Ratings are equivalent and the third Debt Rating is higher (i.e., such Debt Rating corresponds to a numerically lower Pricing Level than the other two Debt Ratings), then the Pricing Level for the two Debt Ratings that are equivalent (i.e., the Pricing Level that is numerically higher) shall apply, and (C) if all three Debt Ratings correspond to different Pricing Levels, then the Pricing Level corresponding to the Debt Rating that is neither the highest Debt Rating nor the lowest Debt Rating shall apply. If the rating system of S&amp;P, Moody’s or Fitch shall change, or if any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if such change or cessation results in having only one Debt Rating or no Debt Rating, the Applicable Rate shall be determined by reference to the Pricing Level corresponding to the Consolidated Leverage Ratio as of the last day of the most recently ended fiscal quarter of the Company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6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and all other liquidation, conservatorship, bankruptcy, assignment for the benefit of creditors, moratorium, rearrangement, receivership, examinership, rescue process, insolvency, reorganization, or similar debtor relief Laws of the United States or other applicable jurisdictions from time to time in effect.</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05" w:right="339" w:bottom="1440" w:gutter="0" w:footer="0" w:header="0"/>
        </w:sectPr>
      </w:pPr>
    </w:p>
    <w:bookmarkStart w:id="59" w:name="page60"/>
    <w:bookmarkEnd w:id="59"/>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for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two percent (2%), in each case, to the fullest extent permitted by applicable Law.</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Company, the Administrative Agent,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Company, the L/C Issuers, the Swingline Lender and each other Lender promptly following such determination.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Defeased Debt</w:t>
      </w:r>
      <w:r>
        <w:rPr>
          <w:rFonts w:ascii="Arial" w:cs="Arial" w:eastAsia="Arial" w:hAnsi="Arial"/>
          <w:sz w:val="20"/>
          <w:szCs w:val="20"/>
          <w:color w:val="auto"/>
        </w:rPr>
        <w:t>” has the meaning specified in the definition of “Consolidated Funded Indebtedness”.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Borrower</w:t>
      </w:r>
      <w:r>
        <w:rPr>
          <w:rFonts w:ascii="Arial" w:cs="Arial" w:eastAsia="Arial" w:hAnsi="Arial"/>
          <w:sz w:val="18"/>
          <w:szCs w:val="18"/>
          <w:color w:val="auto"/>
        </w:rPr>
        <w:t>” and “</w:t>
      </w:r>
      <w:r>
        <w:rPr>
          <w:rFonts w:ascii="Arial" w:cs="Arial" w:eastAsia="Arial" w:hAnsi="Arial"/>
          <w:sz w:val="18"/>
          <w:szCs w:val="18"/>
          <w:u w:val="single" w:color="auto"/>
          <w:color w:val="auto"/>
        </w:rPr>
        <w:t>Designated Foreign Borrowers</w:t>
      </w:r>
      <w:r>
        <w:rPr>
          <w:rFonts w:ascii="Arial" w:cs="Arial" w:eastAsia="Arial" w:hAnsi="Arial"/>
          <w:sz w:val="18"/>
          <w:szCs w:val="18"/>
          <w:color w:val="auto"/>
        </w:rPr>
        <w:t>” have the meanings specified in the introductory paragraph</w:t>
      </w:r>
    </w:p>
    <w:p>
      <w:pPr>
        <w:spacing w:after="0"/>
        <w:rPr>
          <w:sz w:val="20"/>
          <w:szCs w:val="20"/>
          <w:color w:val="auto"/>
        </w:rPr>
      </w:pPr>
      <w:r>
        <w:rPr>
          <w:rFonts w:ascii="Arial" w:cs="Arial" w:eastAsia="Arial" w:hAnsi="Arial"/>
          <w:sz w:val="20"/>
          <w:szCs w:val="20"/>
          <w:color w:val="auto"/>
        </w:rPr>
        <w:t>hereto.</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Foreign Borrower Notice</w:t>
      </w:r>
      <w:r>
        <w:rPr>
          <w:rFonts w:ascii="Arial" w:cs="Arial" w:eastAsia="Arial" w:hAnsi="Arial"/>
          <w:sz w:val="20"/>
          <w:szCs w:val="20"/>
          <w:color w:val="auto"/>
        </w:rPr>
        <w:t>” means the notice substantially in the form of Exhibit O attached hereto.</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Foreign Borrower Request and Assumption Agreement</w:t>
      </w:r>
      <w:r>
        <w:rPr>
          <w:rFonts w:ascii="Arial" w:cs="Arial" w:eastAsia="Arial" w:hAnsi="Arial"/>
          <w:sz w:val="20"/>
          <w:szCs w:val="20"/>
          <w:color w:val="auto"/>
        </w:rPr>
        <w:t>” means the agreement substantially in the form of Exhibit N attached hereto.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Foreign Borrower Requirements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405" w:right="339" w:bottom="1440" w:gutter="0" w:footer="0" w:header="0"/>
        </w:sectPr>
      </w:pPr>
    </w:p>
    <w:bookmarkStart w:id="60" w:name="page61"/>
    <w:bookmarkEnd w:id="60"/>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region or territory to the extent that such country, region or territory is the subject or target of comprehensive Sanctions.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of any property by any Loan Party or any Restricted Subsidiary, including any sale, assignment, transfer or other disposal, with or without recourse, of any notes or accounts receivable or any rights and claims associated therewith, but excluding any Involuntary Disposition.</w:t>
      </w:r>
    </w:p>
    <w:p>
      <w:pPr>
        <w:spacing w:after="0" w:line="15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xml:space="preserve">” means, on any date, (a) any Person set forth on </w:t>
      </w:r>
      <w:r>
        <w:rPr>
          <w:rFonts w:ascii="Arial" w:cs="Arial" w:eastAsia="Arial" w:hAnsi="Arial"/>
          <w:sz w:val="18"/>
          <w:szCs w:val="18"/>
          <w:u w:val="single" w:color="auto"/>
          <w:color w:val="auto"/>
        </w:rPr>
        <w:t>Schedule 11.06</w:t>
      </w:r>
      <w:r>
        <w:rPr>
          <w:rFonts w:ascii="Arial" w:cs="Arial" w:eastAsia="Arial" w:hAnsi="Arial"/>
          <w:sz w:val="18"/>
          <w:szCs w:val="18"/>
          <w:color w:val="auto"/>
        </w:rPr>
        <w:t>, (b) any competitor of the Company or any of its Subsidiaries which has been designated by the Company as a “Disqualified Institution” by written notice to the Administrative Agent,</w:t>
      </w:r>
    </w:p>
    <w:p>
      <w:pPr>
        <w:spacing w:after="0" w:line="1" w:lineRule="exact"/>
        <w:rPr>
          <w:sz w:val="20"/>
          <w:szCs w:val="20"/>
          <w:color w:val="auto"/>
        </w:rPr>
      </w:pPr>
    </w:p>
    <w:p>
      <w:pPr>
        <w:jc w:val="both"/>
        <w:ind w:firstLine="8"/>
        <w:spacing w:after="0" w:line="226" w:lineRule="auto"/>
        <w:tabs>
          <w:tab w:leader="none" w:pos="2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Affiliate of any such Person identified in clause (a) or clause (b) to the extent such Affiliate is either (i) clearly identifiable as an Affiliate of any such Person identified in clause (a) or clause (b) on the basis of its name or (ii) designated by the Company as a “Disqualified Institution” by written notice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Person shall be a Disqualified Institution hereunder pursuant to clauses (b) or (c)(ii) until a period of two (2) Business Days has elapsed after the date on which such written designation with respect to such Person shall have been posted to the Platform and (B) “Disqualified Institutions” shall exclude (1) any bona fide fixed income investors, banks (or similar financial institutions) and debt funds and (2) any Person that the Company has designated as no longer being a “Disqualified Institution” by written notice delivered to the Administrative Agent and the Lenders from time to time.</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with respect to any Person, any Equity Interests of such Person that, by its terms (or by the terms of any security or other Equity Interest into which it is convertible or for which it is exchangeable) or upon the happening of any event or condition or pursuant to any agreement, (a) matures or is mandatorily redeemable (other than solely for Qualified Stock), pursuant to a sinking fund obligation or otherwise (except as a result of a Change of Control or asset sale so long as any rights of the holders thereof upon the occurrence of a Change of Control or asset sale event shall be subject to the prior occurrence of the Facility Termination Date), (b) is redeemable at the option of the holder thereof (other than solely for Qualified Stock) (except as a result of a Change of Control or asset sale so long as any rights of the holders thereof upon the occurrence of a Change of Control or asset sale event shall be subject to the prior occurrence of the Facility Termination Date), in whole or in part, (c) provides for the scheduled mandatory payments of dividends in cash or</w:t>
      </w:r>
    </w:p>
    <w:p>
      <w:pPr>
        <w:spacing w:after="0" w:line="3" w:lineRule="exact"/>
        <w:rPr>
          <w:sz w:val="20"/>
          <w:szCs w:val="20"/>
          <w:color w:val="auto"/>
        </w:rPr>
      </w:pPr>
    </w:p>
    <w:p>
      <w:pPr>
        <w:jc w:val="both"/>
        <w:ind w:firstLine="8"/>
        <w:spacing w:after="0" w:line="206" w:lineRule="auto"/>
        <w:tabs>
          <w:tab w:leader="none" w:pos="292"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is or may be convertible into or exchangeable for Indebtedness or any other Equity Interest that would constitute Disqualified Stock, in each case, prior to the date that is ninety-one (91) days after the Latest Maturity Date in effect at the time of issuance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Equity Interests issued pursuant to a plan for the benefit of employees of Company or its Subsidiaries or by any such plan to such employees shall not constitute Disqualified Stock solely because it may be required to be repurchased by Company or its Subsidiaries in order to satisfy applicable statutory or regulatory obligations.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Alternative Currency, the equivalent amount thereof in Dollars as determined by the Administrative Agent or the Alternative Currency L/C Issuer, as the case may be, at such time on the basis of the Spot Rate (determined in respect of the most recent Revaluation Date) for the purchase of Dollars with such Alternative Currency.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political subdivision of the United States.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11.06(h)(iv)</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05" w:right="339" w:bottom="1440" w:gutter="0" w:footer="0" w:header="0"/>
        </w:sectPr>
      </w:pPr>
    </w:p>
    <w:bookmarkStart w:id="61" w:name="page62"/>
    <w:bookmarkEnd w:id="61"/>
    <w:p>
      <w:pPr>
        <w:spacing w:after="0" w:line="229" w:lineRule="auto"/>
        <w:rPr>
          <w:sz w:val="20"/>
          <w:szCs w:val="20"/>
          <w:color w:val="auto"/>
        </w:rPr>
      </w:pPr>
      <w:r>
        <w:rPr>
          <w:rFonts w:ascii="Arial" w:cs="Arial" w:eastAsia="Arial" w:hAnsi="Arial"/>
          <w:sz w:val="20"/>
          <w:szCs w:val="20"/>
          <w:color w:val="auto"/>
        </w:rPr>
        <w:t>definition, or (c) any financial institution established in an EEA Member Country which is a Subsidiary of an institution described in clause (a) or clause (b) of this definition and is subject to consolidated supervision with its parent.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Copy</w:t>
      </w:r>
      <w:r>
        <w:rPr>
          <w:rFonts w:ascii="Arial" w:cs="Arial" w:eastAsia="Arial" w:hAnsi="Arial"/>
          <w:sz w:val="20"/>
          <w:szCs w:val="20"/>
          <w:color w:val="auto"/>
        </w:rPr>
        <w:t xml:space="preserve">” shall have the meaning specified in </w:t>
      </w:r>
      <w:r>
        <w:rPr>
          <w:rFonts w:ascii="Arial" w:cs="Arial" w:eastAsia="Arial" w:hAnsi="Arial"/>
          <w:sz w:val="20"/>
          <w:szCs w:val="20"/>
          <w:u w:val="single" w:color="auto"/>
          <w:color w:val="auto"/>
        </w:rPr>
        <w:t>Section 11.18</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has the meanings assigned to it by 15 U.S.C. §7006.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has the meanings assigned to it by 15 U.S.C. §7006.</w:t>
      </w:r>
    </w:p>
    <w:p>
      <w:pPr>
        <w:spacing w:after="0" w:line="175"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any Person that meets the requirements to be an assignee under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(subject to such consents, if any, as may be required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For the avoidance of doubt, any Disqualified Institution is subject to </w:t>
      </w:r>
      <w:r>
        <w:rPr>
          <w:rFonts w:ascii="Arial" w:cs="Arial" w:eastAsia="Arial" w:hAnsi="Arial"/>
          <w:sz w:val="16"/>
          <w:szCs w:val="16"/>
          <w:u w:val="single" w:color="auto"/>
          <w:color w:val="auto"/>
        </w:rPr>
        <w:t>Section 11.06(h)</w:t>
      </w:r>
      <w:r>
        <w:rPr>
          <w:rFonts w:ascii="Arial" w:cs="Arial" w:eastAsia="Arial" w:hAnsi="Arial"/>
          <w:sz w:val="16"/>
          <w:szCs w:val="16"/>
          <w:color w:val="auto"/>
        </w:rPr>
        <w:t>.</w:t>
      </w:r>
    </w:p>
    <w:p>
      <w:pPr>
        <w:spacing w:after="0" w:line="8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Currency</w:t>
      </w:r>
      <w:r>
        <w:rPr>
          <w:rFonts w:ascii="Arial" w:cs="Arial" w:eastAsia="Arial" w:hAnsi="Arial"/>
          <w:sz w:val="18"/>
          <w:szCs w:val="18"/>
          <w:color w:val="auto"/>
        </w:rPr>
        <w:t>” means any lawful currency other than Dollars that is readily available, freely transferable and convertible into Dollars in the international interbank market available to the Lenders or the Alternative Currency L/C Issuer, as the case may be, in such market and as to which a Dollar Equivalent may be readily calculated. If, after the Closing Date, with respect to any Alternative Currency as of the Closing Date (or, if applicable, after the designation by the Lenders or the Alternative Currency L/C Issuer, as the case may be, of any currency as an Alternative Currency), any change in currency controls or exchange regulations, or any change in the national or international financial, political or economic conditions imposed in the country in which such currency is issued, results in, in the reasonable opinion of the Administrative Agent (in the case of any Revolving Loans to be denominated in an Alternative Currency) or the Alternative Currency L/C Issuer (in the case of any Letter of Credit to be denominated in an Alternative Currency), (a) such currency no longer being readily available, freely transferable and convertible into Dollars, (b) a Dollar Equivalent no longer being readily calculable with respect to such currency, (c) the provision of such currency no longer being practicable for the Lenders or the Alternative Currency L/C Issuer, as the case may be, in their reasonable business judgment or (d) such currency no longer being a currency in which the Required Lenders or the Alternative Currency L/C Issuer, as applicable, are or is willing to make such Credit Extensions in their or its reasonable business judgment (each of the foregoing clauses, a “</w:t>
      </w:r>
      <w:r>
        <w:rPr>
          <w:rFonts w:ascii="Arial" w:cs="Arial" w:eastAsia="Arial" w:hAnsi="Arial"/>
          <w:sz w:val="18"/>
          <w:szCs w:val="18"/>
          <w:u w:val="single" w:color="auto"/>
          <w:color w:val="auto"/>
        </w:rPr>
        <w:t>Disqualifying Event</w:t>
      </w:r>
      <w:r>
        <w:rPr>
          <w:rFonts w:ascii="Arial" w:cs="Arial" w:eastAsia="Arial" w:hAnsi="Arial"/>
          <w:sz w:val="18"/>
          <w:szCs w:val="18"/>
          <w:color w:val="auto"/>
        </w:rPr>
        <w:t>”),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Revolving Loans in such currency to which the Disqualifying Event applies or convert such Revolving Loans into the Dollar Equivalent of Revolving Loans in Dollars, subject to the other terms contained herein.</w:t>
      </w:r>
    </w:p>
    <w:p>
      <w:pPr>
        <w:spacing w:after="0" w:line="160"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Environmental Permits, concessions, grants, franchises, licenses or enforceable governmental restrictions relating to pollution and the protection of the environment or the release of any Hazardous Materials into the environment or into public waste management systems.</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05" w:right="33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other consensual arrangement pursuant to which liability is assumed or imposed with respect to any of the foregoing.</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Convertible Bond Indebtedness which is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convertible into or exchangeable or exercisable for any Equity Interests and Capped Call Transactions, Convertible Bond Hedge Transactions and Warrant Transactions entered into as a part of, or in connection with, an issuance of such Convertible Bond Indebtedness shall not be deemed an Equity Interest hereunder prior to the actual conversion or exercise thereof in full (or, in the case of a partial conversion, the applicable portion thereof) into shares of capital stock of (or other ownership or profit interests in) such Person.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Company or any ERISA Affiliate from a Multiple Employer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insolvent;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or Multiemployer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Company or any ERISA Affiliate; or (i) a failure by the Company or any ERISA Affiliate to meet all applicable requirements under the Pension Funding Rules in respect of a Pension Plan, whether or not waived, or the failure by the Company or any ERISA Affiliate to make any required contribution to a Multiemployer Plan.</w:t>
      </w:r>
    </w:p>
    <w:p>
      <w:pPr>
        <w:spacing w:after="0" w:line="16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w:t>
      </w:r>
      <w:r>
        <w:rPr>
          <w:rFonts w:ascii="Arial" w:cs="Arial" w:eastAsia="Arial" w:hAnsi="Arial"/>
          <w:sz w:val="20"/>
          <w:szCs w:val="20"/>
          <w:color w:val="auto"/>
        </w:rPr>
        <w:t>” has the meaning specified in the definition of “Alternative Currency Term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single currency of the Participating Member States.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means (a) each Foreign Subsidiary, (b) each CFC, (c) each FSHCO, (d) each Immaterial Subsidiary, (e) each Subsidiary that is not a Wholly Owned Subsidiary (for so long as such Subsidiary remains a non-Wholly Owned Subsidiary), (f) each Subsidiary that is prohibited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05" w:right="339" w:bottom="1440" w:gutter="0" w:footer="0" w:header="0"/>
        </w:sectPr>
      </w:pPr>
    </w:p>
    <w:bookmarkStart w:id="63" w:name="page64"/>
    <w:bookmarkEnd w:id="63"/>
    <w:p>
      <w:pPr>
        <w:jc w:val="both"/>
        <w:spacing w:after="0" w:line="223" w:lineRule="auto"/>
        <w:rPr>
          <w:sz w:val="20"/>
          <w:szCs w:val="20"/>
          <w:color w:val="auto"/>
        </w:rPr>
      </w:pPr>
      <w:r>
        <w:rPr>
          <w:rFonts w:ascii="Arial" w:cs="Arial" w:eastAsia="Arial" w:hAnsi="Arial"/>
          <w:sz w:val="18"/>
          <w:szCs w:val="18"/>
          <w:color w:val="auto"/>
        </w:rPr>
        <w:t>Guaranteeing the applicable Obligations by (i) any applicable Law, or (ii) any agreement or other undertaking to which such Subsidiary is a party (with any Person, other than any Affiliate) or by which its property or assets is bound, that exists on the Closing Date (or, with respect to any Subsidiary acquired by the Company or a Restricted Subsidiary after the Closing Date (and so long as such agreement or other undertaking is not with any Affiliate and was not incurred in contemplation of such Person becoming a Restricted Subsidiary), existing on the date such Subsidiary is so acquired) (unless such prohibition or restriction is terminated or rendered unenforceable or otherwise deemed ineffective by any other applicable Law), (g) each Subsidiary for which the Guaranteeing of the applicable Obligations would require consent, approval, license or authorization of a Governmental Authority (including regulatory approval) or any other Person (other than an Affiliate or its directors) (unless (i) such consent, approval, license or authorization has been received or (ii) such prohibition or restriction is terminated or rendered unenforceable or otherwise deemed ineffective by any other applicable Law), (h) each Unrestricted Subsidiary, (i) each Massachusetts Security Corporation, (j) each not for profit Subsidiary, (k) each Captive Insurance Subsidiary, and (l) any other Subsidiary with respect to which the Administrative Agent and the Company reasonably agree that the cost or other consequences (including adverse tax or regulatory consequences) of providing a Guarantee shall be excessive in view of the benefits to be obtained by the Credit Parties therefrom. Notwithstanding anything to the contrary contained herein, no Subsidiary of the Company shall be an Excluded Subsidiary so long as it guarantees the obligations or is a co-obligor under the 2020 Credit Agreement, other than an Excluded Subsidiary that is excluded by reason of clause (a), (b), (c) or (d) of the definition of “Excluded Subsidiary”.</w:t>
      </w:r>
    </w:p>
    <w:p>
      <w:pPr>
        <w:spacing w:after="0" w:line="16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means, with respect to any Loan Party, any Swap Obligation if, and to the extent that, all or a portion of the Guaranty of such Loan Party of such Swap Obligation or any Guarantee thereof is or becomes illegal under the Commodity Exchange Act or any rule, regulation or order of the Commodity Futures Trading Commission (or the application or official interpretation thereof) by virtue of such Loan Party’s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and any other “keepwell, support or other agreement” for the benefit of such Loan Party and any and all guarantees of such Loan Party’s Swap Obligations by other Loan Parties) at the time the Guaranty of such Loan Party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is or becomes excluded in accordance with the first sentence of this definition.</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Party, its Lending Office located in, the jurisdiction imposing such Tax (or any political subdivision thereof) or</w:t>
      </w:r>
    </w:p>
    <w:p>
      <w:pPr>
        <w:spacing w:after="0" w:line="3" w:lineRule="exact"/>
        <w:rPr>
          <w:sz w:val="20"/>
          <w:szCs w:val="20"/>
          <w:color w:val="auto"/>
        </w:rPr>
      </w:pPr>
    </w:p>
    <w:p>
      <w:pPr>
        <w:jc w:val="both"/>
        <w:ind w:firstLine="8"/>
        <w:spacing w:after="0" w:line="219" w:lineRule="auto"/>
        <w:tabs>
          <w:tab w:leader="none" w:pos="29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are Other Connection Taxes, (b) in the case of a Lender Party, U.S. federal withholding Taxes imposed on amounts payable to or for the account of such Lender Party with respect to an applicable interest in a Loan, Revolving Commitment or L/C Obligation pursuant to a law in effect on the date on which (i) such Lender Party acquires such interest in the Loan, Revolving Commitment or L/C Obligation (other than pursuant to an assignment request by the Company under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or (ii) such Lender Party changes its Lending Office, except in each case to the extent that,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amounts with respect to such Taxes were payable either to such Lender Party’s assignor immediately before such Lender Party became a party hereto or to such Lender Party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(d) any withholding Taxes imposed pursuant to FATCA, (e) any Irish withholding Tax which arises solely because (i) the Lender Party is not (or has ceased to be) an Irish Qualifying Lender other than as a result of any change after the date it became a Lender Party under this Agreement in (or in the interpretation, administration or application of) any Irish Tax Treaty, or any published practice of the Revenue Commissioners of Ireland or</w:t>
      </w:r>
    </w:p>
    <w:p>
      <w:pPr>
        <w:spacing w:after="0" w:line="1" w:lineRule="exact"/>
        <w:rPr>
          <w:rFonts w:ascii="Arial" w:cs="Arial" w:eastAsia="Arial" w:hAnsi="Arial"/>
          <w:sz w:val="18"/>
          <w:szCs w:val="18"/>
          <w:color w:val="auto"/>
        </w:rPr>
      </w:pPr>
    </w:p>
    <w:p>
      <w:pPr>
        <w:jc w:val="both"/>
        <w:ind w:firstLine="8"/>
        <w:spacing w:after="0" w:line="232" w:lineRule="auto"/>
        <w:tabs>
          <w:tab w:leader="none" w:pos="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Lender Party is an Irish Treaty Lender and the Company is able to demonstrate that the payment could have been made to the Lender Party without any deduction or withholding of any tax imposed by Ireland had that Lender Party complied with its obligations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3.01(f)</w:t>
      </w:r>
      <w:r>
        <w:rPr>
          <w:rFonts w:ascii="Arial" w:cs="Arial" w:eastAsia="Arial" w:hAnsi="Arial"/>
          <w:sz w:val="18"/>
          <w:szCs w:val="18"/>
          <w:color w:val="auto"/>
        </w:rPr>
        <w:t>, (f) any United Kingdom taxes required to be deducted or withheld (a “</w:t>
      </w:r>
      <w:r>
        <w:rPr>
          <w:rFonts w:ascii="Arial" w:cs="Arial" w:eastAsia="Arial" w:hAnsi="Arial"/>
          <w:sz w:val="18"/>
          <w:szCs w:val="18"/>
          <w:u w:val="single" w:color="auto"/>
          <w:color w:val="auto"/>
        </w:rPr>
        <w:t>UK Tax Deduction</w:t>
      </w:r>
      <w:r>
        <w:rPr>
          <w:rFonts w:ascii="Arial" w:cs="Arial" w:eastAsia="Arial" w:hAnsi="Arial"/>
          <w:sz w:val="18"/>
          <w:szCs w:val="18"/>
          <w:color w:val="auto"/>
        </w:rPr>
        <w:t>”) from a payment of interest under any Loan Document by a Borrower organized in the UK if on the date on which the payment falls due: (i) the payment could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05" w:right="339" w:bottom="1440" w:gutter="0" w:footer="0" w:header="0"/>
        </w:sectPr>
      </w:pPr>
    </w:p>
    <w:bookmarkStart w:id="64" w:name="page65"/>
    <w:bookmarkEnd w:id="64"/>
    <w:p>
      <w:pPr>
        <w:jc w:val="both"/>
        <w:spacing w:after="0" w:line="223" w:lineRule="auto"/>
        <w:rPr>
          <w:sz w:val="20"/>
          <w:szCs w:val="20"/>
          <w:color w:val="auto"/>
        </w:rPr>
      </w:pPr>
      <w:r>
        <w:rPr>
          <w:rFonts w:ascii="Arial" w:cs="Arial" w:eastAsia="Arial" w:hAnsi="Arial"/>
          <w:sz w:val="18"/>
          <w:szCs w:val="18"/>
          <w:color w:val="auto"/>
        </w:rPr>
        <w:t>to the relevant Lender Party without a UK Tax Deduction if the Lender Party had been a UK Qualifying Lender, but on that date that Lender Party is not or has ceased to be a UK Qualifying Lender other than as a result of any change after the date it became a Lender Party under this Agreement in (or in the interpretation, administration, or application of) any law or Treaty, or any published practice or published concession of any relevant taxing authority; or (ii) the relevant Lender Party is a UK Qualifying Lender solely by virtue of sub-paragraph (1)(b) of the definition of “UK Qualifying Lender” and that relevant Lender Party has not given a UK Tax Confirmation to the Company and the payment could have been made to the relevant Lender Party without a UK Tax Deduction if that Lender Party had given a UK Tax Confirmation to the Company, on the basis that the UK Tax Confirmation would have enabled the relevant Loan Party to have formed a reasonable belief that the payment was an “excepted payment” for the purpose of section 930 of the UK Taxes Act; or (iii) the relevant Lender Party is a UK Qualifying Lender solely by virtue of sub-paragraph (1)(b) of the definition of “UK Qualifying Lender” and an officer of HMRC has given (and not revoked) a direction (a “</w:t>
      </w:r>
      <w:r>
        <w:rPr>
          <w:rFonts w:ascii="Arial" w:cs="Arial" w:eastAsia="Arial" w:hAnsi="Arial"/>
          <w:sz w:val="18"/>
          <w:szCs w:val="18"/>
          <w:u w:val="single" w:color="auto"/>
          <w:color w:val="auto"/>
        </w:rPr>
        <w:t>UK Direction</w:t>
      </w:r>
      <w:r>
        <w:rPr>
          <w:rFonts w:ascii="Arial" w:cs="Arial" w:eastAsia="Arial" w:hAnsi="Arial"/>
          <w:sz w:val="18"/>
          <w:szCs w:val="18"/>
          <w:color w:val="auto"/>
        </w:rPr>
        <w:t xml:space="preserve">”) under section 931 of the UK Taxes Act which relates to that payment and that Lender Party has received from the relevant Loan Party a certified copy of that UK Direction and the payment could have been made to the Lender Party without any UK Tax Deduction if that UK Direction had not been made; or (iv) the relevant Lender Party is a UK Treaty Lender and the Loan Party making the payment is able to demonstrate that the payment could have been made to the Lender Party without the Tax Deduction had that Lender Party complied with its obligations under </w:t>
      </w:r>
      <w:r>
        <w:rPr>
          <w:rFonts w:ascii="Arial" w:cs="Arial" w:eastAsia="Arial" w:hAnsi="Arial"/>
          <w:sz w:val="18"/>
          <w:szCs w:val="18"/>
          <w:u w:val="single" w:color="auto"/>
          <w:color w:val="auto"/>
        </w:rPr>
        <w:t>Section 3.01(g)</w:t>
      </w:r>
      <w:r>
        <w:rPr>
          <w:rFonts w:ascii="Arial" w:cs="Arial" w:eastAsia="Arial" w:hAnsi="Arial"/>
          <w:sz w:val="18"/>
          <w:szCs w:val="18"/>
          <w:color w:val="auto"/>
        </w:rPr>
        <w:t>, and (g) the bank levy as set out in the Finance Act 2011 of the United Kingdom as in force (other than with respect to rates) at the date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7.04(c)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means that certain Credit Agreement, dated as of September 17, 2019, among the Company, Bank of America as administrative agent thereunder, and a syndicate of lenders and l/c issuers, as amended by that certain First Amendment to Credit Agreement dated as of December 29, 2020 and in effect immediately prior to the Closing Date.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certain letters of credit set forth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Maturity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Revolving 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Revolving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2.19(b)</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Termination Date</w:t>
      </w:r>
      <w:r>
        <w:rPr>
          <w:rFonts w:ascii="Arial" w:cs="Arial" w:eastAsia="Arial" w:hAnsi="Arial"/>
          <w:sz w:val="20"/>
          <w:szCs w:val="20"/>
          <w:color w:val="auto"/>
        </w:rPr>
        <w:t>” means the date as of which all of the following shall have occurred: (a) the Revolving Facility has terminated, (b) all Obligations have been paid in full (other than contingent indemnification and contingent expense reimbursement obligations for which no claim has been asserted), and (c) all Letters of Credit have terminated or expired (other than Letters of Credit that have been Cash Collateralized, backstopped or as to which other arrangements with respect thereto satisfactory to the Administrative Agent and the applicable L/C Issuer shall have been made).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with respect to any asset or property, the price, as determined in good faith by the Company, that could be negotiated in an arms’-length transaction between a willing seller and a willing buyer, neither of whom is under undue pressure or compulsion to complete the transaction (as determined in good faith by the Company).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Closing Date (or any amended or successor version of such Code sections that is substantively comparable and not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05" w:right="339" w:bottom="1440" w:gutter="0" w:footer="0" w:header="0"/>
        </w:sectPr>
      </w:pPr>
    </w:p>
    <w:bookmarkStart w:id="65" w:name="page66"/>
    <w:bookmarkEnd w:id="65"/>
    <w:p>
      <w:pPr>
        <w:jc w:val="both"/>
        <w:spacing w:after="0" w:line="230" w:lineRule="auto"/>
        <w:rPr>
          <w:sz w:val="20"/>
          <w:szCs w:val="20"/>
          <w:color w:val="auto"/>
        </w:rPr>
      </w:pPr>
      <w:r>
        <w:rPr>
          <w:rFonts w:ascii="Arial" w:cs="Arial" w:eastAsia="Arial" w:hAnsi="Arial"/>
          <w:sz w:val="19"/>
          <w:szCs w:val="19"/>
          <w:color w:val="auto"/>
        </w:rPr>
        <w:t>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means the U.S. Foreign Corrupt Practices Act of 1977.</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Rate as so determined would be less than zero, such rate shall be deemed to be zero for the purposes of this Agreement.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fee letter agreement, dated as of June 8, 2022, among the Company, Bank of America and BofA Securities, Inc. in connection with this Agreement and the other Loan Documents.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Inc., and any successor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Government Scheme or Arrangement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5.12(d)</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 if such Borrower is a U.S. Person, a Lender that is not a U.S. Person, and</w:t>
      </w:r>
    </w:p>
    <w:p>
      <w:pPr>
        <w:jc w:val="both"/>
        <w:ind w:firstLine="8"/>
        <w:spacing w:after="0" w:line="213" w:lineRule="auto"/>
        <w:tabs>
          <w:tab w:leader="none" w:pos="284" w:val="left"/>
        </w:tabs>
        <w:numPr>
          <w:ilvl w:val="0"/>
          <w:numId w:val="32"/>
        </w:numPr>
        <w:rPr>
          <w:rFonts w:ascii="Arial" w:cs="Arial" w:eastAsia="Arial" w:hAnsi="Arial"/>
          <w:sz w:val="20"/>
          <w:szCs w:val="20"/>
          <w:color w:val="auto"/>
        </w:rPr>
      </w:pPr>
      <w:r>
        <w:rPr>
          <w:rFonts w:ascii="Arial" w:cs="Arial" w:eastAsia="Arial" w:hAnsi="Arial"/>
          <w:sz w:val="20"/>
          <w:szCs w:val="20"/>
          <w:color w:val="auto"/>
        </w:rPr>
        <w:t>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5.12(d)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each L/C Issuer, such Defaulting Lender’s Applicable Percentage of the outstanding L/C Obligations with respect to Letters of Credit issued by such L/C Issuer,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FSHCO</w:t>
      </w:r>
      <w:r>
        <w:rPr>
          <w:rFonts w:ascii="Arial" w:cs="Arial" w:eastAsia="Arial" w:hAnsi="Arial"/>
          <w:sz w:val="20"/>
          <w:szCs w:val="20"/>
          <w:color w:val="auto"/>
        </w:rPr>
        <w:t>” means any direct or indirect Domestic Subsidiary that has no material assets other than the Equity Interests or Indebtedness, for U.S. federal income Tax purposes, of one or more CFCs and/or other FSHCOs.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the FASB ASC, that are applicable to the circumstances as of the date of determination, consistently applied and subject to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405" w:right="339" w:bottom="1440" w:gutter="0" w:footer="0" w:header="0"/>
        </w:sectPr>
      </w:pPr>
    </w:p>
    <w:bookmarkStart w:id="66" w:name="page67"/>
    <w:bookmarkEnd w:id="66"/>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5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8"/>
          <w:szCs w:val="18"/>
          <w:u w:val="single" w:color="auto"/>
          <w:color w:val="auto"/>
        </w:rPr>
        <w:t>Guarantee</w:t>
      </w:r>
      <w:r>
        <w:rPr>
          <w:rFonts w:ascii="Arial" w:cs="Arial" w:eastAsia="Arial" w:hAnsi="Arial"/>
          <w:sz w:val="18"/>
          <w:szCs w:val="18"/>
          <w:color w:val="auto"/>
        </w:rPr>
        <w:t>” as a verb has a corresponding meaning.</w:t>
      </w:r>
    </w:p>
    <w:p>
      <w:pPr>
        <w:spacing w:after="0" w:line="162"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Cash Management Agreement</w:t>
      </w:r>
      <w:r>
        <w:rPr>
          <w:rFonts w:ascii="Arial" w:cs="Arial" w:eastAsia="Arial" w:hAnsi="Arial"/>
          <w:sz w:val="20"/>
          <w:szCs w:val="20"/>
          <w:color w:val="auto"/>
        </w:rPr>
        <w:t>” means any Cash Management Agreement between any Loan Party or any of its Subsidiaries and any Cash Management Bank.</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Hedge Agreement</w:t>
      </w:r>
      <w:r>
        <w:rPr>
          <w:rFonts w:ascii="Arial" w:cs="Arial" w:eastAsia="Arial" w:hAnsi="Arial"/>
          <w:sz w:val="20"/>
          <w:szCs w:val="20"/>
          <w:color w:val="auto"/>
        </w:rPr>
        <w:t xml:space="preserve">” means any interest rate, currency, foreign exchange, or commodity Swap Contract not prohibited under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between any Loan Party or any of its Subsidiaries and any Hedge Bank.</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Party Designation Notice</w:t>
      </w:r>
      <w:r>
        <w:rPr>
          <w:rFonts w:ascii="Arial" w:cs="Arial" w:eastAsia="Arial" w:hAnsi="Arial"/>
          <w:sz w:val="20"/>
          <w:szCs w:val="20"/>
          <w:color w:val="auto"/>
        </w:rPr>
        <w:t>” means a notice from any Lender or an Affiliate of a Lender substantially in the form of Exhibit G.</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(a) the Subsidiary Guarantors with respect to all Obligations and Additional Obligations, in each case, unless and until such Person ceases to be a Subsidiary Guarantor in accordance with the terms hereof, (b) the Company with respect to</w:t>
      </w:r>
    </w:p>
    <w:p>
      <w:pPr>
        <w:spacing w:after="0" w:line="1" w:lineRule="exact"/>
        <w:rPr>
          <w:sz w:val="20"/>
          <w:szCs w:val="20"/>
          <w:color w:val="auto"/>
        </w:rPr>
      </w:pPr>
    </w:p>
    <w:p>
      <w:pPr>
        <w:jc w:val="both"/>
        <w:ind w:firstLine="8"/>
        <w:spacing w:after="0" w:line="209" w:lineRule="auto"/>
        <w:tabs>
          <w:tab w:leader="none" w:pos="252"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Additional Obligations owing by any of its Subsidiaries, (ii) any Swap Obligation of a Specified Loan Party (determined before giving effect to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10.11</w:t>
      </w:r>
      <w:r>
        <w:rPr>
          <w:rFonts w:ascii="Arial" w:cs="Arial" w:eastAsia="Arial" w:hAnsi="Arial"/>
          <w:sz w:val="20"/>
          <w:szCs w:val="20"/>
          <w:color w:val="auto"/>
        </w:rPr>
        <w:t>) under the Guaranty, and (iii) Obligations of the Designated Foreign Borrowers, and (c) to the extent (i) permitted by applicable Law and (ii) no material adverse tax consequence would result therefrom, each Designated Foreign Borrower with respect to Obligations of each other Designated Foreign Borrower.</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collectively, the Guarantee made by the Guarantors under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 favor of the Credit Parties, together with each other guaranty delivered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 any material, substance, chemical, or waste (or combination thereof) that (i) is listed, defined, designated, regulated or classified as hazardous, toxic, radioactive, dangerous, a pollutant, a contaminant, petroleum, oil, or words of similar meaning or effect under any Environmental Law or (ii) can form the basis of any liability under any Environmental Law; and (b) any petroleum, petroleum products, per- and polyfluoroalkyl substances (including PFAs, PFOA, PFOS, Gen X, and PFBs), polychlorinated biphenyls (PCBs), asbestos and asbestos-containing materials.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means any Person in its capacity as a party to a Swap Contract that, (a) at the time it enters into a Swap Contract, is a Lender or an Affiliate of a Lender, or (b) at the time it (or its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05" w:right="339" w:bottom="1440" w:gutter="0" w:footer="0" w:header="0"/>
        </w:sectPr>
      </w:pPr>
    </w:p>
    <w:bookmarkStart w:id="67" w:name="page68"/>
    <w:bookmarkEnd w:id="67"/>
    <w:p>
      <w:pPr>
        <w:jc w:val="both"/>
        <w:spacing w:after="0" w:line="210" w:lineRule="auto"/>
        <w:rPr>
          <w:sz w:val="20"/>
          <w:szCs w:val="20"/>
          <w:color w:val="auto"/>
        </w:rPr>
      </w:pPr>
      <w:r>
        <w:rPr>
          <w:rFonts w:ascii="Arial" w:cs="Arial" w:eastAsia="Arial" w:hAnsi="Arial"/>
          <w:sz w:val="20"/>
          <w:szCs w:val="20"/>
          <w:color w:val="auto"/>
        </w:rPr>
        <w:t xml:space="preserve">becomes a Lender, is a party to a Swap Contract, in each case, in its capacity as a party to such Swap Contract (even if such Person ceases to be a Lender or such Person’s Affiliate ceased to be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any of the foregoing to be included as a “Guaranteed Hedge Agreement” on any date of determination by the Administrative Agent, the applicable Hedge Bank (other than the Administrative Agent or an Affiliate of the Administrative Agent) must have delivered a Guaranteed Party Designation Notice to the Administrative Agent prior to such date of determination.</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HMRC</w:t>
      </w:r>
      <w:r>
        <w:rPr>
          <w:rFonts w:ascii="Arial" w:cs="Arial" w:eastAsia="Arial" w:hAnsi="Arial"/>
          <w:sz w:val="20"/>
          <w:szCs w:val="20"/>
          <w:color w:val="auto"/>
        </w:rPr>
        <w:t>” means Her Majesty’s Revenue and Customs (or any other governmental authority with taxing authority in the United Kingdom).</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HMT</w:t>
      </w:r>
      <w:r>
        <w:rPr>
          <w:rFonts w:ascii="Arial" w:cs="Arial" w:eastAsia="Arial" w:hAnsi="Arial"/>
          <w:sz w:val="20"/>
          <w:szCs w:val="20"/>
          <w:color w:val="auto"/>
        </w:rPr>
        <w:t>” has the meaning specified in the definition of “Sanction(s)”.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ICC</w:t>
      </w:r>
      <w:r>
        <w:rPr>
          <w:rFonts w:ascii="Arial" w:cs="Arial" w:eastAsia="Arial" w:hAnsi="Arial"/>
          <w:sz w:val="20"/>
          <w:szCs w:val="20"/>
          <w:color w:val="auto"/>
        </w:rPr>
        <w:t>” has the meaning specified in the definition of “UCP”.</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accounting standards within the meaning of IAS Regulation 1606/2002 to the extent applicable to the relevant financial statements delivered under or referred to herein.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any Subsidiary that is not a Material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Revolving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2.18(a)(iii)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2.18(a)(i)</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55" w:lineRule="exact"/>
        <w:rPr>
          <w:sz w:val="20"/>
          <w:szCs w:val="20"/>
          <w:color w:val="auto"/>
        </w:rPr>
      </w:pPr>
    </w:p>
    <w:p>
      <w:pPr>
        <w:ind w:left="660" w:firstLine="644"/>
        <w:spacing w:after="0" w:line="229" w:lineRule="auto"/>
        <w:tabs>
          <w:tab w:leader="none" w:pos="1754"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55" w:lineRule="exact"/>
        <w:rPr>
          <w:rFonts w:ascii="Arial" w:cs="Arial" w:eastAsia="Arial" w:hAnsi="Arial"/>
          <w:sz w:val="20"/>
          <w:szCs w:val="20"/>
          <w:color w:val="auto"/>
        </w:rPr>
      </w:pPr>
    </w:p>
    <w:p>
      <w:pPr>
        <w:ind w:left="660" w:firstLine="644"/>
        <w:spacing w:after="0" w:line="229" w:lineRule="auto"/>
        <w:tabs>
          <w:tab w:leader="none" w:pos="1806"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maximum amount of all direct or contingent obligations of such Person arising under letters of credit (including standby and commercial), bankers’ acceptances, bank guaranties, surety bonds and similar instruments;</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175" w:lineRule="exact"/>
        <w:rPr>
          <w:rFonts w:ascii="Arial" w:cs="Arial" w:eastAsia="Arial" w:hAnsi="Arial"/>
          <w:sz w:val="20"/>
          <w:szCs w:val="20"/>
          <w:color w:val="auto"/>
        </w:rPr>
      </w:pPr>
    </w:p>
    <w:p>
      <w:pPr>
        <w:jc w:val="both"/>
        <w:ind w:left="660" w:firstLine="644"/>
        <w:spacing w:after="0" w:line="275" w:lineRule="auto"/>
        <w:tabs>
          <w:tab w:leader="none" w:pos="18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all obligations of such Person in respect of the deferred purchase price of property or services (other than (i) trade accounts payable in the ordinary course of business, including recurring royalty payments reflected in the cost of goods sold and (ii) purchase price adjustments, earnouts, milestone payments, royalty payments, working capital adjustments, R&amp;D Collaboration Payments and other contingent payment obligations, in each case of this </w:t>
      </w:r>
      <w:r>
        <w:rPr>
          <w:rFonts w:ascii="Arial" w:cs="Arial" w:eastAsia="Arial" w:hAnsi="Arial"/>
          <w:sz w:val="16"/>
          <w:szCs w:val="16"/>
          <w:u w:val="single" w:color="auto"/>
          <w:color w:val="auto"/>
        </w:rPr>
        <w:t>subclause (ii)</w:t>
      </w:r>
      <w:r>
        <w:rPr>
          <w:rFonts w:ascii="Arial" w:cs="Arial" w:eastAsia="Arial" w:hAnsi="Arial"/>
          <w:sz w:val="16"/>
          <w:szCs w:val="16"/>
          <w:color w:val="auto"/>
        </w:rPr>
        <w:t>, to the extent such obligations are contingent);</w:t>
      </w:r>
    </w:p>
    <w:p>
      <w:pPr>
        <w:spacing w:after="0" w:line="128" w:lineRule="exact"/>
        <w:rPr>
          <w:rFonts w:ascii="Arial" w:cs="Arial" w:eastAsia="Arial" w:hAnsi="Arial"/>
          <w:sz w:val="16"/>
          <w:szCs w:val="16"/>
          <w:color w:val="auto"/>
        </w:rPr>
      </w:pPr>
    </w:p>
    <w:p>
      <w:pPr>
        <w:jc w:val="both"/>
        <w:ind w:left="660" w:firstLine="644"/>
        <w:spacing w:after="0" w:line="233" w:lineRule="auto"/>
        <w:tabs>
          <w:tab w:leader="none" w:pos="18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indebtedness that is non-recourse to the Loan Parties or their Restricted Subsidiaries shall be the lesser of (i) the Fair Market Value of such property at such date of determination as determined in good faith by such Person, and (ii) the aggregate unpaid amount of such indebtedness;</w:t>
      </w:r>
    </w:p>
    <w:p>
      <w:pPr>
        <w:spacing w:after="0" w:line="156" w:lineRule="exact"/>
        <w:rPr>
          <w:rFonts w:ascii="Arial" w:cs="Arial" w:eastAsia="Arial" w:hAnsi="Arial"/>
          <w:sz w:val="18"/>
          <w:szCs w:val="18"/>
          <w:color w:val="auto"/>
        </w:rPr>
      </w:pPr>
    </w:p>
    <w:p>
      <w:pPr>
        <w:ind w:left="1700" w:hanging="396"/>
        <w:spacing w:after="0"/>
        <w:tabs>
          <w:tab w:leader="none" w:pos="17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Attributable Indebtedness of such Person;</w:t>
      </w:r>
    </w:p>
    <w:p>
      <w:pPr>
        <w:spacing w:after="0" w:line="175" w:lineRule="exact"/>
        <w:rPr>
          <w:rFonts w:ascii="Arial" w:cs="Arial" w:eastAsia="Arial" w:hAnsi="Arial"/>
          <w:sz w:val="20"/>
          <w:szCs w:val="20"/>
          <w:color w:val="auto"/>
        </w:rPr>
      </w:pPr>
    </w:p>
    <w:p>
      <w:pPr>
        <w:ind w:left="660" w:firstLine="644"/>
        <w:spacing w:after="0" w:line="229" w:lineRule="auto"/>
        <w:tabs>
          <w:tab w:leader="none" w:pos="17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obligations of such Person to purchase, redeem, retire, or defease in cash, or otherwise to make any cash payment in respect of, any Equity Interest in such Person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1405" w:right="339" w:bottom="1440" w:gutter="0" w:footer="0" w:header="0"/>
        </w:sectPr>
      </w:pPr>
    </w:p>
    <w:bookmarkStart w:id="68" w:name="page69"/>
    <w:bookmarkEnd w:id="68"/>
    <w:p>
      <w:pPr>
        <w:ind w:left="660"/>
        <w:spacing w:after="0" w:line="229" w:lineRule="auto"/>
        <w:rPr>
          <w:sz w:val="20"/>
          <w:szCs w:val="20"/>
          <w:color w:val="auto"/>
        </w:rPr>
      </w:pPr>
      <w:r>
        <w:rPr>
          <w:rFonts w:ascii="Arial" w:cs="Arial" w:eastAsia="Arial" w:hAnsi="Arial"/>
          <w:sz w:val="20"/>
          <w:szCs w:val="20"/>
          <w:color w:val="auto"/>
        </w:rPr>
        <w:t>Person, valued, in the case of a redeemable preferred interest, at the greater of its voluntary or involuntary liquidation preference plus accrued and unpaid dividends; and</w:t>
      </w:r>
    </w:p>
    <w:p>
      <w:pPr>
        <w:spacing w:after="0" w:line="15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all Guarantees of such Person in respect of any of the foregoing.</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For all purposes hereof, the Indebtedness of any Person shall include the Indebtedness of any partnership or joint venture (other than a joint venture that is itself a corporation, limited liability company or similar limited liability entity) in which such Person is a general partner or a joint venturer, unless such Indebtedness is expressly made non-recourse to such Person. The amount of any net obligation under any Swap Contract on any date shall be deemed to be the Swap Termination Value thereof as of such date. For the avoidance of doubt, “Indebtedness” does not include obligations representing deferred compensation to employees of the Company and its Subsidiaries incurred in the ordinary course of business.</w:t>
      </w:r>
    </w:p>
    <w:p>
      <w:pPr>
        <w:spacing w:after="0" w:line="160" w:lineRule="exact"/>
        <w:rPr>
          <w:sz w:val="20"/>
          <w:szCs w:val="20"/>
          <w:color w:val="auto"/>
        </w:rPr>
      </w:pPr>
    </w:p>
    <w:p>
      <w:pPr>
        <w:jc w:val="both"/>
        <w:ind w:right="20"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clause (a) above, Other Taxes.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11.07(a)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collectively, all of the following owned or controlled by any Person: (a) all systems software and applications software (including source code and object code), all documentation for such software, including user manuals, flowcharts, functional specifications, operations manuals, and all formulas, processes, ideas and know-how embodied in any of the foregoing that are developed by such Person, (b) concepts, discoveries, improvements and ideas, know-how, technology, reports, design information, trade secrets, practices, specifications, test procedures, maintenance manuals, research and development, inventions (whether or not patentable), blueprints, drawings, data, customer lists, catalogs, and all physical embodiments of any of the foregoing that are developed by such Person, and (c) Patents and Patent Licenses, Copyrights and Copyright Licenses, Trademarks and Trademark Licenses.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7.02(d)</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(a) as to any Term SOFR Loan or any Alternative Currency Term Rate Loan, the last day of each Interest Period applicable to such Loan and the Maturity Date; (b) as to any SOFR Daily Floating Rate Loan, the last Business Day of each March, June, September and December and the Maturity Date; (c) as to any Alternative Currency Daily Rate Loan, the last Business Day of each calendar month and the Maturity Date; (d) as to any Base Rate Loan, the last Business Day of each March, June, September and December and the Maturity Date; and (e) as to any Swingline Loan, the last Business Day of each March, June, September and December and the Maturity Date.</w:t>
      </w:r>
    </w:p>
    <w:p>
      <w:pPr>
        <w:spacing w:after="0" w:line="160"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Term SOFR Loan and each Alternative Currency Term Rate Loan, the period commencing on the date such Loan is disbursed or converted to or continued as a Term SOFR Loan or an Alternative Currency Term Rate Loan, as applicable, and ending on the date one (1) or three (3) months thereafter (in each case, subject to availability) for the interest rate applicable to the relevant currency, as selected by the applicable Borrower in its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Interest Period that would otherwise end on a day that is not a Business Day shall be extended to the next succeeding Business Day unless such Business Day falls in another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shall extend beyond the Maturity Date.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(a) as to any Person, any direct or indirect acquisition or investment by such Person, whether by means of (i) the purchase or other acquisition of Equity Interests of another Person, (ii) a loan, advance or capital contribution to, Guarantee or assumption of debt of, or purchase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405" w:right="339" w:bottom="1440" w:gutter="0" w:footer="0" w:header="0"/>
        </w:sectPr>
      </w:pPr>
    </w:p>
    <w:bookmarkStart w:id="69" w:name="page70"/>
    <w:bookmarkEnd w:id="69"/>
    <w:p>
      <w:pPr>
        <w:jc w:val="both"/>
        <w:spacing w:after="0" w:line="207" w:lineRule="auto"/>
        <w:rPr>
          <w:sz w:val="20"/>
          <w:szCs w:val="20"/>
          <w:color w:val="auto"/>
        </w:rPr>
      </w:pPr>
      <w:r>
        <w:rPr>
          <w:rFonts w:ascii="Arial" w:cs="Arial" w:eastAsia="Arial" w:hAnsi="Arial"/>
          <w:sz w:val="20"/>
          <w:szCs w:val="20"/>
          <w:color w:val="auto"/>
        </w:rPr>
        <w:t>acquisition of any other debt or interest in, another Person (including any partnership or joint venture interest in such other Person and any arrangement pursuant to which the investor guaranties Indebtedness of such other Person), or (iii) the purchase or other acquisition (in one transaction or a series of transactions) of assets of another Person which constitute all or substantially all of the assets of such Person or of a division, line of business or other business unit of such Person or (b) any R&amp;D Collaboration Payment. For purposes of covenant compliance, the amount of any Investment shall be the amount actually invested (without adjustment for subsequent increases or decreases in the value of such Investment).</w:t>
      </w:r>
    </w:p>
    <w:p>
      <w:pPr>
        <w:spacing w:after="0" w:line="160"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means, as applicable, (a) a Debt Rating of BBB- or better from S&amp;P, (b) a Debt Rating of Baa3 or better from Moody’s, and (c) a Debt Rating of BBB- or better from Fitch.</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Policy</w:t>
      </w:r>
      <w:r>
        <w:rPr>
          <w:rFonts w:ascii="Arial" w:cs="Arial" w:eastAsia="Arial" w:hAnsi="Arial"/>
          <w:sz w:val="20"/>
          <w:szCs w:val="20"/>
          <w:color w:val="auto"/>
        </w:rPr>
        <w:t>” means the investment policy of the Company and its Subsidiaries approved and duly adopted by the board of directors (or other governing body, including any authorized committee of the board of directors) of the Company, as in effect on the Closing Date (or as otherwise approved by such board of directors or governing body from time to time).</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Disposition</w:t>
      </w:r>
      <w:r>
        <w:rPr>
          <w:rFonts w:ascii="Arial" w:cs="Arial" w:eastAsia="Arial" w:hAnsi="Arial"/>
          <w:sz w:val="20"/>
          <w:szCs w:val="20"/>
          <w:color w:val="auto"/>
        </w:rPr>
        <w:t>” means any loss of, damage to or destruction of, or any condemnation or other taking for public use of, any property of any Loan Party or any Subsidiary.</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Qualifying Lender</w:t>
      </w:r>
      <w:r>
        <w:rPr>
          <w:rFonts w:ascii="Arial" w:cs="Arial" w:eastAsia="Arial" w:hAnsi="Arial"/>
          <w:sz w:val="18"/>
          <w:szCs w:val="18"/>
          <w:color w:val="auto"/>
        </w:rPr>
        <w:t xml:space="preserve">” means a Lender which is beneficially entitled to the interest payable to that Lender in respect of an advance under this Agreement and is (a) a bank within the meaning of section 246(1) of the Taxes Act which is carrying on bona fide banking business in Ireland for the purposes of section 246(3)(a) of the Taxes Act, (b)(i) a body corporate which, by virtue of the law of a Relevant Territory is resident for the purposes of tax in that Relevant Territory, where that Relevant Territory imposes a tax that generally applies to interest receivable in that Relevant Territory by bodies corporate from sources outside that Relevant Territory or (ii) a body corporate where interest payable in respect of an advance (A) is exempted from the charge to income tax under a double taxation agreement having force of law under the procedures set out in section 826(1) of the Taxes Act or (B) would be exempted from the charge to Irish income tax under an Irish Tax Treaty entered into on or before the payment date of that interest if that Irish Tax Treaty had the force of law under the provisions set out in section 826(1) of the Taxes Act at that date, (iii) a U.S. company, provided the U.S. company is incorporated in the U.S. and is taxed in the U.S. on its worldwide income or (iv) a U.S. limited liability company where (1) the ultimate recipients of the interest would, if they were themselves Lenders, be Irish Qualifying Lenders under sub-paragraphs (i), (ii) or (iii) of this clause (b) and (2) business is conducted through the U.S. limited liability company for market reasons and not for tax avoidance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at (i), (ii) (iii) or (iv) the Lender is not (or in the case of (iv), the ultimate recipients of the interest are not) carrying on a trade or business in Ireland through a branch or agency with which the interest payment is connected, (c) a body corporate, (i) which advances money in the ordinary course of a trade which includes the lending of money; and (ii) where the interest on monies so advanced is taken into account in computing the trading income of such body corporate; and (iii) such body corporate has complied with the notification requirements under section 246(5)(a) of the Taxes Act, (d) a qualifying company within the meaning of section 110 of the Taxes Act, (e) an investment undertaking within the meaning of section 739B of the Taxes Act or (f) an Irish Treaty Lender.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Tax Treaty</w:t>
      </w:r>
      <w:r>
        <w:rPr>
          <w:rFonts w:ascii="Arial" w:cs="Arial" w:eastAsia="Arial" w:hAnsi="Arial"/>
          <w:sz w:val="20"/>
          <w:szCs w:val="20"/>
          <w:color w:val="auto"/>
        </w:rPr>
        <w:t>” has the meaning specified in the definition of “Irish Treaty State”.</w:t>
      </w:r>
    </w:p>
    <w:p>
      <w:pPr>
        <w:spacing w:after="0" w:line="17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Treaty Lender</w:t>
      </w:r>
      <w:r>
        <w:rPr>
          <w:rFonts w:ascii="Arial" w:cs="Arial" w:eastAsia="Arial" w:hAnsi="Arial"/>
          <w:sz w:val="18"/>
          <w:szCs w:val="18"/>
          <w:color w:val="auto"/>
        </w:rPr>
        <w:t>” means, a Lender, other than a Lender falling within clause (b) of the definition of “Irish Qualifying Lender”, which (a) is treated as a resident of an Irish Treaty State for the purposes of an Irish Tax Treaty, (b) does not carry on a business in Ireland through a permanent establishment with which that Lender’s participation in this Agreement is effectively connected and (c) (subject to the completion of any procedural formalities) fulfils any other conditions which must be fulfilled under an Irish Tax Treaty by residents of that Irish Treaty State for such residents to obtain full exemption from tax imposed by Ireland on interest payable under a Loan Document.</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Treaty State</w:t>
      </w:r>
      <w:r>
        <w:rPr>
          <w:rFonts w:ascii="Arial" w:cs="Arial" w:eastAsia="Arial" w:hAnsi="Arial"/>
          <w:sz w:val="20"/>
          <w:szCs w:val="20"/>
          <w:color w:val="auto"/>
        </w:rPr>
        <w:t>” means a jurisdiction having a double taxation treaty with Ireland (an “</w:t>
      </w:r>
      <w:r>
        <w:rPr>
          <w:rFonts w:ascii="Arial" w:cs="Arial" w:eastAsia="Arial" w:hAnsi="Arial"/>
          <w:sz w:val="20"/>
          <w:szCs w:val="20"/>
          <w:u w:val="single" w:color="auto"/>
          <w:color w:val="auto"/>
        </w:rPr>
        <w:t>Irish Tax Treaty</w:t>
      </w:r>
      <w:r>
        <w:rPr>
          <w:rFonts w:ascii="Arial" w:cs="Arial" w:eastAsia="Arial" w:hAnsi="Arial"/>
          <w:sz w:val="20"/>
          <w:szCs w:val="20"/>
          <w:color w:val="auto"/>
        </w:rPr>
        <w:t>”), which has the force of law and which makes provision for full exemption from tax imposed by Ireland on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405"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 L/C Issuer and the Company (or any Restricted Subsidiary) or in favor of such L/C Issuer and relating to such Letter of Credit.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substantially in the form of Exhibit D executed and delivered in accordance with the provisions of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11.23</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Date applicable to any Class of Loans, Revolving Commitments or Extended Revolving Commitments hereunder at such time, in each case then in effect on such date of determination.</w:t>
      </w:r>
    </w:p>
    <w:p>
      <w:pPr>
        <w:spacing w:after="0" w:line="130"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Lender, such Lender’s funding (at the Dollar Equivalent in the case of a Letter of Credit denominated in an Alternative Currency) of its participation in any L/C Borrowing in accordance with its Applicable Percentage. All L/C Advances shall be denominated in Dollars.</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Borrowing</w:t>
      </w:r>
      <w:r>
        <w:rPr>
          <w:rFonts w:ascii="Arial" w:cs="Arial" w:eastAsia="Arial" w:hAnsi="Arial"/>
          <w:sz w:val="19"/>
          <w:szCs w:val="19"/>
          <w:color w:val="auto"/>
        </w:rPr>
        <w:t>” means an extension of credit resulting from a drawing under any Letter of Credit which has not been reimbursed on the date when made or refinanced as a Revolving Borrowing. All L/C Borrowings shall be denominated in Dollars.</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55"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xml:space="preserve">” means with respect to a particular Letter of Credit, (a) Bank of America, through itself or through one of its designated Affiliates or branch offices, in its capacity as issuer of such Letter of Credit, or any successor issuer thereof, (b) such other Lender selected by the Company (that is reasonably acceptable to the Administrative Agent) pursuant to </w:t>
      </w:r>
      <w:r>
        <w:rPr>
          <w:rFonts w:ascii="Arial" w:cs="Arial" w:eastAsia="Arial" w:hAnsi="Arial"/>
          <w:sz w:val="20"/>
          <w:szCs w:val="20"/>
          <w:u w:val="single" w:color="auto"/>
          <w:color w:val="auto"/>
        </w:rPr>
        <w:t>Section 2.03(l)</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9.6(d)</w:t>
      </w:r>
      <w:r>
        <w:rPr>
          <w:rFonts w:ascii="Arial" w:cs="Arial" w:eastAsia="Arial" w:hAnsi="Arial"/>
          <w:sz w:val="20"/>
          <w:szCs w:val="20"/>
          <w:color w:val="auto"/>
        </w:rPr>
        <w:t xml:space="preserve"> from time to time to issue such Letter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be required to become an L/C Issuer pursuant to this clause (b) without such Lender’s consent), or any successor issuer thereof or (c) any Lender selected by the Company (that is reasonably acceptable to the Administrative Agent) to replace a Lender who is a Defaulting Lender at the time of such Lender’s appointment as an L/C Issuer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be required to become an L/C Issuer pursuant to this clause (c) without such Lender’s consent), or any successor issuer thereof.</w:t>
      </w:r>
    </w:p>
    <w:p>
      <w:pPr>
        <w:spacing w:after="0" w:line="15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Dollar Equivalent of the aggregate amount (a)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1.06</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1405" w:right="339" w:bottom="1440" w:gutter="0" w:footer="0" w:header="0"/>
        </w:sectPr>
      </w:pPr>
    </w:p>
    <w:bookmarkStart w:id="71" w:name="page72"/>
    <w:bookmarkEnd w:id="71"/>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means each of the Persons identified as a “Lender” on the signature pages hereto, each other Person that becomes a “Lender” in accordance with this Agreement and, their successors and assigns and, unless the context requires otherwise, includes the Swingline Lender. The term “Lender” shall include any Designated Lender who has funded any Credit Extension.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Party</w:t>
      </w:r>
      <w:r>
        <w:rPr>
          <w:rFonts w:ascii="Arial" w:cs="Arial" w:eastAsia="Arial" w:hAnsi="Arial"/>
          <w:sz w:val="20"/>
          <w:szCs w:val="20"/>
          <w:color w:val="auto"/>
        </w:rPr>
        <w:t>” means each Lender, each L/C Issuer and the Swingline Lender.</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the Administrative Agent, any L/C Issuer or any Lender, the office or offices of such Person described as such in such Person’s Administrative Questionnaire, or such other office or offices as such Person may from time to time notify the Company and the Administrative Agent; which office may include any Affiliate of such Person or any domestic or foreign branch of such Person or such Affiliate.</w:t>
      </w:r>
    </w:p>
    <w:p>
      <w:pPr>
        <w:spacing w:after="0" w:line="15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means any letter of credit issued hereunder and shall include the Existing Letters of Credit. A Letter of Credit may be a commercial letter of credit or a standby letter of credit. Letters of Credit may be issued in Dollars or in an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Alternative Currency L/C Issuer may issue Letters of Credit denominated in Alternative Currencies.</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L/C Issuer.</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(7) days prior to the Maturity Date (or, if such day is not a Business Day, the next preceding Business Day).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Report</w:t>
      </w:r>
      <w:r>
        <w:rPr>
          <w:rFonts w:ascii="Arial" w:cs="Arial" w:eastAsia="Arial" w:hAnsi="Arial"/>
          <w:sz w:val="18"/>
          <w:szCs w:val="18"/>
          <w:color w:val="auto"/>
        </w:rPr>
        <w:t>” means a certificate substantially in the form of Exhibit L or any other form approved by the Administrative</w:t>
      </w:r>
    </w:p>
    <w:p>
      <w:pPr>
        <w:spacing w:after="0"/>
        <w:rPr>
          <w:sz w:val="20"/>
          <w:szCs w:val="20"/>
          <w:color w:val="auto"/>
        </w:rPr>
      </w:pPr>
      <w:r>
        <w:rPr>
          <w:rFonts w:ascii="Arial" w:cs="Arial" w:eastAsia="Arial" w:hAnsi="Arial"/>
          <w:sz w:val="20"/>
          <w:szCs w:val="20"/>
          <w:color w:val="auto"/>
        </w:rPr>
        <w:t>Agent.</w:t>
      </w:r>
    </w:p>
    <w:p>
      <w:pPr>
        <w:spacing w:after="0" w:line="159"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as of any date of determination, an amount equal to the lesser of (a) the Dollar Equivalent of $100,000,000 and (b) the amount of the Revolving Facility as of such date. The Letter of Credit Sublimit is part of, and not in addition to, the Revolving Facility.</w:t>
      </w:r>
    </w:p>
    <w:p>
      <w:pPr>
        <w:spacing w:after="0" w:line="15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collateral assignment, collateral deposit arrangement, encumbrance, lien (statutory or otherwise), charge, or similar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but excluding precautionary liens and filings made in respect of operating leases and assets subject thereto).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any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Loan or a Swingline</w:t>
      </w:r>
    </w:p>
    <w:p>
      <w:pPr>
        <w:spacing w:after="0"/>
        <w:rPr>
          <w:sz w:val="20"/>
          <w:szCs w:val="20"/>
          <w:color w:val="auto"/>
        </w:rPr>
      </w:pPr>
      <w:r>
        <w:rPr>
          <w:rFonts w:ascii="Arial" w:cs="Arial" w:eastAsia="Arial" w:hAnsi="Arial"/>
          <w:sz w:val="20"/>
          <w:szCs w:val="20"/>
          <w:color w:val="auto"/>
        </w:rPr>
        <w:t>Loan.</w:t>
      </w:r>
    </w:p>
    <w:p>
      <w:pPr>
        <w:spacing w:after="0" w:line="15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(a) this Agreement, (b) the Revolving Notes, (c) the Guaranty, (d) the Fee Letter, (e) each Issuer Document, (f) each Joinder Agreement, (g)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 each Designated Foreign Borrower Request and Assumption Agreement and (i) all other agreements and documents now or hereafter executed, acknowledged and/or delivered by or on behalf of any Loan Party pursuant to the foregoing designated as a Loan Document (but specifically excluding any Guaranteed Hedge Agreement or any Guaranteed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11.01</w:t>
      </w:r>
      <w:r>
        <w:rPr>
          <w:rFonts w:ascii="Arial" w:cs="Arial" w:eastAsia="Arial" w:hAnsi="Arial"/>
          <w:sz w:val="18"/>
          <w:szCs w:val="18"/>
          <w:color w:val="auto"/>
        </w:rPr>
        <w:t>, “Loan Documents” shall mean this Agreement and the Guaranty.</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means a notice of (a) a Revolving Borrowing, (b) a conversion of Term SOFR Loans to Base Rate Loans or SOFR Daily Floating Rate Loans, (c) a conversion of Base Rate Loans to Term SOFR Loans or SOFR Daily Floating Rate Loans, (d) a conversion of SOFR Daily Floating Rate Loans to Term SOFR Loans or Base Rate Loans, or (e) a continuation of Term SOFR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405" w:right="339" w:bottom="1440" w:gutter="0" w:footer="0" w:header="0"/>
        </w:sectPr>
      </w:pPr>
    </w:p>
    <w:bookmarkStart w:id="72" w:name="page73"/>
    <w:bookmarkEnd w:id="72"/>
    <w:p>
      <w:pPr>
        <w:jc w:val="both"/>
        <w:spacing w:after="0" w:line="244" w:lineRule="auto"/>
        <w:rPr>
          <w:sz w:val="20"/>
          <w:szCs w:val="20"/>
          <w:color w:val="auto"/>
        </w:rPr>
      </w:pPr>
      <w:r>
        <w:rPr>
          <w:rFonts w:ascii="Arial" w:cs="Arial" w:eastAsia="Arial" w:hAnsi="Arial"/>
          <w:sz w:val="18"/>
          <w:szCs w:val="18"/>
          <w:color w:val="auto"/>
        </w:rPr>
        <w:t xml:space="preserve">Alternative Currency Term Rate Loans, in each case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which shall be substantially in the form of Exhibit 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each Borrower and each Subsidiary Guarantor.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Massachusetts Security Corporation</w:t>
      </w:r>
      <w:r>
        <w:rPr>
          <w:rFonts w:ascii="Arial" w:cs="Arial" w:eastAsia="Arial" w:hAnsi="Arial"/>
          <w:sz w:val="18"/>
          <w:szCs w:val="18"/>
          <w:color w:val="auto"/>
        </w:rPr>
        <w:t>” means a Person that qualifies as a Massachusetts “security corporation” under Mass. Gen. L.</w:t>
      </w:r>
    </w:p>
    <w:p>
      <w:pPr>
        <w:spacing w:after="0"/>
        <w:rPr>
          <w:sz w:val="20"/>
          <w:szCs w:val="20"/>
          <w:color w:val="auto"/>
        </w:rPr>
      </w:pPr>
      <w:r>
        <w:rPr>
          <w:rFonts w:ascii="Arial" w:cs="Arial" w:eastAsia="Arial" w:hAnsi="Arial"/>
          <w:sz w:val="20"/>
          <w:szCs w:val="20"/>
          <w:color w:val="auto"/>
        </w:rPr>
        <w:t>c. 63, §38B, but only to the extent, and during the time period, it so qualifies.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Acquisition</w:t>
      </w:r>
      <w:r>
        <w:rPr>
          <w:rFonts w:ascii="Arial" w:cs="Arial" w:eastAsia="Arial" w:hAnsi="Arial"/>
          <w:sz w:val="20"/>
          <w:szCs w:val="20"/>
          <w:color w:val="auto"/>
        </w:rPr>
        <w:t>” means any Acquisition consummated by the Company or any Restricted Subsidiary for which the Cost of Acquisition is equal to or greater than $300,000,000.</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a material adverse change in, or a material adverse effect upon, the operations, business or financial condition of the Borrowers and their Restricted Subsidiaries taken as a whole; (b) a material impairment of the rights and remedies of the Administrative Agent and the Lenders, taken as a whole, under the Loan Documents; or (c) a material adverse effect upon ability of the Loan Parties, taken as a whole, to perform their payment obligations under the Loan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any Indebtedness in an aggregate principal amount in excess of the Threshold Amount.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Intellectual Property</w:t>
      </w:r>
      <w:r>
        <w:rPr>
          <w:rFonts w:ascii="Arial" w:cs="Arial" w:eastAsia="Arial" w:hAnsi="Arial"/>
          <w:sz w:val="20"/>
          <w:szCs w:val="20"/>
          <w:color w:val="auto"/>
        </w:rPr>
        <w:t xml:space="preserve">” means, as of any particular date of determination, Intellectual Property of the Loan Parties and their Subsidiaries where the failure to maintain such Intellectual Property would reasonably be expected to have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Intellectual Property that would otherwise be considered Material Intellectual Property, which is developed or acquired by the Company or its Subsidiaries after the Closing Date, shall be considered to be Material Intellectual Property as of the date of determination described above.</w:t>
      </w:r>
    </w:p>
    <w:p>
      <w:pPr>
        <w:spacing w:after="0" w:line="1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date of determination, any Subsidiary of the Company that (a) together with its Subsidiaries, generates revenue equal to or greater than 10% of Consolidated revenue on a Pro Forma Basis for the Measurement Period most recently ended, and (b) together with its Subsidiaries, has total assets (including Equity Interests in other Subsidiaries and excluding investments that are eliminated in consolidation) equal to or greater than 10% of Consolidated total assets as of such date (determined by reference to amount of Consolidated total assets existing on the last day of the Measurement Period most recently ended).</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July 1, 2027;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date is not a Business Day, the Maturity Date shall be the next preceding Business Day.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11.09</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xml:space="preserve">” means, at any date of determination, the most recently completed four (4) fiscal quarters of the Company (or, for purposes of determining Pro Forma Compliance, the most recently completed four (4) fiscal quarters of the Company for which financial statements have been delivered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Medicaid</w:t>
      </w:r>
      <w:r>
        <w:rPr>
          <w:rFonts w:ascii="Arial" w:cs="Arial" w:eastAsia="Arial" w:hAnsi="Arial"/>
          <w:sz w:val="20"/>
          <w:szCs w:val="20"/>
          <w:color w:val="auto"/>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Medicare</w:t>
      </w:r>
      <w:r>
        <w:rPr>
          <w:rFonts w:ascii="Arial" w:cs="Arial" w:eastAsia="Arial" w:hAnsi="Arial"/>
          <w:sz w:val="20"/>
          <w:szCs w:val="20"/>
          <w:color w:val="auto"/>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1405" w:right="339" w:bottom="1440" w:gutter="0" w:footer="0" w:header="0"/>
        </w:sectPr>
      </w:pPr>
    </w:p>
    <w:bookmarkStart w:id="73" w:name="page74"/>
    <w:bookmarkEnd w:id="73"/>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provided to reduce or eliminate Fronting Exposure during any period when a Lender constitutes a Defaulting Lender, an amount equal to 100% of the Fronting Exposure of the L/C Issuers with respect to Letters of Credit issued and outstanding at such time and (b) with respect to Cash Collateral consisting of cash or deposit account balances provided in accordance with the provisions of </w:t>
      </w:r>
      <w:r>
        <w:rPr>
          <w:rFonts w:ascii="Arial" w:cs="Arial" w:eastAsia="Arial" w:hAnsi="Arial"/>
          <w:sz w:val="18"/>
          <w:szCs w:val="18"/>
          <w:u w:val="single" w:color="auto"/>
          <w:color w:val="auto"/>
        </w:rPr>
        <w:t>Section 2.14(a)(i)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2.14(a)(iii)</w:t>
      </w:r>
      <w:r>
        <w:rPr>
          <w:rFonts w:ascii="Arial" w:cs="Arial" w:eastAsia="Arial" w:hAnsi="Arial"/>
          <w:sz w:val="18"/>
          <w:szCs w:val="18"/>
          <w:color w:val="auto"/>
        </w:rPr>
        <w:t>, an amount equal to 103% of the Outstanding Amount of all L/C Obligations.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Company or any ERISA Affiliate makes or is obligated to make contributions, or during the preceding five (5) plan years, has made or been obligated to make contributions.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either (a) does not approve any consent, waiver or amendment that (i) requires the approval of all Lenders or all affected Lenders, or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(ii) has been approved by the Required Lenders or (b) constitutes a “Non-Consenting Lender”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2.03(b)(iv)</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Additional L/C Issuer</w:t>
      </w:r>
      <w:r>
        <w:rPr>
          <w:rFonts w:ascii="Arial" w:cs="Arial" w:eastAsia="Arial" w:hAnsi="Arial"/>
          <w:sz w:val="20"/>
          <w:szCs w:val="20"/>
          <w:color w:val="auto"/>
        </w:rPr>
        <w:t>” means a certificate substantially in the form of Exhibit M or any other form approved by the Administrative Agent.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Loan Prepayment</w:t>
      </w:r>
      <w:r>
        <w:rPr>
          <w:rFonts w:ascii="Arial" w:cs="Arial" w:eastAsia="Arial" w:hAnsi="Arial"/>
          <w:sz w:val="20"/>
          <w:szCs w:val="20"/>
          <w:color w:val="auto"/>
        </w:rPr>
        <w:t>” means a notice of prepayment with respect to a Loan, which shall be substantially in the form of Exhibit K or such other form as may be reasonably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or otherwise with respect to any Loan or Letter of Credit,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of a Loan Party shall exclude any Excluded Swap Obligations with respect to such Loan Party.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405" w:right="339" w:bottom="1440" w:gutter="0" w:footer="0" w:header="0"/>
        </w:sectPr>
      </w:pPr>
    </w:p>
    <w:bookmarkStart w:id="74" w:name="page75"/>
    <w:bookmarkEnd w:id="74"/>
    <w:p>
      <w:pPr>
        <w:jc w:val="both"/>
        <w:spacing w:after="0" w:line="218" w:lineRule="auto"/>
        <w:rPr>
          <w:sz w:val="20"/>
          <w:szCs w:val="20"/>
          <w:color w:val="auto"/>
        </w:rPr>
      </w:pPr>
      <w:r>
        <w:rPr>
          <w:rFonts w:ascii="Arial" w:cs="Arial" w:eastAsia="Arial" w:hAnsi="Arial"/>
          <w:sz w:val="20"/>
          <w:szCs w:val="20"/>
          <w:color w:val="auto"/>
        </w:rPr>
        <w:t>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transfer or novation (or other disposal)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Revolving Loans and Swingline Loans on any date, the Dollar Equivalent amount of the aggregate outstanding principal amount thereof after giving effect to any borrowings and prepayments or repayments of Revolving Loans and Swingline Loans, as the case may be,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spacing w:after="0" w:line="159"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(a) with respect to any amount denominated in Dollars, the greater of (i) the Federal Funds Rate and (ii) an overnight rate determined by the Administrative Agent or the Alternative Currency L/C Issuer, as the case may be, in accordance with banking industry rules on interbank compensation, and (b) with respect to any amount denominated in an Alternative Currency, an overnight rate determined by the Administrative Agent or the Alternative Currency L/C Issuer, as the case may be, in accordance with banking industry rules on interbank compensation.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has the Euro as its lawful currency in accordance with legislation of the European Union related to Economic and Monetary Union.</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License</w:t>
      </w:r>
      <w:r>
        <w:rPr>
          <w:rFonts w:ascii="Arial" w:cs="Arial" w:eastAsia="Arial" w:hAnsi="Arial"/>
          <w:sz w:val="19"/>
          <w:szCs w:val="19"/>
          <w:color w:val="auto"/>
        </w:rPr>
        <w:t>” means any agreement, now or hereafter in existence, providing for the grant to any Person of any rights (including the right for a party to be designated as an owner and/or to enforce, defend, make, have made, make improvements, manufacture, use, sell, import, export, and require joinder in suit and/or receive assistance from another party) in a Patent.</w:t>
      </w:r>
    </w:p>
    <w:p>
      <w:pPr>
        <w:spacing w:after="0" w:line="15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collectively, all of the following of any Person: (a) all patents, all inventions and patent applications anywhere in the world, (b) all improvements, counterparts, reissues, divisional, re-examinations, extensions, continuations (in whole or in part) and renewals of any of the foregoing and improvements thereon, (c) all income, royalties, damages or payments now or hereafter due and/or payable under any of the foregoing or with respect to any of the foregoing, including damages or payments for past, present or future infringements, violations or misappropriations of any of the foregoing, (d) the right to sue for past, present and future infringements, violations or misappropriations of any of the foregoing and (e) all rights corresponding to any of the foregoing throughout the world.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11.19</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1405"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Multiemployer Plans and set forth in Sections 412, 430, 431, 432 and 436 of the Code and Sections 302, 303, 304 and 305 of ERISA.</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but other than a Multiemployer Plan) that is maintained or is contributed to by the Company and any ERISA Affiliate and is either covered by Title IV of ERISA or is subject to Pension Funding Rules.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Restructuring</w:t>
      </w:r>
      <w:r>
        <w:rPr>
          <w:rFonts w:ascii="Arial" w:cs="Arial" w:eastAsia="Arial" w:hAnsi="Arial"/>
          <w:sz w:val="19"/>
          <w:szCs w:val="19"/>
          <w:color w:val="auto"/>
        </w:rPr>
        <w:t xml:space="preserve">” means a transaction or series of transactions pursuant to which one or more Restricted Subsidiaries of the Company (other than any Designated Foreign Borrower) are converted, restructured or reorganized due to changes or potential changes in any relevant legal or regulatory framework, whether by (a) transfer, (b) acquisition, (c) contribution, (d) merger, (e) consolidation, (f) voluntary dissolution, (g) liquidation, (h) recapitalization, (i) change in identity, form, place of organization, incorporation, domicile or, to the extent relevant and subject to </w:t>
      </w:r>
      <w:r>
        <w:rPr>
          <w:rFonts w:ascii="Arial" w:cs="Arial" w:eastAsia="Arial" w:hAnsi="Arial"/>
          <w:sz w:val="19"/>
          <w:szCs w:val="19"/>
          <w:u w:val="single" w:color="auto"/>
          <w:color w:val="auto"/>
        </w:rPr>
        <w:t>Section 5.23(c)</w:t>
      </w:r>
      <w:r>
        <w:rPr>
          <w:rFonts w:ascii="Arial" w:cs="Arial" w:eastAsia="Arial" w:hAnsi="Arial"/>
          <w:sz w:val="19"/>
          <w:szCs w:val="19"/>
          <w:color w:val="auto"/>
        </w:rPr>
        <w:t>, centre of main interests (as that term is used in Article 3(1) of the Regulation), or (j) otherwise, in each case the result of which may cause a direct or indirect sale, assignment or transfer of Equity Interests and/or other assets between and among the Company and/or various Restricted Subsidiaries of the Company, and in each case to the extent the Administrative Agent (acting in its reasonable credit judgment) approves such Permitted Restructuring.</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of Reorganization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11.06(h)(iii)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Pricing Level</w:t>
      </w:r>
      <w:r>
        <w:rPr>
          <w:rFonts w:ascii="Arial" w:cs="Arial" w:eastAsia="Arial" w:hAnsi="Arial"/>
          <w:sz w:val="20"/>
          <w:szCs w:val="20"/>
          <w:color w:val="auto"/>
        </w:rPr>
        <w:t>” has the meaning specified in the definition of “Applicable Rate”.</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means, for any transaction specified herein, including any Disposition (including of all or substantially all of a division or a line of business), Acquisition, or Investment, or incurrence or assumption of Indebtedness, whether actual or proposed, for purposes of determining compliance with the terms of this Agreement and the other Loan Documents (including, the financial covenant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each such transaction or proposed transaction shall be given pro forma effect as if such events (including all Credit Extensions made in connection therewith) occurred on the first day of the most recent Measurement Period ended on or before the occurrence of such event, and, for the avoidance of any doubt, shall include the following pro forma adjustments:</w:t>
      </w:r>
    </w:p>
    <w:p>
      <w:pPr>
        <w:spacing w:after="0" w:line="155" w:lineRule="exact"/>
        <w:rPr>
          <w:sz w:val="20"/>
          <w:szCs w:val="20"/>
          <w:color w:val="auto"/>
        </w:rPr>
      </w:pPr>
    </w:p>
    <w:p>
      <w:pPr>
        <w:jc w:val="both"/>
        <w:ind w:left="660" w:firstLine="644"/>
        <w:spacing w:after="0" w:line="213" w:lineRule="auto"/>
        <w:tabs>
          <w:tab w:leader="none" w:pos="1819"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case of an actual or proposed Disposition or the designation of any Restricted Subsidiary as an Unrestricted Subsidiary, all income statement items (whether positive or negative) attributable to the assets or the Person subject to such Disposition or such designation shall be excluded from the results of the Company and its Restricted Subsidiaries for such Measurement Period to the extent occurring prior to the date of such transaction;</w:t>
      </w:r>
    </w:p>
    <w:p>
      <w:pPr>
        <w:spacing w:after="0" w:line="155" w:lineRule="exact"/>
        <w:rPr>
          <w:rFonts w:ascii="Arial" w:cs="Arial" w:eastAsia="Arial" w:hAnsi="Arial"/>
          <w:sz w:val="20"/>
          <w:szCs w:val="20"/>
          <w:color w:val="auto"/>
        </w:rPr>
      </w:pPr>
    </w:p>
    <w:p>
      <w:pPr>
        <w:jc w:val="both"/>
        <w:ind w:left="660" w:firstLine="644"/>
        <w:spacing w:after="0" w:line="218" w:lineRule="auto"/>
        <w:tabs>
          <w:tab w:leader="none" w:pos="1815"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case of an actual or proposed Acquisition or any Subsidiary Redesignation, income statement items (whether positive or negative) attributable to the property, line of business or the Person subject to such Acquisition or such Subsidiary Redesignation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405"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20"/>
          <w:szCs w:val="20"/>
          <w:color w:val="auto"/>
        </w:rPr>
        <w:t>included in the results of the Company and its Restricted Subsidiaries for such Measurement Period;</w:t>
      </w:r>
    </w:p>
    <w:p>
      <w:pPr>
        <w:spacing w:after="0" w:line="175" w:lineRule="exact"/>
        <w:rPr>
          <w:sz w:val="20"/>
          <w:szCs w:val="20"/>
          <w:color w:val="auto"/>
        </w:rPr>
      </w:pPr>
    </w:p>
    <w:p>
      <w:pPr>
        <w:jc w:val="both"/>
        <w:ind w:left="660" w:firstLine="644"/>
        <w:spacing w:after="0" w:line="218" w:lineRule="auto"/>
        <w:tabs>
          <w:tab w:leader="none" w:pos="1815"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interest accrued during the relevant Measurement Period on, and the principal of, any Indebtedness repaid or to be repaid or refinanced in such transaction shall be excluded from the results of the Company and its Restricted Subsidiaries for such Measurement Period; and</w:t>
      </w:r>
    </w:p>
    <w:p>
      <w:pPr>
        <w:spacing w:after="0" w:line="156" w:lineRule="exact"/>
        <w:rPr>
          <w:rFonts w:ascii="Arial" w:cs="Arial" w:eastAsia="Arial" w:hAnsi="Arial"/>
          <w:sz w:val="20"/>
          <w:szCs w:val="20"/>
          <w:color w:val="auto"/>
        </w:rPr>
      </w:pPr>
    </w:p>
    <w:p>
      <w:pPr>
        <w:jc w:val="both"/>
        <w:ind w:left="660" w:firstLine="644"/>
        <w:spacing w:after="0" w:line="221" w:lineRule="auto"/>
        <w:tabs>
          <w:tab w:leader="none" w:pos="1768"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Indebtedness or Investment actually or proposed to be incurred or assumed in such transaction shall be deemed to have been incurred as of the first day of the applicable Measurement Period, and interest on any Indebtedness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Company and its Restricted Subsidiaries for such Measurement Period.</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Compliance</w:t>
      </w:r>
      <w:r>
        <w:rPr>
          <w:rFonts w:ascii="Arial" w:cs="Arial" w:eastAsia="Arial" w:hAnsi="Arial"/>
          <w:sz w:val="19"/>
          <w:szCs w:val="19"/>
          <w:color w:val="auto"/>
        </w:rPr>
        <w:t xml:space="preserve">” means, with respect to any transaction, such transaction complies with the financial covenant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after giving Pro Forma Effect, based upon the results of operations for the most recently completed Measurement Period, to (a) such transaction and (b) all other transactions (including any Credit Extensions) which are contemplated or required to be given Pro Forma Effect hereunder that have occurred on or after the first day of the relevant Measurement Period.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rPr>
          <w:sz w:val="20"/>
          <w:szCs w:val="20"/>
          <w:color w:val="auto"/>
        </w:rPr>
      </w:pPr>
      <w:r>
        <w:rPr>
          <w:rFonts w:ascii="Arial" w:cs="Arial" w:eastAsia="Arial" w:hAnsi="Arial"/>
          <w:sz w:val="20"/>
          <w:szCs w:val="20"/>
          <w:color w:val="auto"/>
        </w:rPr>
        <w:t>5390(c)(8)(D).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Stock</w:t>
      </w:r>
      <w:r>
        <w:rPr>
          <w:rFonts w:ascii="Arial" w:cs="Arial" w:eastAsia="Arial" w:hAnsi="Arial"/>
          <w:sz w:val="20"/>
          <w:szCs w:val="20"/>
          <w:color w:val="auto"/>
        </w:rPr>
        <w:t>” means any Equity Interest that is not Disqualified Stock.</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Quarterly Reimbursement Payments</w:t>
      </w:r>
      <w:r>
        <w:rPr>
          <w:rFonts w:ascii="Arial" w:cs="Arial" w:eastAsia="Arial" w:hAnsi="Arial"/>
          <w:sz w:val="20"/>
          <w:szCs w:val="20"/>
          <w:color w:val="auto"/>
        </w:rPr>
        <w:t>” means non-refundable quarterly reimbursements of certain of the Company’s research and development expenses.</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R&amp;D Collaboration Payments</w:t>
      </w:r>
      <w:r>
        <w:rPr>
          <w:rFonts w:ascii="Arial" w:cs="Arial" w:eastAsia="Arial" w:hAnsi="Arial"/>
          <w:sz w:val="19"/>
          <w:szCs w:val="19"/>
          <w:color w:val="auto"/>
        </w:rPr>
        <w:t>” means one-time non-recurring up-front payments and milestone payments payable by the Company and its Restricted Subsidiaries under research and development licensing agreements, collaboration agreements or development agreements of the Company and its Subsidiaries relating to product candidates of the Company and its Subsidiaries.</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with respect to any Interest Period,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means any means any owned or leased real property of a Loan Party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405" w:right="339" w:bottom="1440" w:gutter="0" w:footer="0" w:header="0"/>
        </w:sectPr>
      </w:pPr>
    </w:p>
    <w:bookmarkStart w:id="77" w:name="page78"/>
    <w:bookmarkEnd w:id="77"/>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any L/C Issuer or any other recipient of any payment to be made by or on account of any obligation of any Loan Party hereunder.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5.23(c)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11.22</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Rate</w:t>
      </w:r>
      <w:r>
        <w:rPr>
          <w:rFonts w:ascii="Arial" w:cs="Arial" w:eastAsia="Arial" w:hAnsi="Arial"/>
          <w:sz w:val="19"/>
          <w:szCs w:val="19"/>
          <w:color w:val="auto"/>
        </w:rPr>
        <w:t>” means with respect to any Revolving Loan denominated in (a) Euros, EURIBOR (or any Successor Rate established in connection therewith), (b) Sterling, SONIA (or any Successor Rate established in connection therewith), (c) Canadian Dollars, CDOR (or any Successor Rate established in connection therewith), (d) Australian Dollars, BBSY (or any Successor Rate established in connection therewith), and (e) Swiss Francs, SARON (or any Successor Rate established in connection therewith).</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Territory</w:t>
      </w:r>
      <w:r>
        <w:rPr>
          <w:rFonts w:ascii="Arial" w:cs="Arial" w:eastAsia="Arial" w:hAnsi="Arial"/>
          <w:sz w:val="20"/>
          <w:szCs w:val="20"/>
          <w:color w:val="auto"/>
        </w:rPr>
        <w:t>” means (a) a member state of the European Communities other than Ireland, (b) a jurisdiction with which Ireland has entered into an Irish Tax Treaty that has the force of law by virtue of Section 826(1) of the Taxes Act or (c) a jurisdiction with which Ireland has entered into an Irish Tax Treaty where that treaty will (on completion of necessary procedures set out in Section 826(1) of the Taxes Act) have the force of law.</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9.06(b)</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 (30) day notice period has been waived.</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Revolving Borrowing, or a conversion or continuation of Revolving Loans, a Loan Notice, (b) with respect to an L/C Credit Extension, a Letter of Credit Application, and (c) with respect to a Swingline Borrowing, a Swingline Loan Notice.</w:t>
      </w:r>
    </w:p>
    <w:p>
      <w:pPr>
        <w:spacing w:after="0" w:line="15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time, Revolving Lenders having Total Revolving Credit Exposures representing more than 50% of the Total Revolving Credit Exposures of all Revolving Lenders at such time. The Total Revolving Credit Exposure of any Defaulting Lender shall be disregarded in determining Required Lenders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participation in any Swingline Loan and Unreimbursed Amounts that such Defaulting Lender has failed to fund that have not been reallocated to and funded by another Lender shall be deemed to be held by the Revolving Lender that is the Swingline Lender or the applicable L/C Issuer, as the case may be, in making such determination.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Rescindable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2.12(b)(ii)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 the chief executive officer, executive chairman, president, chief financial officer, treasurer, executive vice president, assistant treasurer, controller or assistant controller (and, in the case of a Designated Foreign Borrower incorporated in England and Wales or in Ireland, a director) of a Loan Party, (b) solely for purposes of the delivery of incumbency and/or secretary’s certificates pursuant to this Agreement or any other Loan Document, a director, the secretary or any assistant secretary of a Loan Party and</w:t>
      </w:r>
    </w:p>
    <w:p>
      <w:pPr>
        <w:spacing w:after="0" w:line="3" w:lineRule="exact"/>
        <w:rPr>
          <w:sz w:val="20"/>
          <w:szCs w:val="20"/>
          <w:color w:val="auto"/>
        </w:rPr>
      </w:pPr>
    </w:p>
    <w:p>
      <w:pPr>
        <w:ind w:firstLine="8"/>
        <w:spacing w:after="0" w:line="220" w:lineRule="auto"/>
        <w:tabs>
          <w:tab w:leader="none" w:pos="283"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solely for purposes of notices given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any other officer or employee of the applicable Loan Party so designated by any of the foregoing officers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405" w:right="339" w:bottom="1440" w:gutter="0" w:footer="0" w:header="0"/>
        </w:sectPr>
      </w:pPr>
    </w:p>
    <w:bookmarkStart w:id="78" w:name="page79"/>
    <w:bookmarkEnd w:id="78"/>
    <w:p>
      <w:pPr>
        <w:jc w:val="both"/>
        <w:spacing w:after="0" w:line="229" w:lineRule="auto"/>
        <w:rPr>
          <w:sz w:val="20"/>
          <w:szCs w:val="20"/>
          <w:color w:val="auto"/>
        </w:rPr>
      </w:pPr>
      <w:r>
        <w:rPr>
          <w:rFonts w:ascii="Arial" w:cs="Arial" w:eastAsia="Arial" w:hAnsi="Arial"/>
          <w:sz w:val="18"/>
          <w:szCs w:val="18"/>
          <w:color w:val="auto"/>
        </w:rPr>
        <w:t>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and any document delivered hereunder that is signed by a Responsible Officer of the Company shall be conclusively presumed to have been authorized by all necessary corporate, partnership and/or other action on the part of each Subsidiary Guarantor and such Responsible Officer shall be conclusively presumed to have acted on behalf of such Subsidiary Guarantor.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at any time, any Subsidiary of the Company that is not an Unrestricted Subsidiary.</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Revolving Loan, each of the following: (i) each date of a Revolving Borrowing of an Alternative Currency Loan; (ii) each date of a continuation of an Alternative Currency Term Rate Loan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(iii) each Interest Payment Date with respect to an Alternative Currency Loan; and (iv) such additional dates as the Administrative Agent shall reasonably determine or the Required Lenders shall require; and (b) with respect to any Letter of Credit, each of the following: (i) each date of issuance, amendment and/or extension of a Letter of Credit denominated in an Alternative Currency; (ii) each date of any payment by the Alternative Currency L/C Issuer under any Letter of Credit denominated in an Alternative Currency; (iii) in the case of all Existing Letters of Credit denominated in Alternative Currencies, the Closing Date; and (iv) such additional dates as the Administrative Agent or the Alternative Currency L/C Issuer shall reasonably determine or the Required Lenders shall require.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w:t>
      </w:r>
      <w:r>
        <w:rPr>
          <w:rFonts w:ascii="Arial" w:cs="Arial" w:eastAsia="Arial" w:hAnsi="Arial"/>
          <w:sz w:val="20"/>
          <w:szCs w:val="20"/>
          <w:color w:val="auto"/>
        </w:rPr>
        <w:t xml:space="preserve">” means a borrowing consisting of simultaneous Revolving Loans of the same Type and Class, in the same currency and, in the case of Term SOFR Loans or Alternative Currency Term Rate Loans, having the same Interest Period, made by each of the Revolving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xml:space="preserve">” means, as to each Revolving Lender, its obligation to (a) make Revolving Loans to the Borrowers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(b) purchase participations in L/C Obligations, and (c) purchase participations in Swingline Loans, in an aggregate principal amount at any one time outstanding not to exceed the amount set forth opposite such Revolving Lender’s name on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under the caption “Revolving Commitment” or opposite such caption in the Assignment and Assumption pursuant to which such Lender becomes a party hereto, as applicable, as such amount may be adjusted from time to time in accordance with this Agreement (including in connection with any Revolving Extension Amendment). The Revolving Commitments of all of the Revolving Lenders on the Closing Date shall be $500,000,000.</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Extension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Extension Request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means, at any time, the Aggregate Revolving Commitments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2.18(a)(iv)</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405"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Note</w:t>
      </w:r>
      <w:r>
        <w:rPr>
          <w:rFonts w:ascii="Arial" w:cs="Arial" w:eastAsia="Arial" w:hAnsi="Arial"/>
          <w:sz w:val="20"/>
          <w:szCs w:val="20"/>
          <w:color w:val="auto"/>
        </w:rPr>
        <w:t>” means a promissory note made by the Borrowers in favor of a Revolving Lender evidencing Revolving Loans or Swingline Loans, as the case may be, made by such Revolving Lender, substantially in the form of Exhibit F.</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McGraw-Hill Financial Inc., and any successor thereto.</w:t>
      </w:r>
    </w:p>
    <w:p>
      <w:pPr>
        <w:spacing w:after="0" w:line="19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Alternative Currency L/C Issuer, as the case may be, to be customary in the place of disbursement or payment for the settlement of international banking transactions in the relevant Alternative Currency.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5.17(a)</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w:t>
      </w:r>
    </w:p>
    <w:p>
      <w:pPr>
        <w:jc w:val="both"/>
        <w:ind w:firstLine="8"/>
        <w:spacing w:after="0" w:line="213" w:lineRule="auto"/>
        <w:tabs>
          <w:tab w:leader="none" w:pos="273"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 (“</w:t>
      </w:r>
      <w:r>
        <w:rPr>
          <w:rFonts w:ascii="Arial" w:cs="Arial" w:eastAsia="Arial" w:hAnsi="Arial"/>
          <w:sz w:val="20"/>
          <w:szCs w:val="20"/>
          <w:u w:val="single" w:color="auto"/>
          <w:color w:val="auto"/>
        </w:rPr>
        <w:t>HMT</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SARON</w:t>
      </w:r>
      <w:r>
        <w:rPr>
          <w:rFonts w:ascii="Arial" w:cs="Arial" w:eastAsia="Arial" w:hAnsi="Arial"/>
          <w:sz w:val="19"/>
          <w:szCs w:val="19"/>
          <w:color w:val="auto"/>
        </w:rPr>
        <w:t>” means, with respect to any applicable determination date, the Swiss Average Rate Overnight published on the fifth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determination date is not a Business Day, SARON means such rate that applied on the first Business Day immediately prior thereto.</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SARON Adjustment</w:t>
      </w:r>
      <w:r>
        <w:rPr>
          <w:rFonts w:ascii="Arial" w:cs="Arial" w:eastAsia="Arial" w:hAnsi="Arial"/>
          <w:sz w:val="20"/>
          <w:szCs w:val="20"/>
          <w:color w:val="auto"/>
        </w:rPr>
        <w:t>” means -0.0571% per annum.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Social Security Act</w:t>
      </w:r>
      <w:r>
        <w:rPr>
          <w:rFonts w:ascii="Arial" w:cs="Arial" w:eastAsia="Arial" w:hAnsi="Arial"/>
          <w:sz w:val="20"/>
          <w:szCs w:val="20"/>
          <w:color w:val="auto"/>
        </w:rPr>
        <w:t>” means the Social Security Act of 1965.</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the Secured Overnight Financing Rate as administered by the Federal Reserve Bank of New York (or a successor administrator).</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Adjustment</w:t>
      </w:r>
      <w:r>
        <w:rPr>
          <w:rFonts w:ascii="Arial" w:cs="Arial" w:eastAsia="Arial" w:hAnsi="Arial"/>
          <w:sz w:val="20"/>
          <w:szCs w:val="20"/>
          <w:color w:val="auto"/>
        </w:rPr>
        <w:t>” means: (a) with respect to Daily Simple SOFR, 0.10% (10 basis points); (b) with respect to Term SOFR, (i) 0.10% (10 basis points) for an Interest Period of one month’s duration, and (ii) 0.10% (10 basis points) for an Interest Period of three months’ duration; and (c) with respect to the SOFR Daily Floating Rate, 0.10% (10 basis points).</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Daily Floating Rate</w:t>
      </w:r>
      <w:r>
        <w:rPr>
          <w:rFonts w:ascii="Arial" w:cs="Arial" w:eastAsia="Arial" w:hAnsi="Arial"/>
          <w:sz w:val="19"/>
          <w:szCs w:val="19"/>
          <w:color w:val="auto"/>
        </w:rPr>
        <w:t xml:space="preserve">” means, for any interest calculation with respect to a SOFR Daily Floating Rate Loan on any date, a fluctuating rate of interest, which can change on each Business Day, equal to the Term SOFR Screen Rate, two (2) U.S. Government Securities Business Days prior to such day, with a term equivalent to one (1) month beginning on that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rate is not published prior to 11:00 a.m. on such determination date, then the SOFR Daily Floating Rate means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1405" w:right="339" w:bottom="1440" w:gutter="0" w:footer="0" w:header="0"/>
        </w:sectPr>
      </w:pPr>
    </w:p>
    <w:bookmarkStart w:id="80" w:name="page81"/>
    <w:bookmarkEnd w:id="80"/>
    <w:p>
      <w:pPr>
        <w:jc w:val="both"/>
        <w:spacing w:after="0" w:line="201" w:lineRule="auto"/>
        <w:rPr>
          <w:sz w:val="20"/>
          <w:szCs w:val="20"/>
          <w:color w:val="auto"/>
        </w:rPr>
      </w:pPr>
      <w:r>
        <w:rPr>
          <w:rFonts w:ascii="Arial" w:cs="Arial" w:eastAsia="Arial" w:hAnsi="Arial"/>
          <w:sz w:val="20"/>
          <w:szCs w:val="20"/>
          <w:color w:val="auto"/>
        </w:rPr>
        <w:t>Term SOFR Screen Rate on the first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U.S. Government Securities Business Day immediately prior thereto;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SOFR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SOFR Daily Floating Rate shall be less than zero, such rate shall be deemed to be zero for purposes of this Agreement.</w:t>
      </w:r>
    </w:p>
    <w:p>
      <w:pPr>
        <w:spacing w:after="0" w:line="15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Daily Floating Rate Loan</w:t>
      </w:r>
      <w:r>
        <w:rPr>
          <w:rFonts w:ascii="Arial" w:cs="Arial" w:eastAsia="Arial" w:hAnsi="Arial"/>
          <w:sz w:val="20"/>
          <w:szCs w:val="20"/>
          <w:color w:val="auto"/>
        </w:rPr>
        <w:t>” means a Revolving Loan that is denominated in Dollars and that bears interest at a rate based on the SOFR Daily Floating Rate.</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the Company and its Restricted Subsidiaries on any date of determination, that on such date (a) the fair value of the assets of the Company and its Restricted Subsidiaries, on a Consolidated basis, is greater than the total amount of liabilities, including contingent liabilities, of the Company and its Restricted Subsidiaries, on a Consolidated basis, (b) the present fair saleable value of the assets of the Company and its Restricted Subsidiaries, on a Consolidated basis, is not less than the amount that will be required to pay the probable liability of the Company and its Restricted Subsidiaries, on a Consolidated basis, on their existing debts as they become absolute and matured, taking into account potential refinancing opportunities, (c) the Company and its Restricted Subsidiaries, on a Consolidated basis, do not intend to, and do not believe that they will, incur debts or liabilities beyond their ability to pay such debts and liabilities as they mature, taking into account potential refinancing opportunities, (d) the Company and its Restricted Subsidiaries, on a Consolidated basis, are not engaged in business or a transaction, and are not about to engage in business or a transaction, for which their property would constitute an unreasonably small capital, (e) the Company and its Restricted Subsidiaries, on a Consolidated basis, will be able to pay their debts and liabilities, contingent obligations and other commitments as they mature in the ordinary course of business, taking into account potential refinancing opportunities, and (f) without prejudice to paragraphs (a) to (e) above and in relation to a Restricted Subsidiary incorporated in England and Wales or Ireland only, such Restricted Subsidiary is not unable to or has not admitted inability to pay its debts as they fall due.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w:t>
      </w:r>
      <w:r>
        <w:rPr>
          <w:rFonts w:ascii="Arial" w:cs="Arial" w:eastAsia="Arial" w:hAnsi="Arial"/>
          <w:sz w:val="19"/>
          <w:szCs w:val="19"/>
          <w:color w:val="auto"/>
        </w:rPr>
        <w:t>” means, with respect to any applicable determination date, the Sterling Overnight Index Average Reference Rate published on the fifth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determination date is not a Business Day, SONIA means such rate that applied on the first Business Day immediately prior thereto.</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0.0326% per annum.</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any Alternative Currency, other than the currency of a country that is a member of the Organization for Economic Cooperation and Development at such time located in North America or Europe.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CFF Payments</w:t>
      </w:r>
      <w:r>
        <w:rPr>
          <w:rFonts w:ascii="Arial" w:cs="Arial" w:eastAsia="Arial" w:hAnsi="Arial"/>
          <w:sz w:val="18"/>
          <w:szCs w:val="18"/>
          <w:color w:val="auto"/>
        </w:rPr>
        <w:t>” means the following amounts paid or payable by CFF to the Company pursuant to the CFF Amendment:</w:t>
      </w:r>
    </w:p>
    <w:p>
      <w:pPr>
        <w:ind w:firstLine="8"/>
        <w:spacing w:after="0" w:line="220" w:lineRule="auto"/>
        <w:tabs>
          <w:tab w:leader="none" w:pos="2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the $75,000,000 non-refundable upfront payment; and (b) the non-refundable Quarterly Reimbursement Payments, in each case, </w:t>
      </w:r>
      <w:r>
        <w:rPr>
          <w:rFonts w:ascii="Arial" w:cs="Arial" w:eastAsia="Arial" w:hAnsi="Arial"/>
          <w:sz w:val="20"/>
          <w:szCs w:val="20"/>
          <w:u w:val="single" w:color="auto"/>
          <w:color w:val="auto"/>
        </w:rPr>
        <w:t>net of</w:t>
      </w:r>
      <w:r>
        <w:rPr>
          <w:rFonts w:ascii="Arial" w:cs="Arial" w:eastAsia="Arial" w:hAnsi="Arial"/>
          <w:sz w:val="20"/>
          <w:szCs w:val="20"/>
          <w:color w:val="auto"/>
        </w:rPr>
        <w:t xml:space="preserve"> any amortization required under GAAP.</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Leased Location</w:t>
      </w:r>
      <w:r>
        <w:rPr>
          <w:rFonts w:ascii="Arial" w:cs="Arial" w:eastAsia="Arial" w:hAnsi="Arial"/>
          <w:sz w:val="20"/>
          <w:szCs w:val="20"/>
          <w:color w:val="auto"/>
        </w:rPr>
        <w:t>” has the meaning specified in the definition of “Specified Leased Properties”.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Leased Properties</w:t>
      </w:r>
      <w:r>
        <w:rPr>
          <w:rFonts w:ascii="Arial" w:cs="Arial" w:eastAsia="Arial" w:hAnsi="Arial"/>
          <w:sz w:val="18"/>
          <w:szCs w:val="18"/>
          <w:color w:val="auto"/>
        </w:rPr>
        <w:t>” means, collectively, (a) as of the Closing Date, the leased Real Property located at (i) 50 Northern Avenue, Boston, Massachusetts, (ii) 11 Fan Pier Boulevard, Boston, Massachusetts (the leased locations set forth in clauses (a)(i) and (a)(ii) above, collectively, the “</w:t>
      </w:r>
      <w:r>
        <w:rPr>
          <w:rFonts w:ascii="Arial" w:cs="Arial" w:eastAsia="Arial" w:hAnsi="Arial"/>
          <w:sz w:val="18"/>
          <w:szCs w:val="18"/>
          <w:u w:val="single" w:color="auto"/>
          <w:color w:val="auto"/>
        </w:rPr>
        <w:t>Specified Leased Locations</w:t>
      </w:r>
      <w:r>
        <w:rPr>
          <w:rFonts w:ascii="Arial" w:cs="Arial" w:eastAsia="Arial" w:hAnsi="Arial"/>
          <w:sz w:val="18"/>
          <w:szCs w:val="18"/>
          <w:color w:val="auto"/>
        </w:rPr>
        <w:t>”), (iii) 316-318 Northern Avenue, Boston, Massachusetts, and (iv) 3215 Merryfield Row, San Diego, California, (b) that certain continuous manufacturing rig located at 40 Lake Drive, East Windsor, New Jersey 08520 and (c) other locations where leased real property arrangements similar to the Specified Leased Locations (and not otherwise reflecting debt arrangements) are entered into by the Company or any of its Restricted Subsidiaries from time to time following the Closing Date.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140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avoidance of any doubt, all such leases of Specified Leased Properties shall be treated as operating leases for all purposes of this Agreement.</w:t>
      </w:r>
    </w:p>
    <w:p>
      <w:pPr>
        <w:spacing w:after="0" w:line="22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means any Loan Party that is not then an “eligible contract participant” under the Commodity Exchange Act (determined prior to giving effect to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Spot Rate</w:t>
      </w:r>
      <w:r>
        <w:rPr>
          <w:rFonts w:ascii="Arial" w:cs="Arial" w:eastAsia="Arial" w:hAnsi="Arial"/>
          <w:sz w:val="19"/>
          <w:szCs w:val="19"/>
          <w:color w:val="auto"/>
        </w:rPr>
        <w:t xml:space="preserve">” for a currency means the rate determined by the Administrative Agent or the Alternative Currency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the Alternative Currency L/C Issuer may obtain such spot rate from another financial institution designated by the Administrative Agent or the Alternative Currency L/C Issuer if the Person acting in such capacity does not have as of the date of determination a spot buying rate for any such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Alternative Currency L/C Issuer may use such spot rate quoted on the date as of which the foreign exchange computation is made in the case of any Letter of Credit denominated in an Alternative Currency.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Subordinating Loan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11.16</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Loan Parties. For the avoidance of any doubt, no variable interest entities that the Company is required to consolidate solely pursuant to FASB ASC 810 shall be deemed to be “Subsidiaries” for purposes of the Loan Documents.</w:t>
      </w:r>
    </w:p>
    <w:p>
      <w:pPr>
        <w:spacing w:after="0" w:line="160"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xml:space="preserve">” means, collectively, each of the Subsidiaries of the Company set forth on the signature pages hereto as a “Subsidiary Guarantor” and each other Subsidiary of the Company that shall execute and deliver a Joinder Agreement or otherwise become party to this Agreement from time to time pursuant to the requirements of </w:t>
      </w:r>
      <w:r>
        <w:rPr>
          <w:rFonts w:ascii="Arial" w:cs="Arial" w:eastAsia="Arial" w:hAnsi="Arial"/>
          <w:sz w:val="20"/>
          <w:szCs w:val="20"/>
          <w:u w:val="single" w:color="auto"/>
          <w:color w:val="auto"/>
        </w:rPr>
        <w:t>Section 6.12</w:t>
      </w:r>
      <w:r>
        <w:rPr>
          <w:rFonts w:ascii="Arial" w:cs="Arial" w:eastAsia="Arial" w:hAnsi="Arial"/>
          <w:sz w:val="20"/>
          <w:szCs w:val="20"/>
          <w:color w:val="auto"/>
        </w:rPr>
        <w:t>. Notwithstanding anything to the contrary contained herein, no Excluded Subsidiary shall be required to become a “Subsidiary Guarantor” hereunder. As of the Closing Date, the Subsidiary Guarantors are: (a) Vertex Holdings, Inc., a Delaware corporation, and (b) Vertex Pharmaceuticals (Distribution) Incorporated, a Delaware corporation.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Redesignation</w:t>
      </w:r>
      <w:r>
        <w:rPr>
          <w:rFonts w:ascii="Arial" w:cs="Arial" w:eastAsia="Arial" w:hAnsi="Arial"/>
          <w:sz w:val="20"/>
          <w:szCs w:val="20"/>
          <w:color w:val="auto"/>
        </w:rPr>
        <w:t>” has the meaning specified in the definition of “Unrestricted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7.04(c)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1405" w:right="339" w:bottom="1440" w:gutter="0" w:footer="0" w:header="0"/>
        </w:sectPr>
      </w:pPr>
    </w:p>
    <w:bookmarkStart w:id="82" w:name="page83"/>
    <w:bookmarkEnd w:id="82"/>
    <w:p>
      <w:pPr>
        <w:jc w:val="both"/>
        <w:spacing w:after="0" w:line="218" w:lineRule="auto"/>
        <w:rPr>
          <w:sz w:val="20"/>
          <w:szCs w:val="20"/>
          <w:color w:val="auto"/>
        </w:rPr>
      </w:pPr>
      <w:r>
        <w:rPr>
          <w:rFonts w:ascii="Arial" w:cs="Arial" w:eastAsia="Arial" w:hAnsi="Arial"/>
          <w:sz w:val="20"/>
          <w:szCs w:val="20"/>
          <w:color w:val="auto"/>
        </w:rPr>
        <w:t>agreement (any such master 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 Notwithstanding the foregoing, Capped Call Transactions, Convertible Bond Hedge Transactions and Warrant Transactions shall not constitute Swap Contracts.</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Obligations</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above,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Borrowing</w:t>
      </w:r>
      <w:r>
        <w:rPr>
          <w:rFonts w:ascii="Arial" w:cs="Arial" w:eastAsia="Arial" w:hAnsi="Arial"/>
          <w:sz w:val="20"/>
          <w:szCs w:val="20"/>
          <w:color w:val="auto"/>
        </w:rPr>
        <w:t xml:space="preserve">” means a borrowing of a Swingline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Bank of America, through itself or through one of its designated Affiliate or branch offices, in its capacity as provider of Swingline Loans, or any successor swingline lender hereunder.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 Notice</w:t>
      </w:r>
      <w:r>
        <w:rPr>
          <w:rFonts w:ascii="Arial" w:cs="Arial" w:eastAsia="Arial" w:hAnsi="Arial"/>
          <w:sz w:val="20"/>
          <w:szCs w:val="20"/>
          <w:color w:val="auto"/>
        </w:rPr>
        <w:t xml:space="preserve">” means a notice of a Swingline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which shall be substantially in the form of Exhibit H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56"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Sublimit</w:t>
      </w:r>
      <w:r>
        <w:rPr>
          <w:rFonts w:ascii="Arial" w:cs="Arial" w:eastAsia="Arial" w:hAnsi="Arial"/>
          <w:sz w:val="19"/>
          <w:szCs w:val="19"/>
          <w:color w:val="auto"/>
        </w:rPr>
        <w:t>” means, as of any date of determination, an amount equal to the lesser of (a) $20,000,000 and (b) the amount of the Revolving Facility as of such date. The Swingline Sublimit is part of, and not in addition to, the Revolving Facility.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Swiss Francs</w:t>
      </w:r>
      <w:r>
        <w:rPr>
          <w:rFonts w:ascii="Arial" w:cs="Arial" w:eastAsia="Arial" w:hAnsi="Arial"/>
          <w:sz w:val="20"/>
          <w:szCs w:val="20"/>
          <w:color w:val="auto"/>
        </w:rPr>
        <w:t>” and “</w:t>
      </w:r>
      <w:r>
        <w:rPr>
          <w:rFonts w:ascii="Arial" w:cs="Arial" w:eastAsia="Arial" w:hAnsi="Arial"/>
          <w:sz w:val="20"/>
          <w:szCs w:val="20"/>
          <w:u w:val="single" w:color="auto"/>
          <w:color w:val="auto"/>
        </w:rPr>
        <w:t>CHF</w:t>
      </w:r>
      <w:r>
        <w:rPr>
          <w:rFonts w:ascii="Arial" w:cs="Arial" w:eastAsia="Arial" w:hAnsi="Arial"/>
          <w:sz w:val="20"/>
          <w:szCs w:val="20"/>
          <w:color w:val="auto"/>
        </w:rPr>
        <w:t>” mean the lawful currency of Switzerland.</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Day</w:t>
      </w:r>
      <w:r>
        <w:rPr>
          <w:rFonts w:ascii="Arial" w:cs="Arial" w:eastAsia="Arial" w:hAnsi="Arial"/>
          <w:sz w:val="19"/>
          <w:szCs w:val="19"/>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 Act”</w:t>
      </w:r>
      <w:r>
        <w:rPr>
          <w:rFonts w:ascii="Arial" w:cs="Arial" w:eastAsia="Arial" w:hAnsi="Arial"/>
          <w:sz w:val="20"/>
          <w:szCs w:val="20"/>
          <w:color w:val="auto"/>
        </w:rPr>
        <w:t xml:space="preserve"> means the Taxes Consolidation Act 1997 of Ireland,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1405" w:right="339" w:bottom="1440" w:gutter="0" w:footer="0" w:header="0"/>
        </w:sectPr>
      </w:pPr>
    </w:p>
    <w:bookmarkStart w:id="83" w:name="page84"/>
    <w:bookmarkEnd w:id="83"/>
    <w:p>
      <w:pPr>
        <w:jc w:val="both"/>
        <w:ind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xml:space="preserve">” means: (a) for any Interest Period with respect to a Term SOFR Loan, the rate per annum equal to the Term SOFR Screen Rate two (2) U.S. Government Securities Business Days prior to the commencement of such Interest Period with a term equivalent to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SOFR Adjustment; and (b) for any interest calculation with respect to a Base Rate Loan on any date, the rate per annum equal to the Term SOFR Screen Rate with a term of one (1) month commencing that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Term SOFR determined in accordance with either of the foregoing clause (a) or clause (b) would otherwise be less than zero, Term SOFR shall be deemed to be zero for purposes of this Agreement.</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Conforming Changes</w:t>
      </w:r>
      <w:r>
        <w:rPr>
          <w:rFonts w:ascii="Arial" w:cs="Arial" w:eastAsia="Arial" w:hAnsi="Arial"/>
          <w:sz w:val="18"/>
          <w:szCs w:val="18"/>
          <w:color w:val="auto"/>
        </w:rPr>
        <w:t>” means, with respect to the use, administration of or any conventions associated with SOFR, the SOFR Daily Floating Rate, Term SOFR, or any proposed Term SOFR Successor Rate, as applicable, any conforming changes to the definition of “Base Rate”, the definition of “Interest Period”, the definition of “SOFR”, the definition of “SOFR Daily Floating Rate”, the definition of “Term SOFR”, the timing and frequency of determining rates and making payments of interest, and other technical, administrative or operational matters (including, for the avoidance of doubt, the definition of “Business Day”, the definition of “U.S. Government Securities Business Day”, the timing of borrowing requests or prepayment, conversion or continuation notices, and the length of lookback periods) as may be appropriate, in the reasonable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in consultation with the Company, determines is reasonably necessary in connection with the administration of this Agreement and any other Loan Document).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Loan</w:t>
      </w:r>
      <w:r>
        <w:rPr>
          <w:rFonts w:ascii="Arial" w:cs="Arial" w:eastAsia="Arial" w:hAnsi="Arial"/>
          <w:sz w:val="20"/>
          <w:szCs w:val="20"/>
          <w:color w:val="auto"/>
        </w:rPr>
        <w:t>” means a Revolving Loan that is denominated in Dollars and that bears interest at a rate based on clause (a) of the definition of “Term SOFR”.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Replacement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Screen Rate</w:t>
      </w:r>
      <w:r>
        <w:rPr>
          <w:rFonts w:ascii="Arial" w:cs="Arial" w:eastAsia="Arial" w:hAnsi="Arial"/>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$200,000,000.</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Exposure</w:t>
      </w:r>
      <w:r>
        <w:rPr>
          <w:rFonts w:ascii="Arial" w:cs="Arial" w:eastAsia="Arial" w:hAnsi="Arial"/>
          <w:sz w:val="20"/>
          <w:szCs w:val="20"/>
          <w:color w:val="auto"/>
        </w:rPr>
        <w:t>” means, as to any Revolving Lender at any time, the unused Revolving Commitments and Revolving Exposure of such Revolving Lender at such time.</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Outstandings</w:t>
      </w:r>
      <w:r>
        <w:rPr>
          <w:rFonts w:ascii="Arial" w:cs="Arial" w:eastAsia="Arial" w:hAnsi="Arial"/>
          <w:sz w:val="20"/>
          <w:szCs w:val="20"/>
          <w:color w:val="auto"/>
        </w:rPr>
        <w:t>” means the aggregate Outstanding Amount of all Revolving Loans, Swingline Loans and L/C Obligations.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means any agreement, now or hereafter in existence, providing for the grant to any Person of any rights (including the right for a party to be designated as an owner and/or to enforce, defend, use, mark, police, and require joinder in suit and/or receive assistance from another party) in a Trademark.</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Trademarks</w:t>
      </w:r>
      <w:r>
        <w:rPr>
          <w:rFonts w:ascii="Arial" w:cs="Arial" w:eastAsia="Arial" w:hAnsi="Arial"/>
          <w:sz w:val="20"/>
          <w:szCs w:val="20"/>
          <w:color w:val="auto"/>
        </w:rPr>
        <w:t>” means, collectively, all of the following of any Person: (a) all trademarks, trade names, internet domain names, trade styles, service marks, logos and other identifiers of source or origin, whether registered or unregistered, all registrations and recordings thereof, and all applications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1405" w:right="339" w:bottom="1440" w:gutter="0" w:footer="0" w:header="0"/>
        </w:sectPr>
      </w:pPr>
    </w:p>
    <w:bookmarkStart w:id="84" w:name="page85"/>
    <w:bookmarkEnd w:id="84"/>
    <w:p>
      <w:pPr>
        <w:jc w:val="both"/>
        <w:spacing w:after="0" w:line="233" w:lineRule="auto"/>
        <w:rPr>
          <w:sz w:val="20"/>
          <w:szCs w:val="20"/>
          <w:color w:val="auto"/>
        </w:rPr>
      </w:pPr>
      <w:r>
        <w:rPr>
          <w:rFonts w:ascii="Arial" w:cs="Arial" w:eastAsia="Arial" w:hAnsi="Arial"/>
          <w:sz w:val="18"/>
          <w:szCs w:val="18"/>
          <w:color w:val="auto"/>
        </w:rPr>
        <w:t>connection therewith anywhere in the world, (b) all counterparts, extensions and renewals of any of the foregoing, (c) all income, royalties, damages and payments now or hereafter due and/or payable under any of the foregoing or with respect to any of the foregoing, including damages or payments for past, present or future infringements, violations, dilutions or misappropriations of any of the foregoing, (d) the right to sue for past, present or future infringements, violations, dilutions or misappropriations of any of the foregoing and (e) all rights corresponding to any of the foregoing (including the goodwill associated with any of the foregoing) throughout the world.</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Revolving Loan, its character as a Base Rate Loan, a Term SOFR Loan, a SOFR Daily Floating Rate Loan, an Alternative Currency Daily Rate Loan, or an Alternative Currency Term Rate Loan.</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5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Corporation Tax Act</w:t>
      </w:r>
      <w:r>
        <w:rPr>
          <w:rFonts w:ascii="Arial" w:cs="Arial" w:eastAsia="Arial" w:hAnsi="Arial"/>
          <w:sz w:val="20"/>
          <w:szCs w:val="20"/>
          <w:color w:val="auto"/>
        </w:rPr>
        <w:t>” means the Corporation Tax Act 2009 of the United Kingdom.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Direction</w:t>
      </w:r>
      <w:r>
        <w:rPr>
          <w:rFonts w:ascii="Arial" w:cs="Arial" w:eastAsia="Arial" w:hAnsi="Arial"/>
          <w:sz w:val="20"/>
          <w:szCs w:val="20"/>
          <w:color w:val="auto"/>
        </w:rPr>
        <w:t>” has the meaning assigned to that term in paragraph (f)(iii) of the definition of “Excluded Taxes”.</w:t>
      </w:r>
    </w:p>
    <w:p>
      <w:pPr>
        <w:spacing w:after="0" w:line="17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DTTP Filing</w:t>
      </w:r>
      <w:r>
        <w:rPr>
          <w:rFonts w:ascii="Arial" w:cs="Arial" w:eastAsia="Arial" w:hAnsi="Arial"/>
          <w:sz w:val="18"/>
          <w:szCs w:val="18"/>
          <w:color w:val="auto"/>
        </w:rPr>
        <w:t xml:space="preserve">” means an HMRC Form DTTP2 duly completed and filed by the relevant Loan Party, which: (a) where it relates to a UK Treaty Lender that is a Lender on the date of this Agreement, contains the scheme reference number and jurisdiction of tax residence opposite that Lender’s name in </w:t>
      </w:r>
      <w:r>
        <w:rPr>
          <w:rFonts w:ascii="Arial" w:cs="Arial" w:eastAsia="Arial" w:hAnsi="Arial"/>
          <w:sz w:val="18"/>
          <w:szCs w:val="18"/>
          <w:u w:val="single" w:color="auto"/>
          <w:color w:val="auto"/>
        </w:rPr>
        <w:t>Schedule 1.01(d)</w:t>
      </w:r>
      <w:r>
        <w:rPr>
          <w:rFonts w:ascii="Arial" w:cs="Arial" w:eastAsia="Arial" w:hAnsi="Arial"/>
          <w:sz w:val="18"/>
          <w:szCs w:val="18"/>
          <w:color w:val="auto"/>
        </w:rPr>
        <w:t>, and (i) where the Loan Party is a Loan Party on the date of this Agreement, is filed with HMRC within thirty (30) Business Days after the Closing Date; or (ii) where the Loan Party becomes a Loan Party after the date of this Agreement, is filed with HMRC within thirty (30) Business Days after the date on which that Loan Party becomes a Loan Party under this Agreement; or (b) where it relates to a UK Treaty Lender that becomes a Lender after the Closing Date, contains the scheme reference number and jurisdiction of tax residence in the relevant Assignment and Assumption, and (i) where the Loan Party is a Loan Party on the date such UK Treaty Lender becomes a Lender under this Agreement (“</w:t>
      </w:r>
      <w:r>
        <w:rPr>
          <w:rFonts w:ascii="Arial" w:cs="Arial" w:eastAsia="Arial" w:hAnsi="Arial"/>
          <w:sz w:val="18"/>
          <w:szCs w:val="18"/>
          <w:u w:val="single" w:color="auto"/>
          <w:color w:val="auto"/>
        </w:rPr>
        <w:t>New Lender Date</w:t>
      </w:r>
      <w:r>
        <w:rPr>
          <w:rFonts w:ascii="Arial" w:cs="Arial" w:eastAsia="Arial" w:hAnsi="Arial"/>
          <w:sz w:val="18"/>
          <w:szCs w:val="18"/>
          <w:color w:val="auto"/>
        </w:rPr>
        <w:t>”), is filed with HMRC within thirty (30) Business Days after the New Lender Date; or (ii) where the Loan Party becomes a Loan Party under this Agreement after the New Lender Date, is filed with HMRC within thirty (30) Business Days after the date on which that Loan Party becomes a Loan Party under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DTTP Scheme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3.01(g)(ii)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means any BRRD Undertaking (as such term is defined under the PRA Rulebook promulgated by the United Kingdom Prudential Regulation Authority) or any person falling within IFPRU 11.6 of the FCA Handbook promulgated by the United Kingdom Financial Conduct Authority, which includes certain credit institutions and investment firms, and certain affiliates of such credit institutions or investment firms.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UK/Norway Treaty</w:t>
      </w:r>
      <w:r>
        <w:rPr>
          <w:rFonts w:ascii="Arial" w:cs="Arial" w:eastAsia="Arial" w:hAnsi="Arial"/>
          <w:sz w:val="18"/>
          <w:szCs w:val="18"/>
          <w:color w:val="auto"/>
        </w:rPr>
        <w:t>” means the double taxation agreement between the United Kingdom and Norway signed on 14 March 2013.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Qualifying Lender</w:t>
      </w:r>
      <w:r>
        <w:rPr>
          <w:rFonts w:ascii="Arial" w:cs="Arial" w:eastAsia="Arial" w:hAnsi="Arial"/>
          <w:sz w:val="20"/>
          <w:szCs w:val="20"/>
          <w:color w:val="auto"/>
        </w:rPr>
        <w:t>” means a Lender which is:</w:t>
      </w:r>
    </w:p>
    <w:p>
      <w:pPr>
        <w:spacing w:after="0" w:line="175" w:lineRule="exact"/>
        <w:rPr>
          <w:sz w:val="20"/>
          <w:szCs w:val="20"/>
          <w:color w:val="auto"/>
        </w:rPr>
      </w:pPr>
    </w:p>
    <w:p>
      <w:pPr>
        <w:ind w:firstLine="656"/>
        <w:spacing w:after="0" w:line="229" w:lineRule="auto"/>
        <w:tabs>
          <w:tab w:leader="none" w:pos="10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beneficially entitled to interest payable to that Lender in respect of an advance under a Loan Document and is: (a) a Lender: (i) which is a bank (as defined for the purpose of section 879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1405" w:right="339" w:bottom="1440" w:gutter="0" w:footer="0" w:header="0"/>
        </w:sectPr>
      </w:pPr>
    </w:p>
    <w:bookmarkStart w:id="85" w:name="page86"/>
    <w:bookmarkEnd w:id="85"/>
    <w:p>
      <w:pPr>
        <w:jc w:val="both"/>
        <w:spacing w:after="0" w:line="222" w:lineRule="auto"/>
        <w:rPr>
          <w:sz w:val="20"/>
          <w:szCs w:val="20"/>
          <w:color w:val="auto"/>
        </w:rPr>
      </w:pPr>
      <w:r>
        <w:rPr>
          <w:rFonts w:ascii="Arial" w:cs="Arial" w:eastAsia="Arial" w:hAnsi="Arial"/>
          <w:sz w:val="18"/>
          <w:szCs w:val="18"/>
          <w:color w:val="auto"/>
        </w:rPr>
        <w:t>UK Taxes Act) making an advance under a Loan Document and is within the charge to United Kingdom corporation tax as respects any payments of interest made in respect of that advance or would be within such charge as respects such payment apart from section 18A of the UK Corporation Tax Act; or (ii) in respect of an advance made under a Loan Document by a person that was a bank (as defined for the purpose of section 879 of the UK Taxes Act) at the time that that advance was made and is within the charge to United Kingdom corporation tax as respects any payments of interest made in respect of that advance; or (b) a Lender which is: (i) a company resident in the United Kingdom for United Kingdom tax purposes; (ii) a partnership each member of which is (A) a company resident in the United Kingdom or</w:t>
      </w:r>
    </w:p>
    <w:p>
      <w:pPr>
        <w:spacing w:after="0" w:line="1" w:lineRule="exact"/>
        <w:rPr>
          <w:sz w:val="20"/>
          <w:szCs w:val="20"/>
          <w:color w:val="auto"/>
        </w:rPr>
      </w:pPr>
    </w:p>
    <w:p>
      <w:pPr>
        <w:jc w:val="both"/>
        <w:ind w:firstLine="8"/>
        <w:spacing w:after="0" w:line="215" w:lineRule="auto"/>
        <w:tabs>
          <w:tab w:leader="none" w:pos="328" w:val="left"/>
        </w:tabs>
        <w:numPr>
          <w:ilvl w:val="0"/>
          <w:numId w:val="41"/>
        </w:numPr>
        <w:rPr>
          <w:rFonts w:ascii="Arial" w:cs="Arial" w:eastAsia="Arial" w:hAnsi="Arial"/>
          <w:sz w:val="19"/>
          <w:szCs w:val="19"/>
          <w:color w:val="auto"/>
        </w:rPr>
      </w:pPr>
      <w:r>
        <w:rPr>
          <w:rFonts w:ascii="Arial" w:cs="Arial" w:eastAsia="Arial" w:hAnsi="Arial"/>
          <w:sz w:val="19"/>
          <w:szCs w:val="19"/>
          <w:color w:val="auto"/>
        </w:rPr>
        <w:t>a company not so resident in the United Kingdom which carries on a trade in the United Kingdom through a permanent establishment and which brings into account in computing its chargeable profits (within the meaning of section 19 of the UK Corporation Tax Act) the whole of any share of interest payable in respect of that advance that falls to it by reason of Part 17 of the UK Corporation Tax Act;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Corporation Tax Act) of that company; or (c) a UK Treaty Lender; or</w:t>
      </w:r>
    </w:p>
    <w:p>
      <w:pPr>
        <w:spacing w:after="0" w:line="159" w:lineRule="exact"/>
        <w:rPr>
          <w:rFonts w:ascii="Arial" w:cs="Arial" w:eastAsia="Arial" w:hAnsi="Arial"/>
          <w:sz w:val="19"/>
          <w:szCs w:val="19"/>
          <w:color w:val="auto"/>
        </w:rPr>
      </w:pPr>
    </w:p>
    <w:p>
      <w:pPr>
        <w:ind w:firstLine="656"/>
        <w:spacing w:after="0" w:line="269" w:lineRule="auto"/>
        <w:tabs>
          <w:tab w:leader="none" w:pos="109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DNB Capital LLC, insofar as the Borrowers have received authorization from HMRC to make payment to that Lender without UK Tax Deduction because the member of that Lender is DNB Bank ASA and is entitled to the benefits of the UK/Norway Treaty.</w:t>
      </w:r>
    </w:p>
    <w:p>
      <w:pPr>
        <w:spacing w:after="0" w:line="13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Tax Confirmation</w:t>
      </w:r>
      <w:r>
        <w:rPr>
          <w:rFonts w:ascii="Arial" w:cs="Arial" w:eastAsia="Arial" w:hAnsi="Arial"/>
          <w:sz w:val="18"/>
          <w:szCs w:val="18"/>
          <w:color w:val="auto"/>
        </w:rPr>
        <w:t>” means a confirmation by a Lender that the person beneficially entitled to interest payable to that Lender in respect of an advance under a Loan Document is either: (a) a company resident in the United Kingdom for United Kingdom tax purposes; (b) a partnership each member of which is (i) a company resident in the United Kingdom or (ii) a company not so resident in the United Kingdom which carries on a trade in the United Kingdom through a permanent establishment and which brings into account in computing its chargeable profits (within the meaning of section 19 of the UK Corporation Tax Act) the whole of any share of interest payable in respect of that advance that falls to it by reason of Part 17 of the UK Corporation Tax Act; or (c) a company not so resident in the United Kingdom which carries on a trade in the United Kingdom through a permanent establishment and which brings into account interest payable in respect of that advance in computing the chargeable profits (for the purposes of section 19 of the UK Corporation Tax Act) of that company.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Tax Deduction</w:t>
      </w:r>
      <w:r>
        <w:rPr>
          <w:rFonts w:ascii="Arial" w:cs="Arial" w:eastAsia="Arial" w:hAnsi="Arial"/>
          <w:sz w:val="20"/>
          <w:szCs w:val="20"/>
          <w:color w:val="auto"/>
        </w:rPr>
        <w:t>” has the meaning assigned to that term in paragraph (f) of the definition of “Excluded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Taxes Act</w:t>
      </w:r>
      <w:r>
        <w:rPr>
          <w:rFonts w:ascii="Arial" w:cs="Arial" w:eastAsia="Arial" w:hAnsi="Arial"/>
          <w:sz w:val="20"/>
          <w:szCs w:val="20"/>
          <w:color w:val="auto"/>
        </w:rPr>
        <w:t>” means the Income Tax Act 2007 of the United Kingdom.</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Treaty Lender</w:t>
      </w:r>
      <w:r>
        <w:rPr>
          <w:rFonts w:ascii="Arial" w:cs="Arial" w:eastAsia="Arial" w:hAnsi="Arial"/>
          <w:sz w:val="19"/>
          <w:szCs w:val="19"/>
          <w:color w:val="auto"/>
        </w:rPr>
        <w:t>” means a Lender which (a) is treated as a resident of a UK Treaty State for the purposes of the Treaty, (b) does not carry on a business in the United Kingdom through a permanent establishment with which that Lender’s participation in the Loan is effectively connected and (c) meets all other conditions in the Treaty for full exemption from tax imposed by the United Kingdom on interest, except that for this purpose it shall be assumed that any necessary procedural formalities are satisfied.</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Treaty State</w:t>
      </w:r>
      <w:r>
        <w:rPr>
          <w:rFonts w:ascii="Arial" w:cs="Arial" w:eastAsia="Arial" w:hAnsi="Arial"/>
          <w:sz w:val="20"/>
          <w:szCs w:val="20"/>
          <w:color w:val="auto"/>
        </w:rPr>
        <w:t>” means a jurisdiction having a double taxation agreement (a “</w:t>
      </w:r>
      <w:r>
        <w:rPr>
          <w:rFonts w:ascii="Arial" w:cs="Arial" w:eastAsia="Arial" w:hAnsi="Arial"/>
          <w:sz w:val="20"/>
          <w:szCs w:val="20"/>
          <w:u w:val="single" w:color="auto"/>
          <w:color w:val="auto"/>
        </w:rPr>
        <w:t>Treaty</w:t>
      </w:r>
      <w:r>
        <w:rPr>
          <w:rFonts w:ascii="Arial" w:cs="Arial" w:eastAsia="Arial" w:hAnsi="Arial"/>
          <w:sz w:val="20"/>
          <w:szCs w:val="20"/>
          <w:color w:val="auto"/>
        </w:rPr>
        <w:t>”) with the United Kingdom, which makes provision for full exemption from tax imposed by the United Kingdom on interest.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means any non-Wholly Owned Subsidiary of the Company, whether now owned or acquired or created after the Closing Date, that is designated on or after the Closing Date by the Company as an Unrestricted Subsidiary hereunder by written notice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405" w:right="339" w:bottom="1440" w:gutter="0" w:footer="0" w:header="0"/>
        </w:sectPr>
      </w:pPr>
    </w:p>
    <w:bookmarkStart w:id="86" w:name="page87"/>
    <w:bookmarkEnd w:id="86"/>
    <w:p>
      <w:pPr>
        <w:jc w:val="both"/>
        <w:spacing w:after="0" w:line="22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only be permitted to so designate a new Unrestricted Subsidiary on or after the Closing Date so long as (a) no Default or Event of Default has occurred and is continuing or would result therefrom, (b) immediately after giving effect to such designation, the Company shall be in Pro Forma Compliance, (c) the aggregate amount of all Investments (including Guarantees of Indebtedness of any such Unrestricted Subsidiary) in Unrestricted Subsidiaries (with each such Unrestricted Subsidiary being valued at its Fair Market Value at the time such Unrestricted Subsidiary was so designated) shall not exceed in the aggregate $500,000,000 during the term of this Agreement (it being understood and agreed that such aggregate limitation for purposes of determining compliance with this clause (c) shall be calculated without giving effect to any return representing a return of capital with respect to such Unrestricted Subsidiary, whether or not repaid in cash prior to such time of determination (including as a result of Subsidiary Redesignation)), (d) such Subsidiary being designated as an “Unrestricted Subsidiary” shall also, concurrently with such designation and thereafter, constitute an “unrestricted subsidiary” under any Material Indebtedness, (e) such Subsidiary was not previously designated as an Unrestricted Subsidiary and thereafter re-designated as a Restricted Subsidiary, (f) such Subsidiary shall not (i) own, or possess the right to use, any Material Intellectual Property, or (ii) own any of the material economic rights derived from any Intellectual Property, in each case with respect to the foregoing clause (f)(i) or clause (f)(ii), covering the Cystic Fibrosis Drug Franchise Assets and (g) if such designation is on the Closing Date, the designation shall not occur until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and the funding of the initial Loans has occurred. The designation of any Restricted Subsidiary as an Unrestricted Subsidiary shall constitute an Investment by the Company (or its Restricted Subsidiaries) therein at the date of designation in an amount equal to the Fair Market Value of the Company’s (or its Restricted Subsidiaries’) Investments therein. The Company may designate any Unrestricted Subsidiary to be a Restricted Subsidiary for purposes of this Agreement (each, a “</w:t>
      </w:r>
      <w:r>
        <w:rPr>
          <w:rFonts w:ascii="Arial" w:cs="Arial" w:eastAsia="Arial" w:hAnsi="Arial"/>
          <w:sz w:val="18"/>
          <w:szCs w:val="18"/>
          <w:u w:val="single" w:color="auto"/>
          <w:color w:val="auto"/>
        </w:rPr>
        <w:t>Subsidiary Redesignation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has occurred and is continuing or would result therefrom (after giving effect to the provisions of the immediately succeeding sentence), (ii) immediately after giving effect to such redesignation, the Company shall be in Pro Forma Compliance, (iii) the Company shall have delivered to the Administrative Agent an officer’s certificate executed by a Responsible Officer of the Company, certifying to such officer’s knowledge, compliance with the foregoing requirements and (iv) the Company shall cause any such Restricted Subsidiary to comply with the provisions of </w:t>
      </w:r>
      <w:r>
        <w:rPr>
          <w:rFonts w:ascii="Arial" w:cs="Arial" w:eastAsia="Arial" w:hAnsi="Arial"/>
          <w:sz w:val="18"/>
          <w:szCs w:val="18"/>
          <w:u w:val="single" w:color="auto"/>
          <w:color w:val="auto"/>
        </w:rPr>
        <w:t>Section 6.12</w:t>
      </w:r>
      <w:r>
        <w:rPr>
          <w:rFonts w:ascii="Arial" w:cs="Arial" w:eastAsia="Arial" w:hAnsi="Arial"/>
          <w:sz w:val="18"/>
          <w:szCs w:val="18"/>
          <w:color w:val="auto"/>
        </w:rPr>
        <w:t>, to the extent applicable. The designation of any Unrestricted Subsidiary as a Restricted Subsidiary on or after the Closing Date shall constitute the incurrence at the time of designation of any Investment, Indebtedness or Liens of such Subsidiary existing at such time. No Borrower may be designated as an Unrestricted Subsidiary.</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Loan Party</w:t>
      </w:r>
      <w:r>
        <w:rPr>
          <w:rFonts w:ascii="Arial" w:cs="Arial" w:eastAsia="Arial" w:hAnsi="Arial"/>
          <w:sz w:val="20"/>
          <w:szCs w:val="20"/>
          <w:color w:val="auto"/>
        </w:rPr>
        <w:t>” means any Loan Party that is not a Designated Foreign Borrower.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3.01(e)(ii)(B)(3)</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Vertex Europe</w:t>
      </w:r>
      <w:r>
        <w:rPr>
          <w:rFonts w:ascii="Arial" w:cs="Arial" w:eastAsia="Arial" w:hAnsi="Arial"/>
          <w:sz w:val="20"/>
          <w:szCs w:val="20"/>
          <w:color w:val="auto"/>
        </w:rPr>
        <w:t>” has the meaning specified in the introductory paragraph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Vertex Ireland</w:t>
      </w:r>
      <w:r>
        <w:rPr>
          <w:rFonts w:ascii="Arial" w:cs="Arial" w:eastAsia="Arial" w:hAnsi="Arial"/>
          <w:sz w:val="20"/>
          <w:szCs w:val="20"/>
          <w:color w:val="auto"/>
        </w:rPr>
        <w:t>” has the meaning specified in the introductory paragraph hereto.</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1405" w:right="339" w:bottom="1440" w:gutter="0" w:footer="0" w:header="0"/>
        </w:sectPr>
      </w:pPr>
    </w:p>
    <w:bookmarkStart w:id="87" w:name="page88"/>
    <w:bookmarkEnd w:id="87"/>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Transactions</w:t>
      </w:r>
      <w:r>
        <w:rPr>
          <w:rFonts w:ascii="Arial" w:cs="Arial" w:eastAsia="Arial" w:hAnsi="Arial"/>
          <w:sz w:val="18"/>
          <w:szCs w:val="18"/>
          <w:color w:val="auto"/>
        </w:rPr>
        <w:t>” means one or more call options referencing the Company’s common stock written by Company substantially contemporaneously with the purchase by the Company of Convertible Bond Hedge Transactions and having an initial strike or exercise price (howsoever defined) greater than the strike or exercise price (howsoever defined) of such Convertible Bond Hedge Transactions.</w:t>
      </w:r>
    </w:p>
    <w:p>
      <w:pPr>
        <w:spacing w:after="0" w:line="15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of any Person means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“Wholly Owned Subsidiary” means a Subsidiary of the Company that is a Wholly Owned Subsidiary of the Company.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Loan Party and the Administrative Agent.</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8"/>
          <w:szCs w:val="18"/>
          <w:b w:val="1"/>
          <w:bCs w:val="1"/>
          <w:u w:val="single" w:color="auto"/>
          <w:color w:val="auto"/>
        </w:rPr>
        <w:t>Other Interpretive Provisions</w:t>
      </w:r>
      <w:r>
        <w:rPr>
          <w:rFonts w:ascii="Arial" w:cs="Arial" w:eastAsia="Arial" w:hAnsi="Arial"/>
          <w:sz w:val="18"/>
          <w:szCs w:val="18"/>
          <w:b w:val="1"/>
          <w:bCs w:val="1"/>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reference to this Agreement and each other Loan Document, unless otherwise specified herein or in such other Loan Document:</w:t>
      </w:r>
    </w:p>
    <w:p>
      <w:pPr>
        <w:spacing w:after="0" w:line="221" w:lineRule="exact"/>
        <w:rPr>
          <w:sz w:val="20"/>
          <w:szCs w:val="20"/>
          <w:color w:val="auto"/>
        </w:rPr>
      </w:pPr>
    </w:p>
    <w:p>
      <w:pPr>
        <w:jc w:val="both"/>
        <w:ind w:left="660" w:firstLine="644"/>
        <w:spacing w:after="0" w:line="222" w:lineRule="auto"/>
        <w:tabs>
          <w:tab w:leader="none" w:pos="19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 Any and all references to “Borrower” regardless of whether preceded by the term “a”, “any”, “each of”, “all”, “and/or”, or any other similar term shall be deemed to refer, as the context requires, to each and every (and/or any, one or all) parties constituting a Borrower, individually and/or in the aggregate. Any and all references herein or in any other Loan Document to “Ireland” shall not include Northern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405" w:right="339" w:bottom="1440" w:gutter="0" w:footer="0" w:header="0"/>
        </w:sectPr>
      </w:pPr>
    </w:p>
    <w:bookmarkStart w:id="88" w:name="page89"/>
    <w:bookmarkEnd w:id="88"/>
    <w:p>
      <w:pPr>
        <w:ind w:left="660" w:firstLine="644"/>
        <w:spacing w:after="0" w:line="242" w:lineRule="auto"/>
        <w:tabs>
          <w:tab w:leader="none" w:pos="19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3" w:lineRule="exact"/>
        <w:rPr>
          <w:rFonts w:ascii="Arial" w:cs="Arial" w:eastAsia="Arial" w:hAnsi="Arial"/>
          <w:sz w:val="19"/>
          <w:szCs w:val="19"/>
          <w:color w:val="auto"/>
        </w:rPr>
      </w:pPr>
    </w:p>
    <w:p>
      <w:pPr>
        <w:ind w:left="660" w:firstLine="644"/>
        <w:spacing w:after="0" w:line="229" w:lineRule="auto"/>
        <w:tabs>
          <w:tab w:leader="none" w:pos="1946"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55" w:lineRule="exact"/>
        <w:rPr>
          <w:rFonts w:ascii="Arial" w:cs="Arial" w:eastAsia="Arial" w:hAnsi="Arial"/>
          <w:sz w:val="20"/>
          <w:szCs w:val="20"/>
          <w:color w:val="auto"/>
        </w:rPr>
      </w:pPr>
    </w:p>
    <w:p>
      <w:pPr>
        <w:jc w:val="both"/>
        <w:ind w:left="660" w:firstLine="644"/>
        <w:spacing w:after="0" w:line="231" w:lineRule="auto"/>
        <w:tabs>
          <w:tab w:leader="none" w:pos="1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assignment, sale, or disposition, or similar term, with respect to any Person, shall be deemed to apply to a division of or by a limited liability company, or an allocation of assets to a series of a limited liability company (or the unwinding of such a division or allocation), as if it were a merger, transfer, consolidation, amalgamation, assignment, sale, or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u w:val="single" w:color="auto"/>
          <w:color w:val="auto"/>
        </w:rPr>
        <w:t>Accounting Terms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660" w:firstLine="644"/>
        <w:spacing w:after="0" w:line="205" w:lineRule="auto"/>
        <w:tabs>
          <w:tab w:leader="none" w:pos="194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 be disregarded.</w:t>
      </w:r>
    </w:p>
    <w:p>
      <w:pPr>
        <w:spacing w:after="0" w:line="156" w:lineRule="exact"/>
        <w:rPr>
          <w:rFonts w:ascii="Arial" w:cs="Arial" w:eastAsia="Arial" w:hAnsi="Arial"/>
          <w:sz w:val="20"/>
          <w:szCs w:val="20"/>
          <w:color w:val="auto"/>
        </w:rPr>
      </w:pPr>
    </w:p>
    <w:p>
      <w:pPr>
        <w:jc w:val="both"/>
        <w:ind w:left="660" w:firstLine="644"/>
        <w:spacing w:after="0" w:line="227" w:lineRule="auto"/>
        <w:tabs>
          <w:tab w:leader="none" w:pos="19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or application thereof (including the adoption of IFRS) would affect the computation of any financial ratio or requirement set forth in any Loan Document, and either the Company or the Required Lenders shall so request, the Administrative Agent, the Lenders and the Company shall negotiate in good faith, each acting reasonably (and without requirement of any fee), to amend such ratio or requirement to preserve the original intent thereof in light of such change in GAAP or application thereof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or the application thereof (without regard to such change or adoption of IFRS) and (ii) the Company shall provide to the Administrative Agent and the Lenders the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55" w:lineRule="exact"/>
        <w:rPr>
          <w:rFonts w:ascii="Arial" w:cs="Arial" w:eastAsia="Arial" w:hAnsi="Arial"/>
          <w:sz w:val="18"/>
          <w:szCs w:val="18"/>
          <w:color w:val="auto"/>
        </w:rPr>
      </w:pPr>
    </w:p>
    <w:p>
      <w:pPr>
        <w:jc w:val="both"/>
        <w:ind w:left="660" w:firstLine="644"/>
        <w:spacing w:after="0" w:line="227" w:lineRule="auto"/>
        <w:tabs>
          <w:tab w:leader="none" w:pos="19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Lease Accounting</w:t>
      </w:r>
      <w:r>
        <w:rPr>
          <w:rFonts w:ascii="Arial" w:cs="Arial" w:eastAsia="Arial" w:hAnsi="Arial"/>
          <w:sz w:val="18"/>
          <w:szCs w:val="18"/>
          <w:color w:val="auto"/>
        </w:rPr>
        <w:t xml:space="preserve">. Notwithstanding any other provision contained herein,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financial statements delivered pursuant to this Agreement shall, if applicable and solely to the extent reasonably requested by the Administrative Agent, be accompanied by a schedule showing any adjustments necessary to reconcile such financial statements with GAAP as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1405" w:right="339" w:bottom="1440" w:gutter="0" w:footer="0" w:header="0"/>
        </w:sectPr>
      </w:pPr>
    </w:p>
    <w:bookmarkStart w:id="89" w:name="page90"/>
    <w:bookmarkEnd w:id="89"/>
    <w:p>
      <w:pPr>
        <w:jc w:val="both"/>
        <w:ind w:left="660" w:firstLine="644"/>
        <w:spacing w:after="0" w:line="213" w:lineRule="auto"/>
        <w:tabs>
          <w:tab w:leader="none" w:pos="1944"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the Company and its Subsidiaries or to the determination of any amount for the Company and its Subsidiaries on a Consolidated basis or any similar reference shall, in each case, be deemed to exclude each variable interest entity that the Company is required to otherwise consolidate pursuant to FASB ASC 810.</w:t>
      </w:r>
    </w:p>
    <w:p>
      <w:pPr>
        <w:spacing w:after="0" w:line="155" w:lineRule="exact"/>
        <w:rPr>
          <w:rFonts w:ascii="Arial" w:cs="Arial" w:eastAsia="Arial" w:hAnsi="Arial"/>
          <w:sz w:val="20"/>
          <w:szCs w:val="20"/>
          <w:color w:val="auto"/>
        </w:rPr>
      </w:pPr>
    </w:p>
    <w:p>
      <w:pPr>
        <w:jc w:val="both"/>
        <w:ind w:left="660" w:firstLine="644"/>
        <w:spacing w:after="0" w:line="213" w:lineRule="auto"/>
        <w:tabs>
          <w:tab w:leader="none" w:pos="194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Pro Forma Treatment</w:t>
      </w:r>
      <w:r>
        <w:rPr>
          <w:rFonts w:ascii="Arial" w:cs="Arial" w:eastAsia="Arial" w:hAnsi="Arial"/>
          <w:sz w:val="20"/>
          <w:szCs w:val="20"/>
          <w:color w:val="auto"/>
        </w:rPr>
        <w:t xml:space="preserve">. Each Disposition of all or substantially all of a line of business, and each Acquisition, by the Company and its Restricted Subsidiaries that is consummated during any Measurement Period shall, for purposes of determining compliance with the financial covenant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and for purposes of determining the Applicable Rate, be given Pro Forma Effect as of the first day of such Measurement Period.</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6"/>
          <w:szCs w:val="16"/>
          <w:b w:val="1"/>
          <w:bCs w:val="1"/>
          <w:u w:val="single" w:color="auto"/>
          <w:color w:val="auto"/>
        </w:rPr>
        <w:t>Rounding</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u w:val="single" w:color="auto"/>
          <w:color w:val="auto"/>
        </w:rPr>
        <w:t>Times of Day</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Unless otherwise specified, all references herein to times of day shall be references to Eastern time (daylight or standard, as applicable).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8"/>
          <w:szCs w:val="18"/>
          <w:b w:val="1"/>
          <w:bCs w:val="1"/>
          <w:u w:val="single" w:color="auto"/>
          <w:color w:val="auto"/>
        </w:rPr>
        <w:t>Letter of Credit Amounts</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8"/>
          <w:szCs w:val="18"/>
          <w:b w:val="1"/>
          <w:bCs w:val="1"/>
          <w:u w:val="single" w:color="auto"/>
          <w:color w:val="auto"/>
        </w:rPr>
        <w:t>UCC Terms</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1.08</w:t>
      </w:r>
      <w:r>
        <w:rPr>
          <w:sz w:val="20"/>
          <w:szCs w:val="20"/>
          <w:color w:val="auto"/>
        </w:rPr>
        <w:tab/>
      </w:r>
      <w:r>
        <w:rPr>
          <w:rFonts w:ascii="Arial" w:cs="Arial" w:eastAsia="Arial" w:hAnsi="Arial"/>
          <w:sz w:val="16"/>
          <w:szCs w:val="16"/>
          <w:b w:val="1"/>
          <w:bCs w:val="1"/>
          <w:u w:val="single" w:color="auto"/>
          <w:color w:val="auto"/>
        </w:rPr>
        <w:t>Exchange Rates; Currency Equivalents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660" w:firstLine="644"/>
        <w:spacing w:after="0" w:line="229" w:lineRule="auto"/>
        <w:tabs>
          <w:tab w:leader="none" w:pos="19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Administrative Agent or the Alternative Currency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 hereunder or except as otherwise provided herein, the applicable amount of any currency (other than Dollars) for purposes of the Loan Documents shall be such Dollar Equivalent amount as so determined by the Administrative Agent or the Alternative Currency L/C Issuer, as applicable.</w:t>
      </w:r>
    </w:p>
    <w:p>
      <w:pPr>
        <w:spacing w:after="0" w:line="156" w:lineRule="exact"/>
        <w:rPr>
          <w:rFonts w:ascii="Arial" w:cs="Arial" w:eastAsia="Arial" w:hAnsi="Arial"/>
          <w:sz w:val="18"/>
          <w:szCs w:val="18"/>
          <w:color w:val="auto"/>
        </w:rPr>
      </w:pPr>
    </w:p>
    <w:p>
      <w:pPr>
        <w:jc w:val="both"/>
        <w:ind w:left="660" w:firstLine="644"/>
        <w:spacing w:after="0" w:line="230" w:lineRule="auto"/>
        <w:tabs>
          <w:tab w:leader="none" w:pos="1944"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1405" w:right="339" w:bottom="1440" w:gutter="0" w:footer="0" w:header="0"/>
        </w:sectPr>
      </w:pPr>
    </w:p>
    <w:bookmarkStart w:id="90" w:name="page91"/>
    <w:bookmarkEnd w:id="90"/>
    <w:p>
      <w:pPr>
        <w:jc w:val="both"/>
        <w:ind w:left="660"/>
        <w:spacing w:after="0" w:line="218" w:lineRule="auto"/>
        <w:rPr>
          <w:sz w:val="20"/>
          <w:szCs w:val="20"/>
          <w:color w:val="auto"/>
        </w:rPr>
      </w:pPr>
      <w:r>
        <w:rPr>
          <w:rFonts w:ascii="Arial" w:cs="Arial" w:eastAsia="Arial" w:hAnsi="Arial"/>
          <w:sz w:val="20"/>
          <w:szCs w:val="20"/>
          <w:color w:val="auto"/>
        </w:rPr>
        <w:t>denominated in an Alternative Currency, such amount shall be the relevant Alternative Currency Equivalent of such Dollar amount (rounded to the nearest unit of such Alternative Currency, with 0.5 of a unit being rounded upward), as determined by the Administrative Agent or the Alternative Currency L/C Issuer, as the case may be.</w:t>
      </w:r>
    </w:p>
    <w:p>
      <w:pPr>
        <w:spacing w:after="0" w:line="156" w:lineRule="exact"/>
        <w:rPr>
          <w:sz w:val="20"/>
          <w:szCs w:val="20"/>
          <w:color w:val="auto"/>
        </w:rPr>
      </w:pPr>
    </w:p>
    <w:p>
      <w:pPr>
        <w:jc w:val="both"/>
        <w:ind w:left="660" w:firstLine="644"/>
        <w:spacing w:after="0" w:line="223" w:lineRule="auto"/>
        <w:tabs>
          <w:tab w:leader="none" w:pos="19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Term SOFR Successor Rate or any Successor Rate) (or any component of any of the foregoing) or the effect of any of the foregoing, or of any Term SOFR Conforming Changes or any Conforming Changes. The Administrative Agent and its affiliates or other related entities may engage in transactions or other activities that affect any reference rate referred to herein, or any alternative, successor or replacement rate (including any Term SOFR Successor Rate or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any Term SOFR Successor Rate or any Successor Rate) (or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66" w:lineRule="exact"/>
        <w:rPr>
          <w:rFonts w:ascii="Arial" w:cs="Arial" w:eastAsia="Arial" w:hAnsi="Arial"/>
          <w:sz w:val="18"/>
          <w:szCs w:val="18"/>
          <w:color w:val="auto"/>
        </w:rPr>
      </w:pPr>
    </w:p>
    <w:p>
      <w:pPr>
        <w:jc w:val="both"/>
        <w:ind w:left="660" w:firstLine="644"/>
        <w:spacing w:after="0" w:line="227" w:lineRule="auto"/>
        <w:tabs>
          <w:tab w:leader="none" w:pos="1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amount specified in this Agreement (other than in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8"/>
          <w:szCs w:val="18"/>
          <w:u w:val="single" w:color="auto"/>
          <w:color w:val="auto"/>
        </w:rPr>
        <w:t>Section 1.08</w:t>
      </w:r>
      <w:r>
        <w:rPr>
          <w:rFonts w:ascii="Arial" w:cs="Arial" w:eastAsia="Arial" w:hAnsi="Arial"/>
          <w:sz w:val="18"/>
          <w:szCs w:val="18"/>
          <w:color w:val="auto"/>
        </w:rPr>
        <w:t>, the “Spot Rate”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(2) Business Days prior to the date of such determination; provided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1.09</w:t>
      </w:r>
      <w:r>
        <w:rPr>
          <w:sz w:val="20"/>
          <w:szCs w:val="20"/>
          <w:color w:val="auto"/>
        </w:rPr>
        <w:tab/>
      </w:r>
      <w:r>
        <w:rPr>
          <w:rFonts w:ascii="Arial" w:cs="Arial" w:eastAsia="Arial" w:hAnsi="Arial"/>
          <w:sz w:val="18"/>
          <w:szCs w:val="18"/>
          <w:b w:val="1"/>
          <w:bCs w:val="1"/>
          <w:u w:val="single" w:color="auto"/>
          <w:color w:val="auto"/>
        </w:rPr>
        <w:t>Additional Alternative Currencies</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660" w:firstLine="644"/>
        <w:spacing w:after="0" w:line="218" w:lineRule="auto"/>
        <w:tabs>
          <w:tab w:leader="none" w:pos="1946"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Company may from time to time request that Revolving Loans be made and/or Letters of Credit be issued in a currency other than those specifically listed in the definition of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requested currency is an Eligible Currency. In the case of any such request with respect to the making of Revolving Loans, such request shall be subject to the approval of the Administrative Agent and each Lender with a Revolving Commitment under which such currency is requested to be made available; and in the case of any such request with respect to the issuance of Letters of Credit, such request shall be subject to the approval of the Administrative Agent and the Alternative Currency L/C Issuer.</w:t>
      </w:r>
    </w:p>
    <w:p>
      <w:pPr>
        <w:spacing w:after="0" w:line="159" w:lineRule="exact"/>
        <w:rPr>
          <w:rFonts w:ascii="Arial" w:cs="Arial" w:eastAsia="Arial" w:hAnsi="Arial"/>
          <w:sz w:val="19"/>
          <w:szCs w:val="19"/>
          <w:color w:val="auto"/>
        </w:rPr>
      </w:pPr>
    </w:p>
    <w:p>
      <w:pPr>
        <w:jc w:val="both"/>
        <w:ind w:left="660" w:firstLine="644"/>
        <w:spacing w:after="0" w:line="207"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such request shall be made to the Administrative Agent not later than 11:00 a.m. ten (10) Business Days prior to the date of the desired Credit Extension (or such other time or date as may be agreed by the Administrative Agent and, in the case of any such request pertaining to Letters of Credit, the Alternative Currency L/C Issuer, in its or their sole discretion). In the case of any such request pertaining to Revolving Loans, the Administrative Agent shall promptly notify each Appropriate Lender thereof; and in the case of any such request pertaining to Letters of Credit, the Administrative Agent shall promptly notify the Alternative Currency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1405" w:right="339" w:bottom="1440" w:gutter="0" w:footer="0" w:header="0"/>
        </w:sectPr>
      </w:pPr>
    </w:p>
    <w:bookmarkStart w:id="91" w:name="page92"/>
    <w:bookmarkEnd w:id="91"/>
    <w:p>
      <w:pPr>
        <w:jc w:val="both"/>
        <w:ind w:left="660"/>
        <w:spacing w:after="0" w:line="224" w:lineRule="auto"/>
        <w:rPr>
          <w:sz w:val="20"/>
          <w:szCs w:val="20"/>
          <w:color w:val="auto"/>
        </w:rPr>
      </w:pPr>
      <w:r>
        <w:rPr>
          <w:rFonts w:ascii="Arial" w:cs="Arial" w:eastAsia="Arial" w:hAnsi="Arial"/>
          <w:sz w:val="19"/>
          <w:szCs w:val="19"/>
          <w:color w:val="auto"/>
        </w:rPr>
        <w:t>Issuer thereof. Each Appropriate Lender (in the case of any such request pertaining to Revolving Loans) or the Alternative Currency L/C Issuer (in the case of a request pertaining to Letters of Credit) shall notify the Administrative Agent, not later than 11:00 a.m. five (5) Business Days after receipt of such request whether it consents, in its sole discretion, to the making of Revolving Loans or the issuance of Letters of Credit, as the case may be, in such requested currency.</w:t>
      </w:r>
    </w:p>
    <w:p>
      <w:pPr>
        <w:spacing w:after="0" w:line="156" w:lineRule="exact"/>
        <w:rPr>
          <w:sz w:val="20"/>
          <w:szCs w:val="20"/>
          <w:color w:val="auto"/>
        </w:rPr>
      </w:pPr>
    </w:p>
    <w:p>
      <w:pPr>
        <w:jc w:val="both"/>
        <w:ind w:left="660" w:firstLine="644"/>
        <w:spacing w:after="0" w:line="223" w:lineRule="auto"/>
        <w:tabs>
          <w:tab w:leader="none" w:pos="19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failure by a Lender or the Alternative Currency L/C Issuer, as the case may be, to respond to such request within the time period specified in </w:t>
      </w:r>
      <w:r>
        <w:rPr>
          <w:rFonts w:ascii="Arial" w:cs="Arial" w:eastAsia="Arial" w:hAnsi="Arial"/>
          <w:sz w:val="18"/>
          <w:szCs w:val="18"/>
          <w:u w:val="single" w:color="auto"/>
          <w:color w:val="auto"/>
        </w:rPr>
        <w:t>Section 1.09(b)</w:t>
      </w:r>
      <w:r>
        <w:rPr>
          <w:rFonts w:ascii="Arial" w:cs="Arial" w:eastAsia="Arial" w:hAnsi="Arial"/>
          <w:sz w:val="18"/>
          <w:szCs w:val="18"/>
          <w:color w:val="auto"/>
        </w:rPr>
        <w:t xml:space="preserve"> shall be deemed to be a refusal by such Lender or the Alternative Currency L/C Issuer, as the case may be, to permit Revolving Loans to be made or Letters of Credit to be issued in such requested currency. If the Administrative Agent and all the Appropriate Lenders consent to making Revolving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this Agreement to the extent necessary to add the applicable rate for such currency and any applicable adjustment for such rate, as applicable, and (ii) to the extent this Agreement has been amended to reflect the appropriate rate (and applicable adjustment, if any) for such currency, such currency shall thereupon be deemed for all purposes to be an Alternative Currency for purposes of any Revolving Borrowings. If the Administrative Agent and the Alternative Currency L/C Issuer consent to the issuance of Letters of Credit in such requested currency, the Administrative Agent shall so notify the Company and (A) the Administrative Agent and the Alternative Currency L/C Issuer may amend this Agreement to add such currency, and (B) to the extent this Agreement has been amended to reflect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Arial" w:cs="Arial" w:eastAsia="Arial" w:hAnsi="Arial"/>
          <w:sz w:val="18"/>
          <w:szCs w:val="18"/>
          <w:u w:val="single" w:color="auto"/>
          <w:color w:val="auto"/>
        </w:rPr>
        <w:t>Section 1.09</w:t>
      </w:r>
      <w:r>
        <w:rPr>
          <w:rFonts w:ascii="Arial" w:cs="Arial" w:eastAsia="Arial" w:hAnsi="Arial"/>
          <w:sz w:val="18"/>
          <w:szCs w:val="18"/>
          <w:color w:val="auto"/>
        </w:rPr>
        <w:t>, the Administrative Agent shall promptly so notify the Company.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6"/>
          <w:szCs w:val="16"/>
          <w:b w:val="1"/>
          <w:bCs w:val="1"/>
          <w:u w:val="single" w:color="auto"/>
          <w:color w:val="auto"/>
        </w:rPr>
        <w:t>Change of Currency</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660" w:firstLine="644"/>
        <w:spacing w:after="0" w:line="216" w:lineRule="auto"/>
        <w:tabs>
          <w:tab w:leader="none" w:pos="194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Each obligation of the Borrowers to make a payment denominated in the national currency unit of any member state of the European Union that adopts the Euro as its lawful currency after the Closing Date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54" w:lineRule="exact"/>
        <w:rPr>
          <w:rFonts w:ascii="Arial" w:cs="Arial" w:eastAsia="Arial" w:hAnsi="Arial"/>
          <w:sz w:val="19"/>
          <w:szCs w:val="19"/>
          <w:color w:val="auto"/>
        </w:rPr>
      </w:pPr>
    </w:p>
    <w:p>
      <w:pPr>
        <w:jc w:val="both"/>
        <w:ind w:left="660" w:firstLine="644"/>
        <w:spacing w:after="0" w:line="218" w:lineRule="auto"/>
        <w:tabs>
          <w:tab w:leader="none" w:pos="1944" w:val="left"/>
        </w:tabs>
        <w:numPr>
          <w:ilvl w:val="0"/>
          <w:numId w:val="50"/>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946" w:val="left"/>
        </w:tabs>
        <w:numPr>
          <w:ilvl w:val="0"/>
          <w:numId w:val="50"/>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3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II</w:t>
      </w:r>
    </w:p>
    <w:p>
      <w:pPr>
        <w:ind w:left="3520"/>
        <w:spacing w:after="0"/>
        <w:rPr>
          <w:sz w:val="20"/>
          <w:szCs w:val="20"/>
          <w:color w:val="auto"/>
        </w:rPr>
      </w:pPr>
      <w:r>
        <w:rPr>
          <w:rFonts w:ascii="Arial" w:cs="Arial" w:eastAsia="Arial" w:hAnsi="Arial"/>
          <w:sz w:val="20"/>
          <w:szCs w:val="20"/>
          <w:b w:val="1"/>
          <w:bCs w:val="1"/>
          <w:color w:val="auto"/>
        </w:rPr>
        <w:t>COMMITMENTS AND CREDIT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1405" w:right="339" w:bottom="1440" w:gutter="0" w:footer="0" w:header="0"/>
        </w:sectPr>
      </w:pPr>
    </w:p>
    <w:bookmarkStart w:id="92" w:name="page93"/>
    <w:bookmarkEnd w:id="92"/>
    <w:p>
      <w:pPr>
        <w:ind w:left="289" w:hanging="289"/>
        <w:spacing w:after="0"/>
        <w:tabs>
          <w:tab w:leader="none" w:pos="289"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1366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4" w:lineRule="auto"/>
        <w:rPr>
          <w:sz w:val="20"/>
          <w:szCs w:val="20"/>
          <w:color w:val="auto"/>
        </w:rPr>
      </w:pPr>
      <w:r>
        <w:rPr>
          <w:rFonts w:ascii="Arial" w:cs="Arial" w:eastAsia="Arial" w:hAnsi="Arial"/>
          <w:sz w:val="19"/>
          <w:szCs w:val="19"/>
          <w:color w:val="auto"/>
        </w:rPr>
        <w:t>Subject to the terms and conditions set forth herein, each Revolving Lender severally agrees to make loans (each such loan, a “</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Revolving Borrowing, (a) the Total Revolving Outstandings shall not exceed the Aggregate Revolving Commitments, (b) the Revolving Exposure of any Lender shall not exceed such Revolving Lender’s Revolving Commitment, and (c) the aggregate Outstanding Amount of all Loans denominated in Alternative Currencies shall not exceed the Alternative Currency Sublimit. Within the limits of each Revolving Lender’s Revolving Commitment, and subject to the other terms and conditions hereof, the Borrowers may borrow Revolving Loans,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Revolving Loans may be Base Rate Loans, Term SOFR Loans, SOFR Daily Floating Rate Loans, Alternative Currency Daily Rate Loans, or Alternative Currency Term Rate Loans, as further provided herein.</w:t>
      </w:r>
    </w:p>
    <w:p>
      <w:pPr>
        <w:spacing w:after="0" w:line="152" w:lineRule="exact"/>
        <w:rPr>
          <w:sz w:val="20"/>
          <w:szCs w:val="20"/>
          <w:color w:val="auto"/>
        </w:rPr>
      </w:pPr>
    </w:p>
    <w:p>
      <w:pPr>
        <w:ind w:left="289" w:hanging="289"/>
        <w:spacing w:after="0"/>
        <w:tabs>
          <w:tab w:leader="none" w:pos="289"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Revolving Borrowings; Conversions and Continuations of Revolving Loans.</w:t>
      </w:r>
    </w:p>
    <w:p>
      <w:pPr>
        <w:spacing w:after="0" w:line="181" w:lineRule="exact"/>
        <w:rPr>
          <w:rFonts w:ascii="Arial" w:cs="Arial" w:eastAsia="Arial" w:hAnsi="Arial"/>
          <w:sz w:val="20"/>
          <w:szCs w:val="20"/>
          <w:b w:val="1"/>
          <w:bCs w:val="1"/>
          <w:color w:val="auto"/>
        </w:rPr>
      </w:pPr>
    </w:p>
    <w:p>
      <w:pPr>
        <w:jc w:val="both"/>
        <w:ind w:left="729" w:firstLine="644"/>
        <w:spacing w:after="0" w:line="221" w:lineRule="auto"/>
        <w:tabs>
          <w:tab w:leader="none" w:pos="201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Notice of Revolving Borrowing; Notice of Conversion or Continuation</w:t>
      </w:r>
      <w:r>
        <w:rPr>
          <w:rFonts w:ascii="Arial" w:cs="Arial" w:eastAsia="Arial" w:hAnsi="Arial"/>
          <w:sz w:val="18"/>
          <w:szCs w:val="18"/>
          <w:color w:val="auto"/>
        </w:rPr>
        <w:t xml:space="preserve">. Each Revolving Borrowing, each conversion of Base Rate Loans to Term SOFR Loans or SOFR Daily Floating Rate Loans, each conversion of Term SOFR Loans to Base Rate Loans or SOFR Daily Floating Rate Loans, each conversion of SOFR Daily Floating Rate Loans to Base Rate Loans or Term SOFR Loans, each continuation of Term SOFR Loans, and each continuation of Alternative Currency Term Rate Loans, in each case, shall be made upon the applicable Borrower’s irrevocable notice to the Administrative Agent, which may be given by telephone or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must be received by the Administrative Agent not later than 11:00 a.m. (i) two (2) Business Days prior to the requested date of any Revolving Borrowing of, conversion to or continuation of Term SOFR Loans, or of any conversion of Term SOFR Loans to Base Rate Loans or SOFR Daily Floating Rate Loans, (ii) four (4) Business Days (or five (5) Business Days, in the case of a Special Notice Currency) prior to the requested date of any Revolving Borrowing of Alternative Currency Loans, (iii) four (4) Business Days (or five (5) Business Days, in the case of a Special Notice Currency) in the case of the continuation of any Alternative Currency Term Rate Loans, (iv) on the requested date of any Revolving Borrowing of Base Rate Loans or SOFR Daily Floating Rate Loans, and (v) on the requested date of any conversion of Base Rate Loans to SOFR Daily Floating Rate Loans or of SOFR Daily Floating Rate Loans to Base Rate Loans. Each Revolving Borrowing of, conversion to or continuation of Term SOFR Loans or Alternative Currency Loans shall be in a principal amount of $5,000,000 or a whole multiple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Revolving Borrowing of, or conversion to, Base Rate Loans or SOFR Daily Floating Rate Loans shall be in a principal amount of $500,000 or a whole multiple of $100,000 in excess thereof. Each Loan Notice and each telephonic notice shall specify (A) whether the applicable Borrower is requesting a Revolving Borrowing, a conversion of Loans, or a continuation of Loans, as the case may be, (B) the requested date of the Revolving Borrowing, conversion or continuation, as the case may be (which shall be a Business Day), (C) the principal amount of Loans to be borrowed, converted or continued, (D) the Type of Loans to be borrowed or to which existing Loans are to be converted, (E) if applicable, the duration of the Interest Period with respect thereto, (F) the currency of the Loans to be borrowed and (G) the relevant Borrower requesting such Revolving Borrowing, conversion or continuation. If the applicable Borrower fails to specify a currency in a Loan Notice requesting a Revolving Borrowing, then the Loans so requested shall be made in Dollars. If the applicable Borrower fails to specify a Type of Loan in a Loan Notice or if the applicable Borrower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failure to timely request a continuation of Alternative Currency Term Rate Loans, such Loans shall be continued as Alternative Currency Term Rate Loans in their original currency with an Interest Period of one (1) month. Any such automatic conversion to Base Rate Loans shall be effective as of the last day of the Interest Period then in effect with respect to the applicable Loans. If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-3635375</wp:posOffset>
            </wp:positionV>
            <wp:extent cx="4230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30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09"/>
          </w:cols>
          <w:pgMar w:left="251" w:top="1399" w:right="339" w:bottom="1440" w:gutter="0" w:footer="0" w:header="0"/>
        </w:sectPr>
      </w:pPr>
    </w:p>
    <w:bookmarkStart w:id="93" w:name="page94"/>
    <w:bookmarkEnd w:id="93"/>
    <w:p>
      <w:pPr>
        <w:jc w:val="both"/>
        <w:ind w:left="660"/>
        <w:spacing w:after="0" w:line="221" w:lineRule="auto"/>
        <w:rPr>
          <w:sz w:val="20"/>
          <w:szCs w:val="20"/>
          <w:color w:val="auto"/>
        </w:rPr>
      </w:pPr>
      <w:r>
        <w:rPr>
          <w:rFonts w:ascii="Arial" w:cs="Arial" w:eastAsia="Arial" w:hAnsi="Arial"/>
          <w:sz w:val="19"/>
          <w:szCs w:val="19"/>
          <w:color w:val="auto"/>
        </w:rPr>
        <w:t xml:space="preserve">Borrower requests a Revolving Borrowing of, conversion to, or continuation of Term SOFR Loans or Alternative Currency Term Rate Loans, but fails to specify an Interest Period, it will be deemed to have specified an Interest Period of one (1) month. Notwithstanding anything to the contrary herein, 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shall not apply to Swingline Loans. Except as provided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no Loan may be converted into or continued as a Loan denominated in a different currency, but instead must be repaid in the original currency of such Loan and reborrowed in the other currency.</w:t>
      </w:r>
    </w:p>
    <w:p>
      <w:pPr>
        <w:spacing w:after="0" w:line="155" w:lineRule="exact"/>
        <w:rPr>
          <w:sz w:val="20"/>
          <w:szCs w:val="20"/>
          <w:color w:val="auto"/>
        </w:rPr>
      </w:pPr>
    </w:p>
    <w:p>
      <w:pPr>
        <w:jc w:val="both"/>
        <w:ind w:left="660" w:firstLine="644"/>
        <w:spacing w:after="0" w:line="223" w:lineRule="auto"/>
        <w:tabs>
          <w:tab w:leader="none" w:pos="19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Following receipt of a Loan Notice, the Administrative Agent shall promptly notify each Appropriate Lender of the amount (and currency) of its Applicable Percentage of the applicable Loans, and if no timely notice of a conversion or continuation is provided by the applicable Borrower, the Administrative Agent shall notify each Appropriate Lender of the details of any automatic conversion to Base Rate Loans or continuation of Loans denominated in a currency other than Dollars, in each case as described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In the case of a Revolving Borrowing, each Appropriate Lender shall make the amount of its Revolving Loan available to the Administrative Agent in Same Day Funds at the Administrative Agent’s Office for the applicable currency not later than 1:00 p.m., in the case of any Revolving Loan denominated in Dollars, and not later than the Applicable Time specified by the Administrative Agent in the case of any Alternative Currency Loan,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Revolving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if applicable,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the Administrative Agent shall make all funds so received available to the applicable Borrower in like funds as received by the Administrative Agent either by (i) crediting the account of the applicable Borrower on the books of Bank of America with the amount of such funds or (ii) wire transfer of such funds, in each case in accordance with instructions provided to (and reasonably acceptable to) the Administrative Agent by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the date a Loan Notice with respect to a Revolving Borrowing is given by the applicable Borrower, there are L/C Borrowings outstanding, then the proceeds of such Revolving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shall be made available to the applicable Borrower as provided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Revolving Borrowing by a Designated Foreign Borrower shall be used to pay any L/C Borrowings of or attributable to any U.S. Loan Party (or any other Domestic Subsidiary).</w:t>
      </w:r>
    </w:p>
    <w:p>
      <w:pPr>
        <w:spacing w:after="0" w:line="156" w:lineRule="exact"/>
        <w:rPr>
          <w:rFonts w:ascii="Arial" w:cs="Arial" w:eastAsia="Arial" w:hAnsi="Arial"/>
          <w:sz w:val="18"/>
          <w:szCs w:val="18"/>
          <w:color w:val="auto"/>
        </w:rPr>
      </w:pPr>
    </w:p>
    <w:p>
      <w:pPr>
        <w:jc w:val="both"/>
        <w:ind w:left="660" w:firstLine="644"/>
        <w:spacing w:after="0" w:line="229" w:lineRule="auto"/>
        <w:tabs>
          <w:tab w:leader="none" w:pos="194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 SOFR Loans; Alternative Currency Term Rate Loans</w:t>
      </w:r>
      <w:r>
        <w:rPr>
          <w:rFonts w:ascii="Arial" w:cs="Arial" w:eastAsia="Arial" w:hAnsi="Arial"/>
          <w:sz w:val="18"/>
          <w:szCs w:val="18"/>
          <w:color w:val="auto"/>
        </w:rPr>
        <w:t>. Except as otherwise provided herein, a Term SOFR Loan or an Alternative Currency Term Rate Loan may be continued or converted only on the last day of an Interest Period for such Loan. During the existence of an Event of Default, no Loans may be requested as, converted to or continued as Term SOFR Loans or Alternative Currency Term Rate Loans, in each case, without the consent of the Required Lenders, and the Required Lenders may demand that any or all of the outstanding Term SOFR Loans denominated in Dollars be converted immediately to Base Rate Loans and any or all of the then outstanding Alternative Currency Term Rate Loans be prepaid, or redenominated into Dollars in the amount of the Dollar Equivalent thereof, on the last day of the then current Interest Period with respect thereto.</w:t>
      </w:r>
    </w:p>
    <w:p>
      <w:pPr>
        <w:spacing w:after="0" w:line="156" w:lineRule="exact"/>
        <w:rPr>
          <w:rFonts w:ascii="Arial" w:cs="Arial" w:eastAsia="Arial" w:hAnsi="Arial"/>
          <w:sz w:val="18"/>
          <w:szCs w:val="18"/>
          <w:color w:val="auto"/>
        </w:rPr>
      </w:pPr>
    </w:p>
    <w:p>
      <w:pPr>
        <w:ind w:left="660" w:firstLine="644"/>
        <w:spacing w:after="0" w:line="242"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Interest Rates</w:t>
      </w:r>
      <w:r>
        <w:rPr>
          <w:rFonts w:ascii="Arial" w:cs="Arial" w:eastAsia="Arial" w:hAnsi="Arial"/>
          <w:sz w:val="19"/>
          <w:szCs w:val="19"/>
          <w:color w:val="auto"/>
        </w:rPr>
        <w:t>. Each determination of an interest rate by the Administrative Agent pursuant to any provision of this Agreement shall be conclusive and binding on the Borrowers and the Lenders in the absence of manifest error.</w:t>
      </w:r>
    </w:p>
    <w:p>
      <w:pPr>
        <w:spacing w:after="0" w:line="153" w:lineRule="exact"/>
        <w:rPr>
          <w:rFonts w:ascii="Arial" w:cs="Arial" w:eastAsia="Arial" w:hAnsi="Arial"/>
          <w:sz w:val="19"/>
          <w:szCs w:val="19"/>
          <w:color w:val="auto"/>
        </w:rPr>
      </w:pPr>
    </w:p>
    <w:p>
      <w:pPr>
        <w:jc w:val="both"/>
        <w:ind w:left="660" w:firstLine="644"/>
        <w:spacing w:after="0" w:line="244" w:lineRule="auto"/>
        <w:tabs>
          <w:tab w:leader="none" w:pos="194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Interest Periods</w:t>
      </w:r>
      <w:r>
        <w:rPr>
          <w:rFonts w:ascii="Arial" w:cs="Arial" w:eastAsia="Arial" w:hAnsi="Arial"/>
          <w:sz w:val="18"/>
          <w:szCs w:val="18"/>
          <w:color w:val="auto"/>
        </w:rPr>
        <w:t>. After giving effect to all Revolving Borrowings, all conversions of Term SOFR Loans to Base Rate Loans, all conversions of Base Rate Loans to Term SOFR Loans, all continuations of Term SOFR Loans, and all continuations of Alternative Currency Term Rate Loans, there shall not be more than ten (10) Interest Periods in effect under this Agreement.</w:t>
      </w:r>
    </w:p>
    <w:p>
      <w:pPr>
        <w:spacing w:after="0" w:line="151" w:lineRule="exact"/>
        <w:rPr>
          <w:rFonts w:ascii="Arial" w:cs="Arial" w:eastAsia="Arial" w:hAnsi="Arial"/>
          <w:sz w:val="18"/>
          <w:szCs w:val="18"/>
          <w:color w:val="auto"/>
        </w:rPr>
      </w:pPr>
    </w:p>
    <w:p>
      <w:pPr>
        <w:jc w:val="both"/>
        <w:ind w:left="660" w:firstLine="644"/>
        <w:spacing w:after="0" w:line="218" w:lineRule="auto"/>
        <w:tabs>
          <w:tab w:leader="none" w:pos="1951"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Cashless Settlement Mechanism</w:t>
      </w:r>
      <w:r>
        <w:rPr>
          <w:rFonts w:ascii="Arial" w:cs="Arial" w:eastAsia="Arial" w:hAnsi="Arial"/>
          <w:sz w:val="20"/>
          <w:szCs w:val="20"/>
          <w:color w:val="auto"/>
        </w:rPr>
        <w:t>. Notwithstanding anything to the contrary in this Agreement, any Lender may exchange, continue or rollover all or a portion of its Loans in connection with any refinancing, extension, incremental increase, loan modification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1405" w:right="339" w:bottom="1440" w:gutter="0" w:footer="0" w:header="0"/>
        </w:sectPr>
      </w:pPr>
    </w:p>
    <w:bookmarkStart w:id="94" w:name="page95"/>
    <w:bookmarkEnd w:id="94"/>
    <w:p>
      <w:pPr>
        <w:ind w:left="729"/>
        <w:spacing w:after="0" w:line="229" w:lineRule="auto"/>
        <w:rPr>
          <w:sz w:val="20"/>
          <w:szCs w:val="20"/>
          <w:color w:val="auto"/>
        </w:rPr>
      </w:pPr>
      <w:r>
        <w:rPr>
          <w:rFonts w:ascii="Arial" w:cs="Arial" w:eastAsia="Arial" w:hAnsi="Arial"/>
          <w:sz w:val="20"/>
          <w:szCs w:val="20"/>
          <w:color w:val="auto"/>
        </w:rPr>
        <w:t>transaction permitted by the terms of this Agreement, pursuant to a cashless settlement mechanism approved by the Company, the Administrative Agent and such Lender.</w:t>
      </w:r>
    </w:p>
    <w:p>
      <w:pPr>
        <w:spacing w:after="0" w:line="149" w:lineRule="exact"/>
        <w:rPr>
          <w:sz w:val="20"/>
          <w:szCs w:val="20"/>
          <w:color w:val="auto"/>
        </w:rPr>
      </w:pPr>
    </w:p>
    <w:p>
      <w:pPr>
        <w:ind w:left="289" w:hanging="289"/>
        <w:spacing w:after="0"/>
        <w:tabs>
          <w:tab w:leader="none" w:pos="289"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Letters of Credit</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color w:val="auto"/>
        </w:rPr>
      </w:pPr>
    </w:p>
    <w:p>
      <w:pPr>
        <w:ind w:left="2009" w:hanging="636"/>
        <w:spacing w:after="0"/>
        <w:tabs>
          <w:tab w:leader="none" w:pos="2009"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69" w:firstLine="652"/>
        <w:spacing w:after="0" w:line="221" w:lineRule="auto"/>
        <w:tabs>
          <w:tab w:leader="none" w:pos="2662"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each L/C Issuer agrees, in reliance upon the agreements of the Revolving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Availability Period and until the applicable Letter of Credit Expiration Date, to issue Letters of Credit denominated in Dollars or, to the extent issued by the Alternative Currency L/C Issuer, in one or more Alternative Currencies for the account of any Borrower or any of its Restricted Subsidiaries, and to amend or extend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and (2) to honor drawings under the Letters of Credit; and (B) the Revolving Lenders severally agree to participate in Letters of Credit issued for the account of any Borrower or its Restricted 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w:t>
      </w:r>
    </w:p>
    <w:p>
      <w:pPr>
        <w:spacing w:after="0" w:line="3" w:lineRule="exact"/>
        <w:rPr>
          <w:rFonts w:ascii="Arial" w:cs="Arial" w:eastAsia="Arial" w:hAnsi="Arial"/>
          <w:sz w:val="18"/>
          <w:szCs w:val="18"/>
          <w:color w:val="auto"/>
        </w:rPr>
      </w:pPr>
    </w:p>
    <w:p>
      <w:pPr>
        <w:jc w:val="both"/>
        <w:ind w:left="1369" w:firstLine="4"/>
        <w:spacing w:after="0" w:line="223" w:lineRule="auto"/>
        <w:tabs>
          <w:tab w:leader="none" w:pos="1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the Total Revolving Outstandings shall not exceed the Aggregate Revolving Commitments, (y) the Revolving Exposure of any Revolving Lender shall not exceed such Lender’s Revolving Commitment and (z) the Outstanding Amount of the L/C Obligations shall not exceed the Letter of Credit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Letter of Credit denominated in any Alternative Currency may be issued by any L/C Issuer other than the Alternative Currency L/C Issuer.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in accordance with the terms hereof. All Existing Letters of Credit shall be deemed to have been issued pursuant hereto and deemed L/C Obligations, and from and after the Closing Date shall be subject to and governed by the terms and conditions hereof.</w:t>
      </w:r>
    </w:p>
    <w:p>
      <w:pPr>
        <w:spacing w:after="0" w:line="163" w:lineRule="exact"/>
        <w:rPr>
          <w:rFonts w:ascii="Arial" w:cs="Arial" w:eastAsia="Arial" w:hAnsi="Arial"/>
          <w:sz w:val="18"/>
          <w:szCs w:val="18"/>
          <w:color w:val="auto"/>
        </w:rPr>
      </w:pPr>
    </w:p>
    <w:p>
      <w:pPr>
        <w:ind w:left="2669" w:hanging="648"/>
        <w:spacing w:after="0"/>
        <w:tabs>
          <w:tab w:leader="none" w:pos="2669" w:val="left"/>
        </w:tabs>
        <w:numPr>
          <w:ilvl w:val="2"/>
          <w:numId w:val="55"/>
        </w:numPr>
        <w:rPr>
          <w:rFonts w:ascii="Arial" w:cs="Arial" w:eastAsia="Arial" w:hAnsi="Arial"/>
          <w:sz w:val="20"/>
          <w:szCs w:val="20"/>
          <w:color w:val="auto"/>
        </w:rPr>
      </w:pPr>
      <w:r>
        <w:rPr>
          <w:rFonts w:ascii="Arial" w:cs="Arial" w:eastAsia="Arial" w:hAnsi="Arial"/>
          <w:sz w:val="20"/>
          <w:szCs w:val="20"/>
          <w:color w:val="auto"/>
        </w:rPr>
        <w:t>No L/C Issuer shall issue any Letter of Credit if:</w:t>
      </w:r>
    </w:p>
    <w:p>
      <w:pPr>
        <w:spacing w:after="0" w:line="188" w:lineRule="exact"/>
        <w:rPr>
          <w:rFonts w:ascii="Arial" w:cs="Arial" w:eastAsia="Arial" w:hAnsi="Arial"/>
          <w:sz w:val="20"/>
          <w:szCs w:val="20"/>
          <w:color w:val="auto"/>
        </w:rPr>
      </w:pPr>
    </w:p>
    <w:p>
      <w:pPr>
        <w:jc w:val="both"/>
        <w:ind w:left="2029" w:firstLine="640"/>
        <w:spacing w:after="0" w:line="216" w:lineRule="auto"/>
        <w:tabs>
          <w:tab w:leader="none" w:pos="3314" w:val="left"/>
        </w:tabs>
        <w:numPr>
          <w:ilvl w:val="3"/>
          <w:numId w:val="55"/>
        </w:numPr>
        <w:rPr>
          <w:rFonts w:ascii="Arial" w:cs="Arial" w:eastAsia="Arial" w:hAnsi="Arial"/>
          <w:sz w:val="22"/>
          <w:szCs w:val="22"/>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2.03(b)(iv)</w:t>
      </w:r>
      <w:r>
        <w:rPr>
          <w:rFonts w:ascii="Arial" w:cs="Arial" w:eastAsia="Arial" w:hAnsi="Arial"/>
          <w:sz w:val="20"/>
          <w:szCs w:val="20"/>
          <w:color w:val="auto"/>
        </w:rPr>
        <w:t>, the expiry date of the requested Letter of Credit would occur more than twelve (12) months after the date of issuance or last extension, unless the Administrative Agent and such L/C Issuer have approved such expiry date; or</w:t>
      </w:r>
    </w:p>
    <w:p>
      <w:pPr>
        <w:spacing w:after="0" w:line="168" w:lineRule="exact"/>
        <w:rPr>
          <w:rFonts w:ascii="Arial" w:cs="Arial" w:eastAsia="Arial" w:hAnsi="Arial"/>
          <w:sz w:val="22"/>
          <w:szCs w:val="22"/>
          <w:color w:val="auto"/>
        </w:rPr>
      </w:pPr>
    </w:p>
    <w:p>
      <w:pPr>
        <w:jc w:val="both"/>
        <w:ind w:left="2029" w:firstLine="640"/>
        <w:spacing w:after="0" w:line="233" w:lineRule="auto"/>
        <w:tabs>
          <w:tab w:leader="none" w:pos="3316" w:val="left"/>
        </w:tabs>
        <w:numPr>
          <w:ilvl w:val="3"/>
          <w:numId w:val="55"/>
        </w:numPr>
        <w:rPr>
          <w:rFonts w:ascii="Arial" w:cs="Arial" w:eastAsia="Arial" w:hAnsi="Arial"/>
          <w:sz w:val="19"/>
          <w:szCs w:val="19"/>
          <w:color w:val="auto"/>
        </w:rPr>
      </w:pPr>
      <w:r>
        <w:rPr>
          <w:rFonts w:ascii="Arial" w:cs="Arial" w:eastAsia="Arial" w:hAnsi="Arial"/>
          <w:sz w:val="18"/>
          <w:szCs w:val="18"/>
          <w:color w:val="auto"/>
        </w:rPr>
        <w:t xml:space="preserve">the expiry date of such requested Letter of Credit would occur after the Letter of Credit Expiration Date, unless the Administrative Agent and such L/C Issuer have approved such expiry date (it being understood that in the event the expiry date of any requested Letter of Credit would occur after the Letter of Credit Expiration Date, from and after the Letter of Credit Expiration Date, the Borrowers shall immediately Cash Collateralize the then Outstanding Amount of all L/C Obligations in respect of such Letters of Credit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58" w:lineRule="exact"/>
        <w:rPr>
          <w:rFonts w:ascii="Arial" w:cs="Arial" w:eastAsia="Arial" w:hAnsi="Arial"/>
          <w:sz w:val="19"/>
          <w:szCs w:val="19"/>
          <w:color w:val="auto"/>
        </w:rPr>
      </w:pPr>
    </w:p>
    <w:p>
      <w:pPr>
        <w:ind w:left="2669" w:hanging="648"/>
        <w:spacing w:after="0"/>
        <w:tabs>
          <w:tab w:leader="none" w:pos="2669" w:val="left"/>
        </w:tabs>
        <w:numPr>
          <w:ilvl w:val="2"/>
          <w:numId w:val="55"/>
        </w:numPr>
        <w:rPr>
          <w:rFonts w:ascii="Arial" w:cs="Arial" w:eastAsia="Arial" w:hAnsi="Arial"/>
          <w:sz w:val="20"/>
          <w:szCs w:val="20"/>
          <w:color w:val="auto"/>
        </w:rPr>
      </w:pPr>
      <w:r>
        <w:rPr>
          <w:rFonts w:ascii="Arial" w:cs="Arial" w:eastAsia="Arial" w:hAnsi="Arial"/>
          <w:sz w:val="20"/>
          <w:szCs w:val="20"/>
          <w:color w:val="auto"/>
        </w:rPr>
        <w:t>No L/C Issuer shall be under any obligation to issue any Letter of Credit if:</w:t>
      </w:r>
    </w:p>
    <w:p>
      <w:pPr>
        <w:spacing w:after="0" w:line="188" w:lineRule="exact"/>
        <w:rPr>
          <w:rFonts w:ascii="Arial" w:cs="Arial" w:eastAsia="Arial" w:hAnsi="Arial"/>
          <w:sz w:val="20"/>
          <w:szCs w:val="20"/>
          <w:color w:val="auto"/>
        </w:rPr>
      </w:pPr>
    </w:p>
    <w:p>
      <w:pPr>
        <w:ind w:left="2029" w:firstLine="640"/>
        <w:spacing w:after="0" w:line="225" w:lineRule="auto"/>
        <w:tabs>
          <w:tab w:leader="none" w:pos="3314" w:val="left"/>
        </w:tabs>
        <w:numPr>
          <w:ilvl w:val="3"/>
          <w:numId w:val="55"/>
        </w:numPr>
        <w:rPr>
          <w:rFonts w:ascii="Arial" w:cs="Arial" w:eastAsia="Arial" w:hAnsi="Arial"/>
          <w:sz w:val="22"/>
          <w:szCs w:val="22"/>
          <w:color w:val="auto"/>
        </w:rPr>
      </w:pPr>
      <w:r>
        <w:rPr>
          <w:rFonts w:ascii="Arial" w:cs="Arial" w:eastAsia="Arial" w:hAnsi="Arial"/>
          <w:sz w:val="20"/>
          <w:szCs w:val="20"/>
          <w:color w:val="auto"/>
        </w:rPr>
        <w:t>any order, judgment or decree of any Governmental Authority or arbitrator shall by its terms purport to enjoin or restrain such L/C Issuer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09"/>
          </w:cols>
          <w:pgMar w:left="251" w:top="1405" w:right="339" w:bottom="1440" w:gutter="0" w:footer="0" w:header="0"/>
        </w:sectPr>
      </w:pPr>
    </w:p>
    <w:bookmarkStart w:id="95" w:name="page96"/>
    <w:bookmarkEnd w:id="95"/>
    <w:p>
      <w:pPr>
        <w:jc w:val="both"/>
        <w:ind w:left="1960"/>
        <w:spacing w:after="0" w:line="217" w:lineRule="auto"/>
        <w:rPr>
          <w:sz w:val="20"/>
          <w:szCs w:val="20"/>
          <w:color w:val="auto"/>
        </w:rPr>
      </w:pPr>
      <w:r>
        <w:rPr>
          <w:rFonts w:ascii="Arial" w:cs="Arial" w:eastAsia="Arial" w:hAnsi="Arial"/>
          <w:sz w:val="19"/>
          <w:szCs w:val="19"/>
          <w:color w:val="auto"/>
        </w:rPr>
        <w:t>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70" w:lineRule="exact"/>
        <w:rPr>
          <w:sz w:val="20"/>
          <w:szCs w:val="20"/>
          <w:color w:val="auto"/>
        </w:rPr>
      </w:pPr>
    </w:p>
    <w:p>
      <w:pPr>
        <w:ind w:left="1960" w:firstLine="640"/>
        <w:spacing w:after="0" w:line="225" w:lineRule="auto"/>
        <w:tabs>
          <w:tab w:leader="none" w:pos="3247" w:val="left"/>
        </w:tabs>
        <w:numPr>
          <w:ilvl w:val="1"/>
          <w:numId w:val="56"/>
        </w:numPr>
        <w:rPr>
          <w:rFonts w:ascii="Arial" w:cs="Arial" w:eastAsia="Arial" w:hAnsi="Arial"/>
          <w:sz w:val="22"/>
          <w:szCs w:val="22"/>
          <w:color w:val="auto"/>
        </w:rPr>
      </w:pPr>
      <w:r>
        <w:rPr>
          <w:rFonts w:ascii="Arial" w:cs="Arial" w:eastAsia="Arial" w:hAnsi="Arial"/>
          <w:sz w:val="20"/>
          <w:szCs w:val="20"/>
          <w:color w:val="auto"/>
        </w:rPr>
        <w:t>the issuance of the Letter of Credit would violate one or more policies of such L/C Issuer applicable to letters of credit generally;</w:t>
      </w:r>
    </w:p>
    <w:p>
      <w:pPr>
        <w:spacing w:after="0" w:line="168" w:lineRule="exact"/>
        <w:rPr>
          <w:rFonts w:ascii="Arial" w:cs="Arial" w:eastAsia="Arial" w:hAnsi="Arial"/>
          <w:sz w:val="22"/>
          <w:szCs w:val="22"/>
          <w:color w:val="auto"/>
        </w:rPr>
      </w:pPr>
    </w:p>
    <w:p>
      <w:pPr>
        <w:ind w:left="1960" w:right="20" w:firstLine="640"/>
        <w:spacing w:after="0" w:line="225" w:lineRule="auto"/>
        <w:tabs>
          <w:tab w:leader="none" w:pos="3247" w:val="left"/>
        </w:tabs>
        <w:numPr>
          <w:ilvl w:val="1"/>
          <w:numId w:val="56"/>
        </w:numPr>
        <w:rPr>
          <w:rFonts w:ascii="Arial" w:cs="Arial" w:eastAsia="Arial" w:hAnsi="Arial"/>
          <w:sz w:val="22"/>
          <w:szCs w:val="22"/>
          <w:color w:val="auto"/>
        </w:rPr>
      </w:pPr>
      <w:r>
        <w:rPr>
          <w:rFonts w:ascii="Arial" w:cs="Arial" w:eastAsia="Arial" w:hAnsi="Arial"/>
          <w:sz w:val="20"/>
          <w:szCs w:val="20"/>
          <w:color w:val="auto"/>
        </w:rPr>
        <w:t>except as otherwise agreed by the Administrative Agent and such L/C Issuer, the Letter of Credit is in an initial stated amount less than $50,000;</w:t>
      </w:r>
    </w:p>
    <w:p>
      <w:pPr>
        <w:spacing w:after="0" w:line="168" w:lineRule="exact"/>
        <w:rPr>
          <w:rFonts w:ascii="Arial" w:cs="Arial" w:eastAsia="Arial" w:hAnsi="Arial"/>
          <w:sz w:val="22"/>
          <w:szCs w:val="22"/>
          <w:color w:val="auto"/>
        </w:rPr>
      </w:pPr>
    </w:p>
    <w:p>
      <w:pPr>
        <w:ind w:left="1960" w:right="20" w:firstLine="640"/>
        <w:spacing w:after="0" w:line="225" w:lineRule="auto"/>
        <w:tabs>
          <w:tab w:leader="none" w:pos="3245" w:val="left"/>
        </w:tabs>
        <w:numPr>
          <w:ilvl w:val="1"/>
          <w:numId w:val="56"/>
        </w:numPr>
        <w:rPr>
          <w:rFonts w:ascii="Arial" w:cs="Arial" w:eastAsia="Arial" w:hAnsi="Arial"/>
          <w:sz w:val="22"/>
          <w:szCs w:val="22"/>
          <w:color w:val="auto"/>
        </w:rPr>
      </w:pPr>
      <w:r>
        <w:rPr>
          <w:rFonts w:ascii="Arial" w:cs="Arial" w:eastAsia="Arial" w:hAnsi="Arial"/>
          <w:sz w:val="20"/>
          <w:szCs w:val="20"/>
          <w:color w:val="auto"/>
        </w:rPr>
        <w:t>except as otherwise agreed by the Administrative Agent and such L/C Issuer, the Letter of Credit is to be denominated in a currency other than Dollars or an Alternative Currency;</w:t>
      </w:r>
    </w:p>
    <w:p>
      <w:pPr>
        <w:spacing w:after="0" w:line="168" w:lineRule="exact"/>
        <w:rPr>
          <w:rFonts w:ascii="Arial" w:cs="Arial" w:eastAsia="Arial" w:hAnsi="Arial"/>
          <w:sz w:val="22"/>
          <w:szCs w:val="22"/>
          <w:color w:val="auto"/>
        </w:rPr>
      </w:pPr>
    </w:p>
    <w:p>
      <w:pPr>
        <w:jc w:val="both"/>
        <w:ind w:left="1960" w:firstLine="640"/>
        <w:spacing w:after="0" w:line="231" w:lineRule="auto"/>
        <w:tabs>
          <w:tab w:leader="none" w:pos="3248" w:val="left"/>
        </w:tabs>
        <w:numPr>
          <w:ilvl w:val="1"/>
          <w:numId w:val="56"/>
        </w:numPr>
        <w:rPr>
          <w:rFonts w:ascii="Arial" w:cs="Arial" w:eastAsia="Arial" w:hAnsi="Arial"/>
          <w:sz w:val="19"/>
          <w:szCs w:val="19"/>
          <w:color w:val="auto"/>
        </w:rPr>
      </w:pPr>
      <w:r>
        <w:rPr>
          <w:rFonts w:ascii="Arial" w:cs="Arial" w:eastAsia="Arial" w:hAnsi="Arial"/>
          <w:sz w:val="18"/>
          <w:szCs w:val="18"/>
          <w:color w:val="auto"/>
        </w:rPr>
        <w:t xml:space="preserve">any Revolving Lender is at that time a Defaulting Lender, unless such L/C Issuer has entered into arrangements, including the delivery of Cash Collateral, satisfactory to such L/C Issuer (in its sole discretion) with the applicable Borrowers or such Revolving Lender to eliminate such L/C Issuer’s actual or potential Fronting Exposure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70" w:lineRule="exact"/>
        <w:rPr>
          <w:rFonts w:ascii="Arial" w:cs="Arial" w:eastAsia="Arial" w:hAnsi="Arial"/>
          <w:sz w:val="19"/>
          <w:szCs w:val="19"/>
          <w:color w:val="auto"/>
        </w:rPr>
      </w:pPr>
    </w:p>
    <w:p>
      <w:pPr>
        <w:ind w:left="1960" w:firstLine="640"/>
        <w:spacing w:after="0" w:line="225" w:lineRule="auto"/>
        <w:tabs>
          <w:tab w:leader="none" w:pos="3250" w:val="left"/>
        </w:tabs>
        <w:numPr>
          <w:ilvl w:val="1"/>
          <w:numId w:val="56"/>
        </w:numPr>
        <w:rPr>
          <w:rFonts w:ascii="Arial" w:cs="Arial" w:eastAsia="Arial" w:hAnsi="Arial"/>
          <w:sz w:val="22"/>
          <w:szCs w:val="22"/>
          <w:color w:val="auto"/>
        </w:rPr>
      </w:pPr>
      <w:r>
        <w:rPr>
          <w:rFonts w:ascii="Arial" w:cs="Arial" w:eastAsia="Arial" w:hAnsi="Arial"/>
          <w:sz w:val="20"/>
          <w:szCs w:val="20"/>
          <w:color w:val="auto"/>
        </w:rPr>
        <w:t>the Letter of Credit contains any provisions for automatic reinstatement of the stated amount after any drawing thereunder;</w:t>
      </w:r>
    </w:p>
    <w:p>
      <w:pPr>
        <w:spacing w:after="0" w:line="168" w:lineRule="exact"/>
        <w:rPr>
          <w:rFonts w:ascii="Arial" w:cs="Arial" w:eastAsia="Arial" w:hAnsi="Arial"/>
          <w:sz w:val="22"/>
          <w:szCs w:val="22"/>
          <w:color w:val="auto"/>
        </w:rPr>
      </w:pPr>
    </w:p>
    <w:p>
      <w:pPr>
        <w:ind w:left="1960" w:right="20" w:firstLine="640"/>
        <w:spacing w:after="0" w:line="225" w:lineRule="auto"/>
        <w:tabs>
          <w:tab w:leader="none" w:pos="3245" w:val="left"/>
        </w:tabs>
        <w:numPr>
          <w:ilvl w:val="1"/>
          <w:numId w:val="56"/>
        </w:numPr>
        <w:rPr>
          <w:rFonts w:ascii="Arial" w:cs="Arial" w:eastAsia="Arial" w:hAnsi="Arial"/>
          <w:sz w:val="22"/>
          <w:szCs w:val="22"/>
          <w:color w:val="auto"/>
        </w:rPr>
      </w:pPr>
      <w:r>
        <w:rPr>
          <w:rFonts w:ascii="Arial" w:cs="Arial" w:eastAsia="Arial" w:hAnsi="Arial"/>
          <w:sz w:val="20"/>
          <w:szCs w:val="20"/>
          <w:color w:val="auto"/>
        </w:rPr>
        <w:t>such L/C Issuer does not as of the issuance date of the requested Letter of Credit issue Letters of Credit in the requested currency; or</w:t>
      </w:r>
    </w:p>
    <w:p>
      <w:pPr>
        <w:spacing w:after="0" w:line="165" w:lineRule="exact"/>
        <w:rPr>
          <w:rFonts w:ascii="Arial" w:cs="Arial" w:eastAsia="Arial" w:hAnsi="Arial"/>
          <w:sz w:val="22"/>
          <w:szCs w:val="22"/>
          <w:color w:val="auto"/>
        </w:rPr>
      </w:pPr>
    </w:p>
    <w:p>
      <w:pPr>
        <w:ind w:left="3240" w:hanging="640"/>
        <w:spacing w:after="0"/>
        <w:tabs>
          <w:tab w:leader="none" w:pos="3240" w:val="left"/>
        </w:tabs>
        <w:numPr>
          <w:ilvl w:val="1"/>
          <w:numId w:val="56"/>
        </w:numPr>
        <w:rPr>
          <w:rFonts w:ascii="Arial" w:cs="Arial" w:eastAsia="Arial" w:hAnsi="Arial"/>
          <w:sz w:val="22"/>
          <w:szCs w:val="22"/>
          <w:color w:val="auto"/>
        </w:rPr>
      </w:pPr>
      <w:r>
        <w:rPr>
          <w:rFonts w:ascii="Arial" w:cs="Arial" w:eastAsia="Arial" w:hAnsi="Arial"/>
          <w:sz w:val="20"/>
          <w:szCs w:val="20"/>
          <w:color w:val="auto"/>
        </w:rPr>
        <w:t>the requested Letter of Credit is to be issued for the benefit of an Irish beneficiary.</w:t>
      </w:r>
    </w:p>
    <w:p>
      <w:pPr>
        <w:spacing w:after="0" w:line="168" w:lineRule="exact"/>
        <w:rPr>
          <w:rFonts w:ascii="Arial" w:cs="Arial" w:eastAsia="Arial" w:hAnsi="Arial"/>
          <w:sz w:val="22"/>
          <w:szCs w:val="22"/>
          <w:color w:val="auto"/>
        </w:rPr>
      </w:pPr>
    </w:p>
    <w:p>
      <w:pPr>
        <w:ind w:left="1300" w:firstLine="652"/>
        <w:spacing w:after="0" w:line="229" w:lineRule="auto"/>
        <w:tabs>
          <w:tab w:leader="none" w:pos="2585"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 L/C Issuer shall amend any Letter of Credit if such L/C Issuer would not be permitted at such time to issue the Letter of Credit in its amended form under the terms hereof.</w:t>
      </w:r>
    </w:p>
    <w:p>
      <w:pPr>
        <w:spacing w:after="0" w:line="155" w:lineRule="exact"/>
        <w:rPr>
          <w:rFonts w:ascii="Arial" w:cs="Arial" w:eastAsia="Arial" w:hAnsi="Arial"/>
          <w:sz w:val="20"/>
          <w:szCs w:val="20"/>
          <w:color w:val="auto"/>
        </w:rPr>
      </w:pPr>
    </w:p>
    <w:p>
      <w:pPr>
        <w:jc w:val="both"/>
        <w:ind w:left="1300" w:firstLine="652"/>
        <w:spacing w:after="0" w:line="218" w:lineRule="auto"/>
        <w:tabs>
          <w:tab w:leader="none" w:pos="2584"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the Letter of Credit.</w:t>
      </w:r>
    </w:p>
    <w:p>
      <w:pPr>
        <w:spacing w:after="0" w:line="156" w:lineRule="exact"/>
        <w:rPr>
          <w:rFonts w:ascii="Arial" w:cs="Arial" w:eastAsia="Arial" w:hAnsi="Arial"/>
          <w:sz w:val="20"/>
          <w:szCs w:val="20"/>
          <w:color w:val="auto"/>
        </w:rPr>
      </w:pPr>
    </w:p>
    <w:p>
      <w:pPr>
        <w:jc w:val="both"/>
        <w:ind w:left="1300" w:firstLine="652"/>
        <w:spacing w:after="0" w:line="210" w:lineRule="auto"/>
        <w:tabs>
          <w:tab w:leader="none" w:pos="2585"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Each L/C Issuer shall act on behalf of the Revolving Lenders with respect to any Letters of Credit issued by it and the documents associated therewith, and such L/C Issuer shall have all of the benefits and immunities (A)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1405" w:right="339" w:bottom="1440" w:gutter="0" w:footer="0" w:header="0"/>
        </w:sectPr>
      </w:pPr>
    </w:p>
    <w:bookmarkStart w:id="96" w:name="page97"/>
    <w:bookmarkEnd w:id="96"/>
    <w:p>
      <w:pPr>
        <w:ind w:left="1300"/>
        <w:spacing w:after="0" w:line="229" w:lineRule="auto"/>
        <w:rPr>
          <w:sz w:val="20"/>
          <w:szCs w:val="20"/>
          <w:color w:val="auto"/>
        </w:rPr>
      </w:pPr>
      <w:r>
        <w:rPr>
          <w:rFonts w:ascii="Arial" w:cs="Arial" w:eastAsia="Arial" w:hAnsi="Arial"/>
          <w:sz w:val="20"/>
          <w:szCs w:val="20"/>
          <w:color w:val="auto"/>
        </w:rPr>
        <w:t xml:space="preserve">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such L/C Issuer with respect to such acts or omissions, and (B) as additionally provided herein with respect to the L/C Issuers.</w:t>
      </w:r>
    </w:p>
    <w:p>
      <w:pPr>
        <w:spacing w:after="0" w:line="155" w:lineRule="exact"/>
        <w:rPr>
          <w:sz w:val="20"/>
          <w:szCs w:val="20"/>
          <w:color w:val="auto"/>
        </w:rPr>
      </w:pPr>
    </w:p>
    <w:p>
      <w:pPr>
        <w:ind w:left="1400" w:hanging="420"/>
        <w:spacing w:after="0"/>
        <w:tabs>
          <w:tab w:leader="none" w:pos="1400" w:val="left"/>
        </w:tabs>
        <w:numPr>
          <w:ilvl w:val="0"/>
          <w:numId w:val="5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left="660" w:firstLine="968"/>
        <w:spacing w:after="0" w:line="222" w:lineRule="auto"/>
        <w:tabs>
          <w:tab w:leader="none" w:pos="2055"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a Borrower delivered to the applicable L/C Issuer (with a copy to the Administrative Agent) in the form of a Letter of Credit Application, appropriately completed and signed by a Responsible Officer of such Borrower and/or its Restricted Subsidiary, as required by such L/C Issuer. Such Letter of Credit Application may be sent by facsimile, by mail, by overnight courier, by electronic transmission using the system provided by the applicable L/C Issuer, by personal delivery or by any other means reasonably acceptable to such L/C Issuer. Such Letter of Credit Application must be received by the applicable L/C Issuer and the Administrative Agent not later than 11:00 a.m. at least five (5)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reasonably require. In the case of a request for an amendment of any outstanding Letter of Credit, such Letter of Credit Application shall specify in form and detail reasonably satisfactory to the applicable L/C Issuer: (1) the Letter of Credit to be amended; (2) the proposed date of amendment thereof (which shall be a Business Day); (3) the nature of the proposed amendment; and (4) such other matters as such L/C Issuer may require. Additionally, the Borrowers shall furnish to the applicable L/C Issuer and the Administrative Agent such other documents and information pertaining to such requested Letter of Credit issuance or amendment, including any Issuer Documents, as such L/C Issuer or the Administrative Agent may require.</w:t>
      </w:r>
    </w:p>
    <w:p>
      <w:pPr>
        <w:spacing w:after="0" w:line="166" w:lineRule="exact"/>
        <w:rPr>
          <w:rFonts w:ascii="Arial" w:cs="Arial" w:eastAsia="Arial" w:hAnsi="Arial"/>
          <w:sz w:val="18"/>
          <w:szCs w:val="18"/>
          <w:color w:val="auto"/>
        </w:rPr>
      </w:pPr>
    </w:p>
    <w:p>
      <w:pPr>
        <w:jc w:val="both"/>
        <w:ind w:left="660" w:firstLine="968"/>
        <w:spacing w:after="0" w:line="213" w:lineRule="auto"/>
        <w:tabs>
          <w:tab w:leader="none" w:pos="2234"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applicable Borrower and, if not, such L/C Issuer will provide the Administrative Agent with a copy thereof. Unless the applicable L/C Issuer has received written notice from any Revolving Lender, the Administrative Agent or any Loan Party, at least one (1)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then, subject to the terms and conditions hereof, such L/C Issuer shall, on the requested date, issue a Letter of Credit for the account of the applicable Borrower (or its applicable Restricted Subsidiary) or enter into the applicable amendment, as the case may be, in each case in accordance with such L/C Issuer’s usual and customary business practices. Immediately upon the issuance of each Letter of Credit, each Revolving Lender shall be deemed to, and hereby irrevocably and unconditionally agrees to, purchase from the applicable L/C Issuer a risk participation in such Letter of Credit in an amount equal to the Dollar Equivalent of the product of such Revolving Lender’s Applicable Percentage times the amount of such Letter of Credit.</w:t>
      </w:r>
    </w:p>
    <w:p>
      <w:pPr>
        <w:spacing w:after="0" w:line="157" w:lineRule="exact"/>
        <w:rPr>
          <w:rFonts w:ascii="Arial" w:cs="Arial" w:eastAsia="Arial" w:hAnsi="Arial"/>
          <w:sz w:val="19"/>
          <w:szCs w:val="19"/>
          <w:color w:val="auto"/>
        </w:rPr>
      </w:pPr>
    </w:p>
    <w:p>
      <w:pPr>
        <w:jc w:val="both"/>
        <w:ind w:left="660" w:firstLine="968"/>
        <w:spacing w:after="0" w:line="218" w:lineRule="auto"/>
        <w:tabs>
          <w:tab w:leader="none" w:pos="2137" w:val="left"/>
        </w:tabs>
        <w:numPr>
          <w:ilvl w:val="1"/>
          <w:numId w:val="58"/>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applicable L/C Issuer will also deliver to the Company and the Administrative Agent a true and complete copy of such Letter of Credit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1405" w:right="339" w:bottom="1440" w:gutter="0" w:footer="0" w:header="0"/>
        </w:sectPr>
      </w:pPr>
    </w:p>
    <w:bookmarkStart w:id="97" w:name="page98"/>
    <w:bookmarkEnd w:id="97"/>
    <w:p>
      <w:pPr>
        <w:jc w:val="both"/>
        <w:ind w:left="660" w:firstLine="968"/>
        <w:spacing w:after="0" w:line="223" w:lineRule="auto"/>
        <w:tabs>
          <w:tab w:leader="none" w:pos="22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If the applicable Borrower so requests in any applicable Letter of Credit Application (or the amendment of an outstanding Letter of Credit), the applicable L/C Issuer may, in its sole discretion, agree to issue a standby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such L/C Issuer to prevent any such extension at least once in each twelve (12) 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in each such twelve (12) month period to be agreed upon at the time such Letter of Credit is issued. Unless otherwise directed by the applicable L/C Issuer, the applicable Borrower shall not be required to make a specific request to such L/C Issuer for any such extension. Once an Auto-Extension Letter of Credit has been issued, the Revolving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Letter of Credit may, upon the request of the applicable Borrower, be renewed for a period beyond the Letter of Credit Expiration Date subject to the provisions of </w:t>
      </w:r>
      <w:r>
        <w:rPr>
          <w:rFonts w:ascii="Arial" w:cs="Arial" w:eastAsia="Arial" w:hAnsi="Arial"/>
          <w:sz w:val="18"/>
          <w:szCs w:val="18"/>
          <w:u w:val="single" w:color="auto"/>
          <w:color w:val="auto"/>
        </w:rPr>
        <w:t>Section 2.03(a)(ii)(B)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clause (iii)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Non-Extension Notice Date (1) from the Administrative Agent that the Required Lenders have elected not to permit such extension or (2) from the Administrative Agent, any Revolving Lender or any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such L/C Issuer not to permit such extension.</w:t>
      </w:r>
    </w:p>
    <w:p>
      <w:pPr>
        <w:spacing w:after="0" w:line="156" w:lineRule="exact"/>
        <w:rPr>
          <w:rFonts w:ascii="Arial" w:cs="Arial" w:eastAsia="Arial" w:hAnsi="Arial"/>
          <w:sz w:val="18"/>
          <w:szCs w:val="18"/>
          <w:color w:val="auto"/>
        </w:rPr>
      </w:pPr>
    </w:p>
    <w:p>
      <w:pPr>
        <w:ind w:left="1400" w:hanging="420"/>
        <w:spacing w:after="0"/>
        <w:tabs>
          <w:tab w:leader="none" w:pos="1400" w:val="left"/>
        </w:tabs>
        <w:numPr>
          <w:ilvl w:val="1"/>
          <w:numId w:val="6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left="660" w:firstLine="968"/>
        <w:spacing w:after="0" w:line="222" w:lineRule="auto"/>
        <w:tabs>
          <w:tab w:leader="none" w:pos="2023"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Upon receipt from the beneficiary of any Letter of Credit of any notice of a drawing under such Letter of Credit, the applicable L/C Issuer shall notify the applicable Borrower and the Administrative Agent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 to reimburse such L/C Issuer and the Lenders with respect to any drawing under any Letter of Credit. The applicable Borrower shall reimburse the applicable L/C Issuer for all drawings under any Letter of Credit in Dollars, unless, in the case of a Letter of Credit denominated in an Alternative Currency, (A) such L/C Issuer (at its option) shall have specified in such notice that it will require reimbursement in such Alternative Currency, or</w:t>
      </w:r>
    </w:p>
    <w:p>
      <w:pPr>
        <w:spacing w:after="0" w:line="1" w:lineRule="exact"/>
        <w:rPr>
          <w:rFonts w:ascii="Arial" w:cs="Arial" w:eastAsia="Arial" w:hAnsi="Arial"/>
          <w:sz w:val="18"/>
          <w:szCs w:val="18"/>
          <w:color w:val="auto"/>
        </w:rPr>
      </w:pPr>
    </w:p>
    <w:p>
      <w:pPr>
        <w:jc w:val="both"/>
        <w:ind w:left="660" w:hanging="4"/>
        <w:spacing w:after="0" w:line="219" w:lineRule="auto"/>
        <w:tabs>
          <w:tab w:leader="none" w:pos="9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absence of any such requirement for reimbursement in such Alternative Currency, the applicable Borrower shall have notified such L/C Issuer promptly following receipt of the notice of drawing that such Borrower will reimburse such L/C Issuer in such Alternative Currency. In the case of any such reimbursement in Dollars of a drawing under a Letter of Credit denominated in an Alternative Currency, the applicable L/C Issuer shall notify the applicable Borrower of the Dollar Equivalent of the amount of the drawing promptly following the determination thereof. If such Borrower shall have received such notice from the applicable L/C Issuer on or prior to 11:00 a.m. on the date of payment by the applicable L/C Issuer under a Letter of Credit to be reimbursed in Dollars, not later than 4:00 p.m. on such date of payment by the applicable L/C Issuer, or, if such Borrower shall have received such notice later than 11:00 a.m. on the date of payment by the applicable L/C Issuer under a Letter of Credit to be reimbursed in Dollars, not later than 11:00 a.m. on the immediately following Business Day, or the Applicable Time on the date of any payment by such L/C Issuer under a Letter of Credit to be reimbursed in an Alternative Currency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applicable Borrower shall reimburse such L/C Issuer through the Administrative Agent in an amount equal to the amount of such drawing and in the applicable currency. In the event that (1) a drawing denominated in an Alternative Currency is to be reimbursed in Dollars and</w:t>
      </w:r>
    </w:p>
    <w:p>
      <w:pPr>
        <w:spacing w:after="0" w:line="1" w:lineRule="exact"/>
        <w:rPr>
          <w:rFonts w:ascii="Arial" w:cs="Arial" w:eastAsia="Arial" w:hAnsi="Arial"/>
          <w:sz w:val="18"/>
          <w:szCs w:val="18"/>
          <w:color w:val="auto"/>
        </w:rPr>
      </w:pPr>
    </w:p>
    <w:p>
      <w:pPr>
        <w:jc w:val="both"/>
        <w:ind w:left="660"/>
        <w:spacing w:after="0" w:line="220" w:lineRule="auto"/>
        <w:rPr>
          <w:rFonts w:ascii="Arial" w:cs="Arial" w:eastAsia="Arial" w:hAnsi="Arial"/>
          <w:sz w:val="18"/>
          <w:szCs w:val="18"/>
          <w:color w:val="auto"/>
        </w:rPr>
      </w:pPr>
      <w:r>
        <w:rPr>
          <w:rFonts w:ascii="Arial" w:cs="Arial" w:eastAsia="Arial" w:hAnsi="Arial"/>
          <w:sz w:val="19"/>
          <w:szCs w:val="19"/>
          <w:color w:val="auto"/>
        </w:rPr>
        <w:t>(2) the Dollar amount paid by the applicable Borrower, whether on or after the Honor Date, shall not be adequate on the date of that payment to purchase in accordance with normal banking procedures a sum denominated in the Alternative Currency equal to the drawing, such Borrower agrees, as a separate and independent obligation, to indemnify the applicable L/C Issuer for the loss resulting from its inability on that date to purchase the Alternative Currency in the full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1405" w:right="339" w:bottom="1440" w:gutter="0" w:footer="0" w:header="0"/>
        </w:sectPr>
      </w:pPr>
    </w:p>
    <w:bookmarkStart w:id="98" w:name="page99"/>
    <w:bookmarkEnd w:id="98"/>
    <w:p>
      <w:pPr>
        <w:jc w:val="both"/>
        <w:ind w:left="660"/>
        <w:spacing w:after="0" w:line="214" w:lineRule="auto"/>
        <w:rPr>
          <w:sz w:val="20"/>
          <w:szCs w:val="20"/>
          <w:color w:val="auto"/>
        </w:rPr>
      </w:pPr>
      <w:r>
        <w:rPr>
          <w:rFonts w:ascii="Arial" w:cs="Arial" w:eastAsia="Arial" w:hAnsi="Arial"/>
          <w:sz w:val="19"/>
          <w:szCs w:val="19"/>
          <w:color w:val="auto"/>
        </w:rPr>
        <w:t>drawing. If such Borrower fails to so reimburse such L/C Issuer by such time, the Administrative Agent shall promptly notify each Revolving Lender of the Honor Date, the amount of the unreimbursed drawing (expressed in Dollars in an amount equal to the Dollar Equivalent thereof in the case of a Letter of Credit denominated in an Alternative Currency)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the amount of such Revolving Lender’s Applicable Percentage thereof. In such event, the Borrowers shall be deemed to have requested a Revolving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Revolving Commitments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Loan Notice). Any notice given by any L/C Issuer or the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58" w:lineRule="exact"/>
        <w:rPr>
          <w:sz w:val="20"/>
          <w:szCs w:val="20"/>
          <w:color w:val="auto"/>
        </w:rPr>
      </w:pPr>
    </w:p>
    <w:p>
      <w:pPr>
        <w:jc w:val="both"/>
        <w:ind w:left="660" w:firstLine="968"/>
        <w:spacing w:after="0" w:line="231" w:lineRule="auto"/>
        <w:tabs>
          <w:tab w:leader="none" w:pos="2229"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Each Revolving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applicable L/C Issuer, in Dollars, at the Administrative Agent’s Office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2.03(c)(iii)</w:t>
      </w:r>
      <w:r>
        <w:rPr>
          <w:rFonts w:ascii="Arial" w:cs="Arial" w:eastAsia="Arial" w:hAnsi="Arial"/>
          <w:sz w:val="18"/>
          <w:szCs w:val="18"/>
          <w:color w:val="auto"/>
        </w:rPr>
        <w:t>, each Revolving Lender that so makes funds available shall be deemed to have made a Base Rate Loan to the Company in such amount. The Administrative Agent shall remit the funds so received to the applicable L/C Issuer in Dollars.</w:t>
      </w:r>
    </w:p>
    <w:p>
      <w:pPr>
        <w:spacing w:after="0" w:line="154" w:lineRule="exact"/>
        <w:rPr>
          <w:rFonts w:ascii="Arial" w:cs="Arial" w:eastAsia="Arial" w:hAnsi="Arial"/>
          <w:sz w:val="18"/>
          <w:szCs w:val="18"/>
          <w:color w:val="auto"/>
        </w:rPr>
      </w:pPr>
    </w:p>
    <w:p>
      <w:pPr>
        <w:jc w:val="both"/>
        <w:ind w:left="660" w:firstLine="644"/>
        <w:spacing w:after="0" w:line="229" w:lineRule="auto"/>
        <w:tabs>
          <w:tab w:leader="none" w:pos="18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Revolving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applicable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jc w:val="both"/>
        <w:ind w:left="660" w:firstLine="644"/>
        <w:spacing w:after="0" w:line="218" w:lineRule="auto"/>
        <w:tabs>
          <w:tab w:leader="none" w:pos="18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Until each Revolving Lender funds its Revolving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applicable L/C Issuer for any amount drawn under any Letter of Credit, interest in respect of such Lender’s Applicable Percentage of such amount shall be solely for the account of the applicable L/C Issuer.</w:t>
      </w:r>
    </w:p>
    <w:p>
      <w:pPr>
        <w:spacing w:after="0" w:line="156" w:lineRule="exact"/>
        <w:rPr>
          <w:rFonts w:ascii="Arial" w:cs="Arial" w:eastAsia="Arial" w:hAnsi="Arial"/>
          <w:sz w:val="20"/>
          <w:szCs w:val="20"/>
          <w:color w:val="auto"/>
        </w:rPr>
      </w:pPr>
    </w:p>
    <w:p>
      <w:pPr>
        <w:jc w:val="both"/>
        <w:ind w:left="660" w:firstLine="644"/>
        <w:spacing w:after="0" w:line="227" w:lineRule="auto"/>
        <w:tabs>
          <w:tab w:leader="none" w:pos="18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Revolving Loans or L/C Advances to reimburse each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any L/C Issuer, any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Revolving Lender’s obligation to make Revolving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Company of a Loan Notice). No such making of an L/C Advance shall relieve or otherwise impair the obligation of the applicable Borrower to reimburse the applicable L/C Issuer for the amount of any payment made by such L/C Issuer under any Letter of Credit, together with interest as provided herein.</w:t>
      </w:r>
    </w:p>
    <w:p>
      <w:pPr>
        <w:spacing w:after="0" w:line="155" w:lineRule="exact"/>
        <w:rPr>
          <w:rFonts w:ascii="Arial" w:cs="Arial" w:eastAsia="Arial" w:hAnsi="Arial"/>
          <w:sz w:val="18"/>
          <w:szCs w:val="18"/>
          <w:color w:val="auto"/>
        </w:rPr>
      </w:pPr>
    </w:p>
    <w:p>
      <w:pPr>
        <w:jc w:val="both"/>
        <w:ind w:left="660" w:firstLine="644"/>
        <w:spacing w:after="0" w:line="244" w:lineRule="auto"/>
        <w:tabs>
          <w:tab w:leader="none" w:pos="18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applicable L/C Issuer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then, without limiting the other provisions of this Agreement, such L/C Issuer shall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1405" w:right="339" w:bottom="1440" w:gutter="0" w:footer="0" w:header="0"/>
        </w:sectPr>
      </w:pPr>
    </w:p>
    <w:bookmarkStart w:id="99" w:name="page100"/>
    <w:bookmarkEnd w:id="99"/>
    <w:p>
      <w:pPr>
        <w:jc w:val="both"/>
        <w:ind w:left="660"/>
        <w:spacing w:after="0" w:line="205" w:lineRule="auto"/>
        <w:rPr>
          <w:sz w:val="20"/>
          <w:szCs w:val="20"/>
          <w:color w:val="auto"/>
        </w:rPr>
      </w:pPr>
      <w:r>
        <w:rPr>
          <w:rFonts w:ascii="Arial" w:cs="Arial" w:eastAsia="Arial" w:hAnsi="Arial"/>
          <w:sz w:val="20"/>
          <w:szCs w:val="20"/>
          <w:color w:val="auto"/>
        </w:rPr>
        <w:t xml:space="preserve">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any L/C Issuer submitted to any Revolving Lender (through the Administrative Agent) with respect to any amounts owing under this </w:t>
      </w:r>
      <w:r>
        <w:rPr>
          <w:rFonts w:ascii="Arial" w:cs="Arial" w:eastAsia="Arial" w:hAnsi="Arial"/>
          <w:sz w:val="20"/>
          <w:szCs w:val="20"/>
          <w:u w:val="single" w:color="auto"/>
          <w:color w:val="auto"/>
        </w:rPr>
        <w:t>Section 2.03(c)(vi)</w:t>
      </w:r>
      <w:r>
        <w:rPr>
          <w:rFonts w:ascii="Arial" w:cs="Arial" w:eastAsia="Arial" w:hAnsi="Arial"/>
          <w:sz w:val="20"/>
          <w:szCs w:val="20"/>
          <w:color w:val="auto"/>
        </w:rPr>
        <w:t xml:space="preserve"> shall be conclusive absent manifest error.</w:t>
      </w:r>
    </w:p>
    <w:p>
      <w:pPr>
        <w:spacing w:after="0" w:line="156" w:lineRule="exact"/>
        <w:rPr>
          <w:sz w:val="20"/>
          <w:szCs w:val="20"/>
          <w:color w:val="auto"/>
        </w:rPr>
      </w:pPr>
    </w:p>
    <w:p>
      <w:pPr>
        <w:ind w:left="1400" w:hanging="420"/>
        <w:spacing w:after="0"/>
        <w:tabs>
          <w:tab w:leader="none" w:pos="1400"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left="660" w:firstLine="968"/>
        <w:spacing w:after="0" w:line="207" w:lineRule="auto"/>
        <w:tabs>
          <w:tab w:leader="none" w:pos="2132"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At any time after any L/C Issuer has made a payment under any Letter of Credit and has received from any Revolving Lender such Lender’s L/C Advance in respect of such payment in accordance with </w:t>
      </w:r>
      <w:r>
        <w:rPr>
          <w:rFonts w:ascii="Arial" w:cs="Arial" w:eastAsia="Arial" w:hAnsi="Arial"/>
          <w:sz w:val="20"/>
          <w:szCs w:val="20"/>
          <w:u w:val="single" w:color="auto"/>
          <w:color w:val="auto"/>
        </w:rPr>
        <w:t>Section 2.03(c)</w:t>
      </w:r>
      <w:r>
        <w:rPr>
          <w:rFonts w:ascii="Arial" w:cs="Arial" w:eastAsia="Arial" w:hAnsi="Arial"/>
          <w:sz w:val="20"/>
          <w:szCs w:val="20"/>
          <w:color w:val="auto"/>
        </w:rPr>
        <w:t>, if the Administrative Agent receives for the account of such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59" w:lineRule="exact"/>
        <w:rPr>
          <w:rFonts w:ascii="Arial" w:cs="Arial" w:eastAsia="Arial" w:hAnsi="Arial"/>
          <w:sz w:val="20"/>
          <w:szCs w:val="20"/>
          <w:color w:val="auto"/>
        </w:rPr>
      </w:pPr>
    </w:p>
    <w:p>
      <w:pPr>
        <w:jc w:val="both"/>
        <w:ind w:left="660" w:firstLine="968"/>
        <w:spacing w:after="0" w:line="206" w:lineRule="auto"/>
        <w:tabs>
          <w:tab w:leader="none" w:pos="2172"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If any payment received by the Administrative Agent for the account of the applicable L/C Issuer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is required to be returned under any of the circumstances described in </w:t>
      </w:r>
      <w:r>
        <w:rPr>
          <w:rFonts w:ascii="Arial" w:cs="Arial" w:eastAsia="Arial" w:hAnsi="Arial"/>
          <w:sz w:val="20"/>
          <w:szCs w:val="20"/>
          <w:u w:val="single" w:color="auto"/>
          <w:color w:val="auto"/>
        </w:rPr>
        <w:t>Section 11.05</w:t>
      </w:r>
      <w:r>
        <w:rPr>
          <w:rFonts w:ascii="Arial" w:cs="Arial" w:eastAsia="Arial" w:hAnsi="Arial"/>
          <w:sz w:val="20"/>
          <w:szCs w:val="20"/>
          <w:color w:val="auto"/>
        </w:rPr>
        <w:t xml:space="preserve"> (including pursuant to any settlement entered into by such L/C Issuer in its discretion), each Revolving Lender shall pay to the Administrative Agent for the account of the applicable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57" w:lineRule="exact"/>
        <w:rPr>
          <w:rFonts w:ascii="Arial" w:cs="Arial" w:eastAsia="Arial" w:hAnsi="Arial"/>
          <w:sz w:val="20"/>
          <w:szCs w:val="20"/>
          <w:color w:val="auto"/>
        </w:rPr>
      </w:pPr>
    </w:p>
    <w:p>
      <w:pPr>
        <w:jc w:val="both"/>
        <w:ind w:right="20" w:firstLine="980"/>
        <w:spacing w:after="0" w:line="218" w:lineRule="auto"/>
        <w:tabs>
          <w:tab w:leader="none" w:pos="1454"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each applicable Borrower to reimburse each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56" w:lineRule="exact"/>
        <w:rPr>
          <w:rFonts w:ascii="Arial" w:cs="Arial" w:eastAsia="Arial" w:hAnsi="Arial"/>
          <w:sz w:val="20"/>
          <w:szCs w:val="20"/>
          <w:u w:val="single" w:color="auto"/>
          <w:color w:val="auto"/>
        </w:rPr>
      </w:pPr>
    </w:p>
    <w:p>
      <w:pPr>
        <w:ind w:left="2020" w:hanging="392"/>
        <w:spacing w:after="0"/>
        <w:tabs>
          <w:tab w:leader="none" w:pos="20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186" w:lineRule="exact"/>
        <w:rPr>
          <w:rFonts w:ascii="Arial" w:cs="Arial" w:eastAsia="Arial" w:hAnsi="Arial"/>
          <w:sz w:val="19"/>
          <w:szCs w:val="19"/>
          <w:color w:val="auto"/>
        </w:rPr>
      </w:pPr>
    </w:p>
    <w:p>
      <w:pPr>
        <w:jc w:val="both"/>
        <w:ind w:left="660" w:firstLine="968"/>
        <w:spacing w:after="0" w:line="236" w:lineRule="auto"/>
        <w:tabs>
          <w:tab w:leader="none" w:pos="21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Borrower or any Subsidiary may have at any time against any beneficiary or any transferee of such Letter of Credit (or any Person for whom any such beneficiary or any such transferee may be acting), any L/C Issuer or any other Person, whether in connection with this Agreement or by such Letter of Credit, the transactions contemplated hereby or any agreement or instrument relating thereto, or any unrelated transaction;</w:t>
      </w:r>
    </w:p>
    <w:p>
      <w:pPr>
        <w:spacing w:after="0" w:line="157" w:lineRule="exact"/>
        <w:rPr>
          <w:rFonts w:ascii="Arial" w:cs="Arial" w:eastAsia="Arial" w:hAnsi="Arial"/>
          <w:sz w:val="18"/>
          <w:szCs w:val="18"/>
          <w:color w:val="auto"/>
        </w:rPr>
      </w:pPr>
    </w:p>
    <w:p>
      <w:pPr>
        <w:jc w:val="both"/>
        <w:ind w:left="660" w:firstLine="968"/>
        <w:spacing w:after="0" w:line="213" w:lineRule="auto"/>
        <w:tabs>
          <w:tab w:leader="none" w:pos="2169"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5" w:lineRule="exact"/>
        <w:rPr>
          <w:rFonts w:ascii="Arial" w:cs="Arial" w:eastAsia="Arial" w:hAnsi="Arial"/>
          <w:sz w:val="20"/>
          <w:szCs w:val="20"/>
          <w:color w:val="auto"/>
        </w:rPr>
      </w:pPr>
    </w:p>
    <w:p>
      <w:pPr>
        <w:ind w:left="660" w:firstLine="968"/>
        <w:spacing w:after="0" w:line="229" w:lineRule="auto"/>
        <w:tabs>
          <w:tab w:leader="none" w:pos="2144" w:val="left"/>
        </w:tabs>
        <w:numPr>
          <w:ilvl w:val="1"/>
          <w:numId w:val="64"/>
        </w:numPr>
        <w:rPr>
          <w:rFonts w:ascii="Arial" w:cs="Arial" w:eastAsia="Arial" w:hAnsi="Arial"/>
          <w:sz w:val="20"/>
          <w:szCs w:val="20"/>
          <w:color w:val="auto"/>
        </w:rPr>
      </w:pPr>
      <w:r>
        <w:rPr>
          <w:rFonts w:ascii="Arial" w:cs="Arial" w:eastAsia="Arial" w:hAnsi="Arial"/>
          <w:sz w:val="20"/>
          <w:szCs w:val="20"/>
          <w:color w:val="auto"/>
        </w:rPr>
        <w:t>waiver by any L/C Issuer of any requirement that exists for such L/C Issuer’s protection and not the protection of any Borrower or any waiver by such L/C Issuer which does not in fact materially prejudice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1405" w:right="339" w:bottom="1440" w:gutter="0" w:footer="0" w:header="0"/>
        </w:sectPr>
      </w:pPr>
    </w:p>
    <w:bookmarkStart w:id="100" w:name="page101"/>
    <w:bookmarkEnd w:id="100"/>
    <w:p>
      <w:pPr>
        <w:ind w:left="2060" w:hanging="432"/>
        <w:spacing w:after="0"/>
        <w:tabs>
          <w:tab w:leader="none" w:pos="2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w:t>
      </w:r>
    </w:p>
    <w:p>
      <w:pPr>
        <w:spacing w:after="0" w:line="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form of a draft;</w:t>
      </w:r>
    </w:p>
    <w:p>
      <w:pPr>
        <w:spacing w:after="0" w:line="159" w:lineRule="exact"/>
        <w:rPr>
          <w:rFonts w:ascii="Arial" w:cs="Arial" w:eastAsia="Arial" w:hAnsi="Arial"/>
          <w:sz w:val="16"/>
          <w:szCs w:val="16"/>
          <w:color w:val="auto"/>
        </w:rPr>
      </w:pPr>
    </w:p>
    <w:p>
      <w:pPr>
        <w:jc w:val="both"/>
        <w:ind w:left="660" w:firstLine="968"/>
        <w:spacing w:after="0" w:line="218" w:lineRule="auto"/>
        <w:tabs>
          <w:tab w:leader="none" w:pos="21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56" w:lineRule="exact"/>
        <w:rPr>
          <w:rFonts w:ascii="Arial" w:cs="Arial" w:eastAsia="Arial" w:hAnsi="Arial"/>
          <w:sz w:val="20"/>
          <w:szCs w:val="20"/>
          <w:color w:val="auto"/>
        </w:rPr>
      </w:pPr>
    </w:p>
    <w:p>
      <w:pPr>
        <w:jc w:val="both"/>
        <w:ind w:left="1300" w:firstLine="652"/>
        <w:spacing w:after="0" w:line="221" w:lineRule="auto"/>
        <w:tabs>
          <w:tab w:leader="none" w:pos="2585"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payment by any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55" w:lineRule="exact"/>
        <w:rPr>
          <w:rFonts w:ascii="Arial" w:cs="Arial" w:eastAsia="Arial" w:hAnsi="Arial"/>
          <w:sz w:val="19"/>
          <w:szCs w:val="19"/>
          <w:color w:val="auto"/>
        </w:rPr>
      </w:pPr>
    </w:p>
    <w:p>
      <w:pPr>
        <w:jc w:val="both"/>
        <w:ind w:left="1300" w:firstLine="652"/>
        <w:spacing w:after="0" w:line="218" w:lineRule="auto"/>
        <w:tabs>
          <w:tab w:leader="none" w:pos="2587"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any Borrower or any of its Subsidiaries; or</w:t>
      </w:r>
    </w:p>
    <w:p>
      <w:pPr>
        <w:spacing w:after="0" w:line="156" w:lineRule="exact"/>
        <w:rPr>
          <w:rFonts w:ascii="Arial" w:cs="Arial" w:eastAsia="Arial" w:hAnsi="Arial"/>
          <w:sz w:val="20"/>
          <w:szCs w:val="20"/>
          <w:color w:val="auto"/>
        </w:rPr>
      </w:pPr>
    </w:p>
    <w:p>
      <w:pPr>
        <w:ind w:left="1300" w:firstLine="652"/>
        <w:spacing w:after="0" w:line="229" w:lineRule="auto"/>
        <w:tabs>
          <w:tab w:leader="none" w:pos="2585"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to any Borrower or any Subsidiary or in the relevant currency markets generally;</w:t>
      </w:r>
    </w:p>
    <w:p>
      <w:pPr>
        <w:spacing w:after="0" w:line="155"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excuse any L/C Issuer from liability to the Borrowers to the extent provided in the second proviso to </w:t>
      </w:r>
      <w:r>
        <w:rPr>
          <w:rFonts w:ascii="Arial" w:cs="Arial" w:eastAsia="Arial" w:hAnsi="Arial"/>
          <w:sz w:val="20"/>
          <w:szCs w:val="20"/>
          <w:u w:val="single" w:color="auto"/>
          <w:color w:val="auto"/>
        </w:rPr>
        <w:t>Section 2.03(f)</w:t>
      </w:r>
      <w:r>
        <w:rPr>
          <w:rFonts w:ascii="Arial" w:cs="Arial" w:eastAsia="Arial" w:hAnsi="Arial"/>
          <w:sz w:val="20"/>
          <w:szCs w:val="20"/>
          <w:color w:val="auto"/>
        </w:rPr>
        <w:t>.</w:t>
      </w:r>
    </w:p>
    <w:p>
      <w:pPr>
        <w:spacing w:after="0" w:line="155" w:lineRule="exact"/>
        <w:rPr>
          <w:sz w:val="20"/>
          <w:szCs w:val="20"/>
          <w:color w:val="auto"/>
        </w:rPr>
      </w:pPr>
    </w:p>
    <w:p>
      <w:pPr>
        <w:jc w:val="both"/>
        <w:ind w:left="660" w:firstLine="648"/>
        <w:spacing w:after="0" w:line="224" w:lineRule="auto"/>
        <w:rPr>
          <w:sz w:val="20"/>
          <w:szCs w:val="20"/>
          <w:color w:val="auto"/>
        </w:rPr>
      </w:pPr>
      <w:r>
        <w:rPr>
          <w:rFonts w:ascii="Arial" w:cs="Arial" w:eastAsia="Arial" w:hAnsi="Arial"/>
          <w:sz w:val="19"/>
          <w:szCs w:val="19"/>
          <w:color w:val="auto"/>
        </w:rPr>
        <w:t>The applicable Borrower shall promptly examine a copy of each Letter of Credit and each amendment thereto that is delivered to it and, in the event of any claim of noncompliance with any of such Borrower’s instructions or other irregularity, such Borrower will immediately notify the applicable L/C Issuer. The Borrowers shall be conclusively deemed to have waived any such claim against the applicable L/C Issuer and its correspondents unless such notice is given as aforesaid.</w:t>
      </w:r>
    </w:p>
    <w:p>
      <w:pPr>
        <w:spacing w:after="0" w:line="156" w:lineRule="exact"/>
        <w:rPr>
          <w:sz w:val="20"/>
          <w:szCs w:val="20"/>
          <w:color w:val="auto"/>
        </w:rPr>
      </w:pPr>
    </w:p>
    <w:p>
      <w:pPr>
        <w:jc w:val="both"/>
        <w:ind w:firstLine="980"/>
        <w:spacing w:after="0" w:line="223" w:lineRule="auto"/>
        <w:tabs>
          <w:tab w:leader="none" w:pos="1483" w:val="left"/>
        </w:tabs>
        <w:numPr>
          <w:ilvl w:val="0"/>
          <w:numId w:val="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Role of L/C Issuers</w:t>
      </w:r>
      <w:r>
        <w:rPr>
          <w:rFonts w:ascii="Arial" w:cs="Arial" w:eastAsia="Arial" w:hAnsi="Arial"/>
          <w:sz w:val="18"/>
          <w:szCs w:val="18"/>
          <w:color w:val="auto"/>
        </w:rPr>
        <w:t xml:space="preserve">. Each Lender and each Borrower agree that, in paying any drawing under a Letter of Credit, the applicable L/C Issuer shall not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as applicable, (ii) any action taken or omitted in the absence of gross negligence, willful misconduct or bad faith,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in such clauses to the contrary notwithstanding, the Borrowers may have a claim against any L/C Issuer, and such L/C Issuer may be liable to the Borrowers, to the extent, but only to the extent, of any direct, as opposed to consequential, special, indirect, punitive or exemplary, damages suffered by the Borrowers which the Borrowers prove, as determined by a final nonappealable judgment of a court of competent jurisdiction, were caused by such L/C Issuer’s gross negligence, willful misconduct or bad faith or such L/C Issuer’s willful failure to pay under any Letter of Credit after the presentation to it by the beneficiary of a sight or time draft and certificate(s) strictly complying with the terms and conditions of a Letter of Credit. In furtherance and not in limitation of the foregoing, any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1405" w:right="339" w:bottom="1440" w:gutter="0" w:footer="0" w:header="0"/>
        </w:sectPr>
      </w:pPr>
    </w:p>
    <w:bookmarkStart w:id="101" w:name="page102"/>
    <w:bookmarkEnd w:id="101"/>
    <w:p>
      <w:pPr>
        <w:jc w:val="both"/>
        <w:spacing w:after="0" w:line="218" w:lineRule="auto"/>
        <w:rPr>
          <w:sz w:val="20"/>
          <w:szCs w:val="20"/>
          <w:color w:val="auto"/>
        </w:rPr>
      </w:pPr>
      <w:r>
        <w:rPr>
          <w:rFonts w:ascii="Arial" w:cs="Arial" w:eastAsia="Arial" w:hAnsi="Arial"/>
          <w:sz w:val="19"/>
          <w:szCs w:val="19"/>
          <w:color w:val="auto"/>
        </w:rPr>
        <w:t>Issuer may accept documents that appear on their face to be in order, without responsibility for further investigation, regardless of any notice or information to the contrary, and no L/C Issuer shall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Any L/C Issuer may send a Letter of Credit or conduct any communication to or from the beneficiary via the Society for Worldwide Interbank Financial Telecommunication message or overnight courier, or any other commercially reasonable means of communicating with a beneficiary.</w:t>
      </w:r>
    </w:p>
    <w:p>
      <w:pPr>
        <w:spacing w:after="0" w:line="159" w:lineRule="exact"/>
        <w:rPr>
          <w:sz w:val="20"/>
          <w:szCs w:val="20"/>
          <w:color w:val="auto"/>
        </w:rPr>
      </w:pPr>
    </w:p>
    <w:p>
      <w:pPr>
        <w:jc w:val="both"/>
        <w:ind w:firstLine="980"/>
        <w:spacing w:after="0" w:line="214" w:lineRule="auto"/>
        <w:tabs>
          <w:tab w:leader="none" w:pos="1414" w:val="left"/>
        </w:tabs>
        <w:numPr>
          <w:ilvl w:val="0"/>
          <w:numId w:val="6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Applicability of ISP and UCP; Limitation of Liability</w:t>
      </w:r>
      <w:r>
        <w:rPr>
          <w:rFonts w:ascii="Arial" w:cs="Arial" w:eastAsia="Arial" w:hAnsi="Arial"/>
          <w:sz w:val="19"/>
          <w:szCs w:val="19"/>
          <w:color w:val="auto"/>
        </w:rPr>
        <w:t>. Unless otherwise expressly agreed by the applicable L/C Issuer and the applicable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no L/C Issuer shall be responsible to the Borrowers for, and no L/C Issuer’s rights and remedies against the Borrowers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57" w:lineRule="exact"/>
        <w:rPr>
          <w:rFonts w:ascii="Arial" w:cs="Arial" w:eastAsia="Arial" w:hAnsi="Arial"/>
          <w:sz w:val="19"/>
          <w:szCs w:val="19"/>
          <w:u w:val="single" w:color="auto"/>
          <w:color w:val="auto"/>
        </w:rPr>
      </w:pPr>
    </w:p>
    <w:p>
      <w:pPr>
        <w:jc w:val="both"/>
        <w:ind w:firstLine="980"/>
        <w:spacing w:after="0" w:line="207" w:lineRule="auto"/>
        <w:tabs>
          <w:tab w:leader="none" w:pos="1447" w:val="left"/>
        </w:tabs>
        <w:numPr>
          <w:ilvl w:val="0"/>
          <w:numId w:val="6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xml:space="preserve">. The applicable Borrowers shall pay to the Administrative Agent for the account of each Revolving Lender in accordance, subject to </w:t>
      </w:r>
      <w:r>
        <w:rPr>
          <w:rFonts w:ascii="Arial" w:cs="Arial" w:eastAsia="Arial" w:hAnsi="Arial"/>
          <w:sz w:val="20"/>
          <w:szCs w:val="20"/>
          <w:u w:val="single" w:color="auto"/>
          <w:color w:val="auto"/>
        </w:rPr>
        <w:t>Section 2.15</w:t>
      </w:r>
      <w:r>
        <w:rPr>
          <w:rFonts w:ascii="Arial" w:cs="Arial" w:eastAsia="Arial" w:hAnsi="Arial"/>
          <w:sz w:val="20"/>
          <w:szCs w:val="20"/>
          <w:color w:val="auto"/>
        </w:rPr>
        <w:t>, with its Applicable Percentage a Letter of Credit fee (the “</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for each Letter of Credit equal to the Applicable Rate times the Dollar Equivalent of the daily amount available to be drawn under such Letter of Credit. Letter of Credit Fees shall be (i) due and payable on the first Business Day following each fiscal quarter end, commencing with the first such date to occur after the issuance of such Letter of Credit on the Letter of Credit Expiration Date and thereafter on demand and (ii) computed on a quarterly basis in arrears.</w:t>
      </w:r>
    </w:p>
    <w:p>
      <w:pPr>
        <w:spacing w:after="0" w:line="159" w:lineRule="exact"/>
        <w:rPr>
          <w:rFonts w:ascii="Arial" w:cs="Arial" w:eastAsia="Arial" w:hAnsi="Arial"/>
          <w:sz w:val="20"/>
          <w:szCs w:val="20"/>
          <w:u w:val="single" w:color="auto"/>
          <w:color w:val="auto"/>
        </w:rPr>
      </w:pPr>
    </w:p>
    <w:p>
      <w:pPr>
        <w:jc w:val="both"/>
        <w:ind w:firstLine="980"/>
        <w:spacing w:after="0" w:line="223" w:lineRule="auto"/>
        <w:tabs>
          <w:tab w:leader="none" w:pos="1368" w:val="left"/>
        </w:tabs>
        <w:numPr>
          <w:ilvl w:val="0"/>
          <w:numId w:val="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Fronting Fee and Documentary and Processing Charges Payable to L/C Issuers</w:t>
      </w:r>
      <w:r>
        <w:rPr>
          <w:rFonts w:ascii="Arial" w:cs="Arial" w:eastAsia="Arial" w:hAnsi="Arial"/>
          <w:sz w:val="18"/>
          <w:szCs w:val="18"/>
          <w:color w:val="auto"/>
        </w:rPr>
        <w:t xml:space="preserve">. The applicable Borrowers shall pay directly to the applicable L/C Issuer for its own account a fronting fee (i) with respect to each commercial Letter of Credit, at a rate per annum equal to 0.125% (or such other rate separately agreed between the applicable Borrowers and the L/C Issuers), computed on the Dollar Equivalent of the amount of such Letter of Credit, and payable upon the issuance thereof, (ii) with respect to any amendment of a commercial Letter of Credit increasing the amount of such Letter of Credit, at a rate separately agreed between the applicable Borrowers and such L/C Issuer, computed on the Dollar Equivalent of the amount of such increase, and payable upon the effectiveness of such amendment, and (iii) with respect to each standby Letter of Credit, at a rate per annum equal to 0.125% (or such other rate separately agreed between the applicable Borrowers and the L/C Issuers), computed on the Dollar Equivalent of the daily amount available to be drawn under such Letter of Credit on a quarterly basis in arrears. Such fronting fee shall be due and payable on or prior to the date that is ten (10) Business Days following each fiscal quarter end,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In addition, the applicable Borrowers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66" w:lineRule="exact"/>
        <w:rPr>
          <w:rFonts w:ascii="Arial" w:cs="Arial" w:eastAsia="Arial" w:hAnsi="Arial"/>
          <w:sz w:val="18"/>
          <w:szCs w:val="18"/>
          <w:u w:val="single" w:color="auto"/>
          <w:color w:val="auto"/>
        </w:rPr>
      </w:pPr>
    </w:p>
    <w:p>
      <w:pPr>
        <w:ind w:firstLine="980"/>
        <w:spacing w:after="0" w:line="229" w:lineRule="auto"/>
        <w:tabs>
          <w:tab w:leader="none" w:pos="1503" w:val="left"/>
        </w:tabs>
        <w:numPr>
          <w:ilvl w:val="0"/>
          <w:numId w:val="6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1405" w:right="339" w:bottom="1440" w:gutter="0" w:footer="0" w:header="0"/>
        </w:sectPr>
      </w:pPr>
    </w:p>
    <w:bookmarkStart w:id="102" w:name="page103"/>
    <w:bookmarkEnd w:id="102"/>
    <w:p>
      <w:pPr>
        <w:jc w:val="both"/>
        <w:ind w:left="69" w:firstLine="980"/>
        <w:spacing w:after="0" w:line="218" w:lineRule="auto"/>
        <w:tabs>
          <w:tab w:leader="none" w:pos="1545" w:val="left"/>
        </w:tabs>
        <w:numPr>
          <w:ilvl w:val="0"/>
          <w:numId w:val="6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L/C Issuer Reports to the Administrative Agent</w:t>
      </w:r>
      <w:r>
        <w:rPr>
          <w:rFonts w:ascii="Arial" w:cs="Arial" w:eastAsia="Arial" w:hAnsi="Arial"/>
          <w:sz w:val="20"/>
          <w:szCs w:val="20"/>
          <w:color w:val="auto"/>
        </w:rPr>
        <w:t>. Unless otherwise agreed by the Administrative Agent, each L/C Issuer shall, in addition to its notification obligations set forth elsewhere in this Section, provide the Administrative Agent a Letter of Credit Report, as set forth below:</w:t>
      </w:r>
    </w:p>
    <w:p>
      <w:pPr>
        <w:spacing w:after="0" w:line="156" w:lineRule="exact"/>
        <w:rPr>
          <w:rFonts w:ascii="Arial" w:cs="Arial" w:eastAsia="Arial" w:hAnsi="Arial"/>
          <w:sz w:val="20"/>
          <w:szCs w:val="20"/>
          <w:u w:val="single" w:color="auto"/>
          <w:color w:val="auto"/>
        </w:rPr>
      </w:pPr>
    </w:p>
    <w:p>
      <w:pPr>
        <w:jc w:val="both"/>
        <w:ind w:left="729" w:firstLine="968"/>
        <w:spacing w:after="0" w:line="244" w:lineRule="auto"/>
        <w:tabs>
          <w:tab w:leader="none" w:pos="2097"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51" w:lineRule="exact"/>
        <w:rPr>
          <w:rFonts w:ascii="Arial" w:cs="Arial" w:eastAsia="Arial" w:hAnsi="Arial"/>
          <w:sz w:val="18"/>
          <w:szCs w:val="18"/>
          <w:color w:val="auto"/>
        </w:rPr>
      </w:pPr>
    </w:p>
    <w:p>
      <w:pPr>
        <w:ind w:left="729" w:firstLine="968"/>
        <w:spacing w:after="0" w:line="229" w:lineRule="auto"/>
        <w:tabs>
          <w:tab w:leader="none" w:pos="2228" w:val="left"/>
        </w:tabs>
        <w:numPr>
          <w:ilvl w:val="1"/>
          <w:numId w:val="68"/>
        </w:numPr>
        <w:rPr>
          <w:rFonts w:ascii="Arial" w:cs="Arial" w:eastAsia="Arial" w:hAnsi="Arial"/>
          <w:sz w:val="20"/>
          <w:szCs w:val="20"/>
          <w:color w:val="auto"/>
        </w:rPr>
      </w:pPr>
      <w:r>
        <w:rPr>
          <w:rFonts w:ascii="Arial" w:cs="Arial" w:eastAsia="Arial" w:hAnsi="Arial"/>
          <w:sz w:val="20"/>
          <w:szCs w:val="20"/>
          <w:color w:val="auto"/>
        </w:rPr>
        <w:t>on each Business Day on which such L/C Issuer makes a payment pursuant to a Letter of Credit, the date and amount of such payment;</w:t>
      </w:r>
    </w:p>
    <w:p>
      <w:pPr>
        <w:spacing w:after="0" w:line="155" w:lineRule="exact"/>
        <w:rPr>
          <w:rFonts w:ascii="Arial" w:cs="Arial" w:eastAsia="Arial" w:hAnsi="Arial"/>
          <w:sz w:val="20"/>
          <w:szCs w:val="20"/>
          <w:color w:val="auto"/>
        </w:rPr>
      </w:pPr>
    </w:p>
    <w:p>
      <w:pPr>
        <w:ind w:left="729" w:right="20" w:firstLine="968"/>
        <w:spacing w:after="0" w:line="269" w:lineRule="auto"/>
        <w:tabs>
          <w:tab w:leader="none" w:pos="22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on any Business Day on which any applicable Borrower fails to reimburse a payment made pursuant to a Letter of Credit required to be reimbursed to such L/C Issuer on such day, the date of such failure and the amount of such payment;</w:t>
      </w:r>
    </w:p>
    <w:p>
      <w:pPr>
        <w:spacing w:after="0" w:line="130" w:lineRule="exact"/>
        <w:rPr>
          <w:rFonts w:ascii="Arial" w:cs="Arial" w:eastAsia="Arial" w:hAnsi="Arial"/>
          <w:sz w:val="18"/>
          <w:szCs w:val="18"/>
          <w:color w:val="auto"/>
        </w:rPr>
      </w:pPr>
    </w:p>
    <w:p>
      <w:pPr>
        <w:ind w:left="729" w:firstLine="968"/>
        <w:spacing w:after="0" w:line="229" w:lineRule="auto"/>
        <w:tabs>
          <w:tab w:leader="none" w:pos="2218" w:val="left"/>
        </w:tabs>
        <w:numPr>
          <w:ilvl w:val="1"/>
          <w:numId w:val="68"/>
        </w:numPr>
        <w:rPr>
          <w:rFonts w:ascii="Arial" w:cs="Arial" w:eastAsia="Arial" w:hAnsi="Arial"/>
          <w:sz w:val="20"/>
          <w:szCs w:val="20"/>
          <w:color w:val="auto"/>
        </w:rPr>
      </w:pPr>
      <w:r>
        <w:rPr>
          <w:rFonts w:ascii="Arial" w:cs="Arial" w:eastAsia="Arial" w:hAnsi="Arial"/>
          <w:sz w:val="20"/>
          <w:szCs w:val="20"/>
          <w:color w:val="auto"/>
        </w:rPr>
        <w:t>on any other Business Day, such other information as the Administrative Agent shall reasonably request as to the Letters of Credit issued by such L/C Issuer; and</w:t>
      </w:r>
    </w:p>
    <w:p>
      <w:pPr>
        <w:spacing w:after="0" w:line="155" w:lineRule="exact"/>
        <w:rPr>
          <w:rFonts w:ascii="Arial" w:cs="Arial" w:eastAsia="Arial" w:hAnsi="Arial"/>
          <w:sz w:val="20"/>
          <w:szCs w:val="20"/>
          <w:color w:val="auto"/>
        </w:rPr>
      </w:pPr>
    </w:p>
    <w:p>
      <w:pPr>
        <w:jc w:val="both"/>
        <w:ind w:left="729" w:firstLine="968"/>
        <w:spacing w:after="0" w:line="221" w:lineRule="auto"/>
        <w:tabs>
          <w:tab w:leader="none" w:pos="2220" w:val="left"/>
        </w:tabs>
        <w:numPr>
          <w:ilvl w:val="1"/>
          <w:numId w:val="68"/>
        </w:numPr>
        <w:rPr>
          <w:rFonts w:ascii="Arial" w:cs="Arial" w:eastAsia="Arial" w:hAnsi="Arial"/>
          <w:sz w:val="19"/>
          <w:szCs w:val="19"/>
          <w:color w:val="auto"/>
        </w:rPr>
      </w:pPr>
      <w:r>
        <w:rPr>
          <w:rFonts w:ascii="Arial" w:cs="Arial" w:eastAsia="Arial" w:hAnsi="Arial"/>
          <w:sz w:val="19"/>
          <w:szCs w:val="19"/>
          <w:color w:val="auto"/>
        </w:rPr>
        <w:t>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155" w:lineRule="exact"/>
        <w:rPr>
          <w:sz w:val="20"/>
          <w:szCs w:val="20"/>
          <w:color w:val="auto"/>
        </w:rPr>
      </w:pPr>
    </w:p>
    <w:p>
      <w:pPr>
        <w:ind w:left="729"/>
        <w:spacing w:after="0" w:line="229" w:lineRule="auto"/>
        <w:rPr>
          <w:sz w:val="20"/>
          <w:szCs w:val="20"/>
          <w:color w:val="auto"/>
        </w:rPr>
      </w:pPr>
      <w:r>
        <w:rPr>
          <w:rFonts w:ascii="Arial" w:cs="Arial" w:eastAsia="Arial" w:hAnsi="Arial"/>
          <w:sz w:val="20"/>
          <w:szCs w:val="20"/>
          <w:color w:val="auto"/>
        </w:rPr>
        <w:t xml:space="preserve">It is understood and agreed that any reporting by an L/C Issuer pursuant to this </w:t>
      </w:r>
      <w:r>
        <w:rPr>
          <w:rFonts w:ascii="Arial" w:cs="Arial" w:eastAsia="Arial" w:hAnsi="Arial"/>
          <w:sz w:val="20"/>
          <w:szCs w:val="20"/>
          <w:u w:val="single" w:color="auto"/>
          <w:color w:val="auto"/>
        </w:rPr>
        <w:t>Section 2.03(k)</w:t>
      </w:r>
      <w:r>
        <w:rPr>
          <w:rFonts w:ascii="Arial" w:cs="Arial" w:eastAsia="Arial" w:hAnsi="Arial"/>
          <w:sz w:val="20"/>
          <w:szCs w:val="20"/>
          <w:color w:val="auto"/>
        </w:rPr>
        <w:t xml:space="preserve"> in respect of any Letter of Credit shall include the Dollar Equivalent amount of such Letter of Credit.</w:t>
      </w:r>
    </w:p>
    <w:p>
      <w:pPr>
        <w:spacing w:after="0" w:line="155" w:lineRule="exact"/>
        <w:rPr>
          <w:sz w:val="20"/>
          <w:szCs w:val="20"/>
          <w:color w:val="auto"/>
        </w:rPr>
      </w:pPr>
    </w:p>
    <w:p>
      <w:pPr>
        <w:jc w:val="both"/>
        <w:ind w:left="69" w:firstLine="980"/>
        <w:spacing w:after="0" w:line="218" w:lineRule="auto"/>
        <w:tabs>
          <w:tab w:leader="none" w:pos="1450" w:val="left"/>
        </w:tabs>
        <w:numPr>
          <w:ilvl w:val="0"/>
          <w:numId w:val="6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Additional L/C Issuers</w:t>
      </w:r>
      <w:r>
        <w:rPr>
          <w:rFonts w:ascii="Arial" w:cs="Arial" w:eastAsia="Arial" w:hAnsi="Arial"/>
          <w:sz w:val="20"/>
          <w:szCs w:val="20"/>
          <w:color w:val="auto"/>
        </w:rPr>
        <w:t>. Any Lender hereunder (that is reasonably acceptable to the Administrative Agent) may become an L/C Issuer upon receipt by the Administrative Agent of a fully executed Notice of Additional L/C Issuer which shall be signed by the Company, the Administrative Agent and each L/C Issuer.</w:t>
      </w:r>
    </w:p>
    <w:p>
      <w:pPr>
        <w:spacing w:after="0" w:line="156" w:lineRule="exact"/>
        <w:rPr>
          <w:rFonts w:ascii="Arial" w:cs="Arial" w:eastAsia="Arial" w:hAnsi="Arial"/>
          <w:sz w:val="20"/>
          <w:szCs w:val="20"/>
          <w:u w:val="single" w:color="auto"/>
          <w:color w:val="auto"/>
        </w:rPr>
      </w:pPr>
    </w:p>
    <w:p>
      <w:pPr>
        <w:jc w:val="both"/>
        <w:ind w:left="69" w:firstLine="980"/>
        <w:spacing w:after="0" w:line="233" w:lineRule="auto"/>
        <w:tabs>
          <w:tab w:leader="none" w:pos="1524"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a Restricted Subsidiary of any Borrower, such Borrower shall be obligated to reimburse each L/C Issuer hereunder for any and all drawings under each Letter of Credit issued by such L/C Issuer. Each Borrower hereby acknowledges that the issuance of Letters of Credit for the account of its Restricted Subsidiaries inures to the benefit of such Borrower, and that such Borrower’s business derives substantial benefits from the businesses of such Restricted Subsidiaries.</w:t>
      </w:r>
    </w:p>
    <w:p>
      <w:pPr>
        <w:spacing w:after="0" w:line="150" w:lineRule="exact"/>
        <w:rPr>
          <w:sz w:val="20"/>
          <w:szCs w:val="20"/>
          <w:color w:val="auto"/>
        </w:rPr>
      </w:pPr>
    </w:p>
    <w:p>
      <w:pPr>
        <w:ind w:left="289" w:hanging="289"/>
        <w:spacing w:after="0"/>
        <w:tabs>
          <w:tab w:leader="none" w:pos="289"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Swingline Loans.</w:t>
      </w:r>
    </w:p>
    <w:p>
      <w:pPr>
        <w:spacing w:after="0" w:line="181" w:lineRule="exact"/>
        <w:rPr>
          <w:rFonts w:ascii="Arial" w:cs="Arial" w:eastAsia="Arial" w:hAnsi="Arial"/>
          <w:sz w:val="20"/>
          <w:szCs w:val="20"/>
          <w:b w:val="1"/>
          <w:bCs w:val="1"/>
          <w:color w:val="auto"/>
        </w:rPr>
      </w:pPr>
    </w:p>
    <w:p>
      <w:pPr>
        <w:jc w:val="both"/>
        <w:ind w:left="729" w:firstLine="644"/>
        <w:spacing w:after="0" w:line="228" w:lineRule="auto"/>
        <w:tabs>
          <w:tab w:leader="none" w:pos="201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The Swingline</w:t>
      </w:r>
      <w:r>
        <w:rPr>
          <w:rFonts w:ascii="Arial" w:cs="Arial" w:eastAsia="Arial" w:hAnsi="Arial"/>
          <w:sz w:val="18"/>
          <w:szCs w:val="18"/>
          <w:color w:val="auto"/>
        </w:rPr>
        <w:t>. Subject to the terms and conditions set forth herein, the Swingline Lender, in reliance upon the agreements of the other Revolving Lenders set forth in this Section, may in its sole discretion make loans to the Company (each such loan, a “</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Each such Swingline Loan may be made, subject to the terms and conditions set forth herein, to the Company, in Dollars, from time to time on any Business Day during the Availability Period, in an aggregate amount not to exceed at any time outstanding the amount of the Swingline Sublimit, notwithstanding the fact that such Swingline Loans, when aggregated with the Applicable Percentage of the Outstanding Amount of Revolving Loans and L/C Obligations of the Lender acting as Swingline Lender, may exceed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that (i) after giving effect to any Swingline Loan, (A) the Total Revolving Outstandings shall not exceed the Aggregate Revolving Commitments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-1124585</wp:posOffset>
            </wp:positionV>
            <wp:extent cx="10915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309"/>
          </w:cols>
          <w:pgMar w:left="251" w:top="1405"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time, and (B) the Revolving Exposure of any Revolving Lender at such time shall not exceed such Lender’s Revolving Commitment,</w:t>
      </w:r>
    </w:p>
    <w:p>
      <w:pPr>
        <w:jc w:val="both"/>
        <w:ind w:left="660" w:hanging="4"/>
        <w:spacing w:after="0" w:line="225" w:lineRule="auto"/>
        <w:tabs>
          <w:tab w:leader="none" w:pos="9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Company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Section,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Section. Each Swingline Loan shall bear interest only at a rate based on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spacing w:after="0" w:line="159" w:lineRule="exact"/>
        <w:rPr>
          <w:rFonts w:ascii="Arial" w:cs="Arial" w:eastAsia="Arial" w:hAnsi="Arial"/>
          <w:sz w:val="18"/>
          <w:szCs w:val="18"/>
          <w:color w:val="auto"/>
        </w:rPr>
      </w:pPr>
    </w:p>
    <w:p>
      <w:pPr>
        <w:jc w:val="both"/>
        <w:ind w:left="660" w:firstLine="644"/>
        <w:spacing w:after="0" w:line="223" w:lineRule="auto"/>
        <w:tabs>
          <w:tab w:leader="none" w:pos="194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Subject to the terms and conditions hereof, each Swingline Borrowing shall be made upon the Company’s irrevocable notice to the Swingline Lender and the Administrative Agent, which may be given by telephone or a Swingline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(i) the amount to be borrowed, which shall be a minimum of $100,000 and (ii) the requested date of the Swingline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Swingline Borrowing (A) directing the Swingline Lender not to make such Swingline Loan as a result of the limitations set forth in the proviso to the second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Swingline Lender may, make the amount of its Swingline Loan available to the Company at its office by crediting the account of the Company on the books of the Swingline Lender in Same Day Funds.</w:t>
      </w:r>
    </w:p>
    <w:p>
      <w:pPr>
        <w:spacing w:after="0" w:line="166" w:lineRule="exact"/>
        <w:rPr>
          <w:rFonts w:ascii="Arial" w:cs="Arial" w:eastAsia="Arial" w:hAnsi="Arial"/>
          <w:sz w:val="18"/>
          <w:szCs w:val="18"/>
          <w:color w:val="auto"/>
        </w:rPr>
      </w:pPr>
    </w:p>
    <w:p>
      <w:pPr>
        <w:ind w:left="1940" w:hanging="636"/>
        <w:spacing w:after="0"/>
        <w:tabs>
          <w:tab w:leader="none" w:pos="1940"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Refinancing of Swingline Loans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968"/>
        <w:spacing w:after="0" w:line="224" w:lineRule="auto"/>
        <w:tabs>
          <w:tab w:leader="none" w:pos="2109" w:val="left"/>
        </w:tabs>
        <w:numPr>
          <w:ilvl w:val="2"/>
          <w:numId w:val="71"/>
        </w:numPr>
        <w:rPr>
          <w:rFonts w:ascii="Arial" w:cs="Arial" w:eastAsia="Arial" w:hAnsi="Arial"/>
          <w:sz w:val="18"/>
          <w:szCs w:val="18"/>
          <w:color w:val="auto"/>
        </w:rPr>
      </w:pPr>
      <w:r>
        <w:rPr>
          <w:rFonts w:ascii="Arial" w:cs="Arial" w:eastAsia="Arial" w:hAnsi="Arial"/>
          <w:sz w:val="18"/>
          <w:szCs w:val="18"/>
          <w:color w:val="auto"/>
        </w:rPr>
        <w:t xml:space="preserve">The Swingline Lender at any time in its sole discretion may request, on behalf of the Company (which hereby irrevocably authorizes the Swingline Lender to so request on its behalf), that each Revolving Lender make a Base Rate Loan in an amount equal to such Lender’s Applicable Percentage of the amount of Swingline Loans then 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Revolving Facility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Swingline Lender shall furnish the Company with a copy of the applicable Loan Notice promptly after delivering such notice to the Administrative Agent. Each Revolving Lender shall make an amount equal to its Applicable Percentage of the amount specified in such Loan Notice available to the Administrative Agent in Same Day Funds (and the Administrative Agent may apply Cash Collateral available with respect to the applicable Swingline Loan) for the account of the Swingline Lender at the Administrative Agent’s Office for Dollar-denominated payments not later than 1:00 p.m. on the day specified in such Loan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Revolving Lender that so makes funds available shall be deemed to have made a Base Rate Loan to the Company in such amount. The Administrative Agent shall remit the funds so received to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1403" w:right="339" w:bottom="1440" w:gutter="0" w:footer="0" w:header="0"/>
        </w:sectPr>
      </w:pPr>
    </w:p>
    <w:bookmarkStart w:id="104" w:name="page105"/>
    <w:bookmarkEnd w:id="104"/>
    <w:p>
      <w:pPr>
        <w:jc w:val="both"/>
        <w:ind w:left="660" w:firstLine="968"/>
        <w:spacing w:after="0" w:line="221" w:lineRule="auto"/>
        <w:tabs>
          <w:tab w:leader="none" w:pos="2146"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If for any reason any Swingline Loan cannot be refinanced by such a Revolving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55" w:lineRule="exact"/>
        <w:rPr>
          <w:rFonts w:ascii="Arial" w:cs="Arial" w:eastAsia="Arial" w:hAnsi="Arial"/>
          <w:sz w:val="19"/>
          <w:szCs w:val="19"/>
          <w:color w:val="auto"/>
        </w:rPr>
      </w:pPr>
    </w:p>
    <w:p>
      <w:pPr>
        <w:jc w:val="both"/>
        <w:ind w:left="660" w:firstLine="968"/>
        <w:spacing w:after="0" w:line="226" w:lineRule="auto"/>
        <w:tabs>
          <w:tab w:leader="none" w:pos="2217"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Swingline Lender any amount required to be paid by such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clause (iii) shall be conclusive absent manifest error.</w:t>
      </w:r>
    </w:p>
    <w:p>
      <w:pPr>
        <w:spacing w:after="0" w:line="156" w:lineRule="exact"/>
        <w:rPr>
          <w:rFonts w:ascii="Arial" w:cs="Arial" w:eastAsia="Arial" w:hAnsi="Arial"/>
          <w:sz w:val="18"/>
          <w:szCs w:val="18"/>
          <w:color w:val="auto"/>
        </w:rPr>
      </w:pPr>
    </w:p>
    <w:p>
      <w:pPr>
        <w:jc w:val="both"/>
        <w:ind w:left="660" w:firstLine="968"/>
        <w:spacing w:after="0" w:line="216" w:lineRule="auto"/>
        <w:tabs>
          <w:tab w:leader="none" w:pos="2235"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Each Revolving Lender’s obligation to make Revolving Loans or to purchase and fund risk participations in Swingline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Swingline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Revolving Lender’s obligation to make Revolving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the Company of a Loan Notice). No such funding of risk participations shall relieve or otherwise impair the obligation of the Company to repay Swingline Loans, together with interest as provided herein.</w:t>
      </w:r>
    </w:p>
    <w:p>
      <w:pPr>
        <w:spacing w:after="0" w:line="154" w:lineRule="exact"/>
        <w:rPr>
          <w:rFonts w:ascii="Arial" w:cs="Arial" w:eastAsia="Arial" w:hAnsi="Arial"/>
          <w:sz w:val="19"/>
          <w:szCs w:val="19"/>
          <w:color w:val="auto"/>
        </w:rPr>
      </w:pPr>
    </w:p>
    <w:p>
      <w:pPr>
        <w:ind w:left="1400" w:hanging="420"/>
        <w:spacing w:after="0"/>
        <w:tabs>
          <w:tab w:leader="none" w:pos="1400" w:val="left"/>
        </w:tabs>
        <w:numPr>
          <w:ilvl w:val="0"/>
          <w:numId w:val="7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left="660" w:firstLine="968"/>
        <w:spacing w:after="0" w:line="230" w:lineRule="auto"/>
        <w:tabs>
          <w:tab w:leader="none" w:pos="2053" w:val="left"/>
        </w:tabs>
        <w:numPr>
          <w:ilvl w:val="1"/>
          <w:numId w:val="73"/>
        </w:numPr>
        <w:rPr>
          <w:rFonts w:ascii="Arial" w:cs="Arial" w:eastAsia="Arial" w:hAnsi="Arial"/>
          <w:sz w:val="19"/>
          <w:szCs w:val="19"/>
          <w:color w:val="auto"/>
        </w:rPr>
      </w:pPr>
      <w:r>
        <w:rPr>
          <w:rFonts w:ascii="Arial" w:cs="Arial" w:eastAsia="Arial" w:hAnsi="Arial"/>
          <w:sz w:val="19"/>
          <w:szCs w:val="19"/>
          <w:color w:val="auto"/>
        </w:rPr>
        <w:t>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spacing w:after="0" w:line="154" w:lineRule="exact"/>
        <w:rPr>
          <w:rFonts w:ascii="Arial" w:cs="Arial" w:eastAsia="Arial" w:hAnsi="Arial"/>
          <w:sz w:val="19"/>
          <w:szCs w:val="19"/>
          <w:color w:val="auto"/>
        </w:rPr>
      </w:pPr>
    </w:p>
    <w:p>
      <w:pPr>
        <w:jc w:val="both"/>
        <w:ind w:left="660" w:firstLine="968"/>
        <w:spacing w:after="0" w:line="217" w:lineRule="auto"/>
        <w:tabs>
          <w:tab w:leader="none" w:pos="2172"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If any payment received by the Swingline Lender in respect of principal or interest on any Swingline Loan is required to be returned by the Swingline Lender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Swingline Lender. The obligations of the Lenders under this clause shall survive the payment in full of the Obligations and the termination of this Agreement.</w:t>
      </w:r>
    </w:p>
    <w:p>
      <w:pPr>
        <w:spacing w:after="0" w:line="156" w:lineRule="exact"/>
        <w:rPr>
          <w:rFonts w:ascii="Arial" w:cs="Arial" w:eastAsia="Arial" w:hAnsi="Arial"/>
          <w:sz w:val="19"/>
          <w:szCs w:val="19"/>
          <w:color w:val="auto"/>
        </w:rPr>
      </w:pPr>
    </w:p>
    <w:p>
      <w:pPr>
        <w:jc w:val="both"/>
        <w:ind w:firstLine="980"/>
        <w:spacing w:after="0" w:line="213" w:lineRule="auto"/>
        <w:tabs>
          <w:tab w:leader="none" w:pos="1509" w:val="left"/>
        </w:tabs>
        <w:numPr>
          <w:ilvl w:val="0"/>
          <w:numId w:val="7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Interest for Account of Swingline Lender</w:t>
      </w:r>
      <w:r>
        <w:rPr>
          <w:rFonts w:ascii="Arial" w:cs="Arial" w:eastAsia="Arial" w:hAnsi="Arial"/>
          <w:sz w:val="20"/>
          <w:szCs w:val="20"/>
          <w:color w:val="auto"/>
        </w:rPr>
        <w:t>. The Swingline Lender shall be responsible for invoicing the Company for interest on the Swingline Loans. Until each Revolving Lender funds its Base Rate Loan or risk participation pursuant to this Section to refinance such Revolving Lender’s Applicable Percentage of any Swingline Loan, interest in respect of such Applicable Percentage shall be solely for the account of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1405" w:right="339" w:bottom="1440" w:gutter="0" w:footer="0" w:header="0"/>
        </w:sectPr>
      </w:pPr>
    </w:p>
    <w:bookmarkStart w:id="105" w:name="page106"/>
    <w:bookmarkEnd w:id="105"/>
    <w:p>
      <w:pPr>
        <w:ind w:left="69" w:firstLine="980"/>
        <w:spacing w:after="0" w:line="229" w:lineRule="auto"/>
        <w:tabs>
          <w:tab w:leader="none" w:pos="1490" w:val="left"/>
        </w:tabs>
        <w:numPr>
          <w:ilvl w:val="0"/>
          <w:numId w:val="7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Payments Directly to Swingline Lender</w:t>
      </w:r>
      <w:r>
        <w:rPr>
          <w:rFonts w:ascii="Arial" w:cs="Arial" w:eastAsia="Arial" w:hAnsi="Arial"/>
          <w:sz w:val="20"/>
          <w:szCs w:val="20"/>
          <w:color w:val="auto"/>
        </w:rPr>
        <w:t>. The Company shall make all payments of principal and interest in respect of the Swingline Loans directly to the Swingline Lender.</w:t>
      </w:r>
    </w:p>
    <w:p>
      <w:pPr>
        <w:spacing w:after="0" w:line="149" w:lineRule="exact"/>
        <w:rPr>
          <w:sz w:val="20"/>
          <w:szCs w:val="20"/>
          <w:color w:val="auto"/>
        </w:rPr>
      </w:pPr>
    </w:p>
    <w:p>
      <w:pPr>
        <w:ind w:left="289" w:hanging="289"/>
        <w:spacing w:after="0"/>
        <w:tabs>
          <w:tab w:leader="none" w:pos="289"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Prepayments.</w:t>
      </w:r>
    </w:p>
    <w:p>
      <w:pPr>
        <w:spacing w:after="0" w:line="181" w:lineRule="exact"/>
        <w:rPr>
          <w:rFonts w:ascii="Arial" w:cs="Arial" w:eastAsia="Arial" w:hAnsi="Arial"/>
          <w:sz w:val="20"/>
          <w:szCs w:val="20"/>
          <w:b w:val="1"/>
          <w:bCs w:val="1"/>
          <w:color w:val="auto"/>
        </w:rPr>
      </w:pPr>
    </w:p>
    <w:p>
      <w:pPr>
        <w:ind w:left="1469" w:hanging="420"/>
        <w:spacing w:after="0"/>
        <w:tabs>
          <w:tab w:leader="none" w:pos="1469" w:val="left"/>
        </w:tabs>
        <w:numPr>
          <w:ilvl w:val="1"/>
          <w:numId w:val="7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left="729" w:firstLine="968"/>
        <w:spacing w:after="0" w:line="222" w:lineRule="auto"/>
        <w:tabs>
          <w:tab w:leader="none" w:pos="2105"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The Borrowers may, upon notice to the Administrative Agent pursuant to delivery to the Administrative Agent of a Notice of Loan Prepayment, at any time or from time to time voluntarily prepay Revolving Loans in whole or in part without premium or penalty subject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reasonably agreed by the Administrative Agent, (A) such notice must be received by the Administrative Agent not later than 11:00 a.m. (1) two (2) Business Days prior to any date of prepayment of Term SOFR Loans, (2) four (4) Business Days (or five (5) Business Days, in the case of a Special Notice Currency) prior to any date of prepayment of Alternative Currency Loans, and (3) on the date of prepayment of Base Rate Loans or SOFR Daily Floating Rate Loans; (B) any prepayment of Term SOFR Loans or Alternative Currency Loans shall be in a principal amount of $5,000,000 or a whole multiple of $1,000,000 in excess thereof; and (C) any prepayment of Base Rate Loans or SOFR Daily Floating Rate Loans shall be in a principal amount of $500,000 or a whole multiple of $100,000 in excess thereof or, in each case, if less, the entire principal amount thereof then outstanding. Each such notice shall specify the date, the currency and amount of such prepayment and the Type(s) of Loans to be prepaid and, if Term SOFR Loans or Alternative Currency Term Rate Loans are to be prepaid, the Interest Period(s) of such Loans. The Administrative Agent will promptly notify each Appropriate Lender of its receipt of each such notice, and of the amount of such Lender’s ratable portion of such prepayment (based on such Lender’s Applicable Percentage). If such notice is given by any Borrower, the applicable Borrower shall make such prepayment and the payment amount specified in such notice shall be due and payable on the date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of prepayment may state that such notice is conditional upon the effectiveness of any facility or instrument refinancing all or a portion of the outstanding Revolving Commitments or upon the consummation of any other debt or equity transaction or event that will generate financing in connection therewith, in which case, such notice may be revoked by the applicable Borrower (by notice to the Administrative Agent on or prior to the specified date) if such condition is not satisfied. Any prepayment of principal shall be accompanied by all accrued interest on the amount prepaid, together with, in the case of any prepayment of Term SOFR Loans or Alternative Currency Loans,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such prepayments shall be paid to the Lenders in accordance with their respective Applicable Percentages.</w:t>
      </w:r>
    </w:p>
    <w:p>
      <w:pPr>
        <w:spacing w:after="0" w:line="161" w:lineRule="exact"/>
        <w:rPr>
          <w:rFonts w:ascii="Arial" w:cs="Arial" w:eastAsia="Arial" w:hAnsi="Arial"/>
          <w:sz w:val="18"/>
          <w:szCs w:val="18"/>
          <w:color w:val="auto"/>
        </w:rPr>
      </w:pPr>
    </w:p>
    <w:p>
      <w:pPr>
        <w:jc w:val="both"/>
        <w:ind w:left="729" w:firstLine="968"/>
        <w:spacing w:after="0" w:line="213" w:lineRule="auto"/>
        <w:tabs>
          <w:tab w:leader="none" w:pos="2166" w:val="left"/>
        </w:tabs>
        <w:numPr>
          <w:ilvl w:val="2"/>
          <w:numId w:val="75"/>
        </w:numPr>
        <w:rPr>
          <w:rFonts w:ascii="Arial" w:cs="Arial" w:eastAsia="Arial" w:hAnsi="Arial"/>
          <w:sz w:val="19"/>
          <w:szCs w:val="19"/>
          <w:color w:val="auto"/>
        </w:rPr>
      </w:pPr>
      <w:r>
        <w:rPr>
          <w:rFonts w:ascii="Arial" w:cs="Arial" w:eastAsia="Arial" w:hAnsi="Arial"/>
          <w:sz w:val="19"/>
          <w:szCs w:val="19"/>
          <w:color w:val="auto"/>
        </w:rPr>
        <w:t xml:space="preserve">The Company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Company, the Company shall make such prepayment and the payment amount specified in such notice shall be due and payable on the date specified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notice of prepayment may state that such notice is conditional upon the effectiveness of any facility or instrument refinancing all or a portion of the outstanding Revolving Commitments or upon the consummation of any other debt or equity transaction or event that will generate financing in connection therewith, in which case, such notice may be revoked by the Company (by notice to the Administrative Agent on or prior to the specified date) if such condition is not satisfied.</w:t>
      </w:r>
    </w:p>
    <w:p>
      <w:pPr>
        <w:spacing w:after="0" w:line="157" w:lineRule="exact"/>
        <w:rPr>
          <w:rFonts w:ascii="Arial" w:cs="Arial" w:eastAsia="Arial" w:hAnsi="Arial"/>
          <w:sz w:val="19"/>
          <w:szCs w:val="19"/>
          <w:color w:val="auto"/>
        </w:rPr>
      </w:pPr>
    </w:p>
    <w:p>
      <w:pPr>
        <w:ind w:left="1469" w:hanging="420"/>
        <w:spacing w:after="0"/>
        <w:tabs>
          <w:tab w:leader="none" w:pos="1469" w:val="left"/>
        </w:tabs>
        <w:numPr>
          <w:ilvl w:val="1"/>
          <w:numId w:val="7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-4883785</wp:posOffset>
            </wp:positionV>
            <wp:extent cx="910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309"/>
          </w:cols>
          <w:pgMar w:left="251" w:top="1405" w:right="339" w:bottom="1440" w:gutter="0" w:footer="0" w:header="0"/>
        </w:sectPr>
      </w:pPr>
    </w:p>
    <w:bookmarkStart w:id="106" w:name="page107"/>
    <w:bookmarkEnd w:id="106"/>
    <w:p>
      <w:pPr>
        <w:jc w:val="both"/>
        <w:ind w:left="729" w:firstLine="968"/>
        <w:spacing w:after="0" w:line="215" w:lineRule="auto"/>
        <w:tabs>
          <w:tab w:leader="none" w:pos="2155"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for any reason the Total Revolving Outstandings at any time exceed the Aggregate Revolving Commitment at such time, the applicable Borrowers shall promptly (and in any event, within one (1) Business Day) prepay Revolving Loans, Swingline Loans and L/C Borrowings (together with all accrued but unpaid interest thereon) and/or Cash Collateralize the L/C Obligations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Cash Collateralize the L/C Obligations pursuant to this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unless, after the prepayment of the Revolving Loans and Swingline Loans, the Total Revolving Outstandings exceed the Aggregate Revolving Commitment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any such excess shall result solely from a change in the applicable exchange rates relating to Alternative Currencies, then such prepayment and/or Cash Collateralization shall only be required to be made by the applicable Borrowers upon three (3) Business Days’ notice from the Administrative Agent to the Company.</w:t>
      </w:r>
    </w:p>
    <w:p>
      <w:pPr>
        <w:spacing w:after="0" w:line="155" w:lineRule="exact"/>
        <w:rPr>
          <w:rFonts w:ascii="Arial" w:cs="Arial" w:eastAsia="Arial" w:hAnsi="Arial"/>
          <w:sz w:val="19"/>
          <w:szCs w:val="19"/>
          <w:color w:val="auto"/>
        </w:rPr>
      </w:pPr>
    </w:p>
    <w:p>
      <w:pPr>
        <w:jc w:val="both"/>
        <w:ind w:left="729" w:firstLine="968"/>
        <w:spacing w:after="0" w:line="233" w:lineRule="auto"/>
        <w:tabs>
          <w:tab w:leader="none" w:pos="22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Administrative Agent notifies the Company at any time that, as a result of a change in the applicable exchange rates relating to Alternative Currencies, the Outstanding Amount of all L/C Obligations at such time exceeds an amount equal to 105% of the Letter of Credit Sublimit then in effect, then, within, three (3) Business Days after the Company’s receipt of such notice, the applicable Borrowers shall Cash Collateralize Letters of Credit in an aggregate amount sufficient to reduce such Outstanding Amount as of such date of payment to an amount not to exceed 100% of the Letter of Credit Sublimit then in effect.</w:t>
      </w:r>
    </w:p>
    <w:p>
      <w:pPr>
        <w:spacing w:after="0" w:line="156" w:lineRule="exact"/>
        <w:rPr>
          <w:rFonts w:ascii="Arial" w:cs="Arial" w:eastAsia="Arial" w:hAnsi="Arial"/>
          <w:sz w:val="18"/>
          <w:szCs w:val="18"/>
          <w:color w:val="auto"/>
        </w:rPr>
      </w:pPr>
    </w:p>
    <w:p>
      <w:pPr>
        <w:jc w:val="both"/>
        <w:ind w:left="729" w:firstLine="968"/>
        <w:spacing w:after="0" w:line="227" w:lineRule="auto"/>
        <w:tabs>
          <w:tab w:leader="none" w:pos="2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If the Administrative Agent notifies the Company at any time that, as a result of a change in the applicable exchange rates relating to Alternative Currencies, the Total Revolving Outstandings denominated in Alternative Currencies at such time exceeds an amount equal to 105% of the Alternative Currency Sublimit then in effect, then, within three (3) Business Days after the Company’s receipt of such notice, the applicable Borrowers shall prepay Revolving Loans and/or Cash Collateralize Letters of Credit, in each case denominated in Alternative Currencies, in an aggregate amount sufficient to reduce Total Revolving Outstandings denominated in Alternative Currencies as of such date of payment to an amount not to exceed 100% of the Alternative Currency Sublimit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Cash Collateralize such Letters of Credit pursuant to this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unless, after the prepayment of the Revolving Loans denominated in Alternative Currencies, the Total Revolving Outstandings denominated in Alternative Currencies exceed the Alternative Currency Sublimit then in effect.</w:t>
      </w:r>
    </w:p>
    <w:p>
      <w:pPr>
        <w:spacing w:after="0" w:line="155" w:lineRule="exact"/>
        <w:rPr>
          <w:rFonts w:ascii="Arial" w:cs="Arial" w:eastAsia="Arial" w:hAnsi="Arial"/>
          <w:sz w:val="18"/>
          <w:szCs w:val="18"/>
          <w:color w:val="auto"/>
        </w:rPr>
      </w:pPr>
    </w:p>
    <w:p>
      <w:pPr>
        <w:jc w:val="both"/>
        <w:ind w:left="729" w:firstLine="968"/>
        <w:spacing w:after="0" w:line="216" w:lineRule="auto"/>
        <w:tabs>
          <w:tab w:leader="none" w:pos="2202"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Except as otherwise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 prepayments made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(other than by provision of Cash Collateral)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ratably to the L/C Borrowings and the Swingline Loans, and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shall be applied to the outstanding Revolving Loans, and (B) prepayments made pursuant to </w:t>
      </w:r>
      <w:r>
        <w:rPr>
          <w:rFonts w:ascii="Arial" w:cs="Arial" w:eastAsia="Arial" w:hAnsi="Arial"/>
          <w:sz w:val="19"/>
          <w:szCs w:val="19"/>
          <w:u w:val="single" w:color="auto"/>
          <w:color w:val="auto"/>
        </w:rPr>
        <w:t>Section 2.05(b)(iii)</w:t>
      </w:r>
      <w:r>
        <w:rPr>
          <w:rFonts w:ascii="Arial" w:cs="Arial" w:eastAsia="Arial" w:hAnsi="Arial"/>
          <w:sz w:val="19"/>
          <w:szCs w:val="19"/>
          <w:color w:val="auto"/>
        </w:rPr>
        <w:t xml:space="preserve"> (other than by provision of Cash Collateral) shall be applied to the outstanding Revolving Loans denominated in Alternative Currencies. Cash Collateral provided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applied in accordance with </w:t>
      </w:r>
      <w:r>
        <w:rPr>
          <w:rFonts w:ascii="Arial" w:cs="Arial" w:eastAsia="Arial" w:hAnsi="Arial"/>
          <w:sz w:val="19"/>
          <w:szCs w:val="19"/>
          <w:u w:val="single" w:color="auto"/>
          <w:color w:val="auto"/>
        </w:rPr>
        <w:t>Section 2.14</w:t>
      </w:r>
      <w:r>
        <w:rPr>
          <w:rFonts w:ascii="Arial" w:cs="Arial" w:eastAsia="Arial" w:hAnsi="Arial"/>
          <w:sz w:val="19"/>
          <w:szCs w:val="19"/>
          <w:color w:val="auto"/>
        </w:rPr>
        <w:t>. Upon the drawing of any Letter of Credit that has been Cash Collateralized, the funds held as Cash Collateral shall be applied (without any further action by or notice to or from any Loan Party or any Defaulting Lender that has provided Cash Collateral) to reimburse the applicable L/C Issuer or the Revolving Lenders, as applicable.</w:t>
      </w:r>
    </w:p>
    <w:p>
      <w:pPr>
        <w:spacing w:after="0" w:line="155" w:lineRule="exact"/>
        <w:rPr>
          <w:sz w:val="20"/>
          <w:szCs w:val="20"/>
          <w:color w:val="auto"/>
        </w:rPr>
      </w:pPr>
    </w:p>
    <w:p>
      <w:pPr>
        <w:ind w:left="729" w:firstLine="648"/>
        <w:spacing w:after="0" w:line="229" w:lineRule="auto"/>
        <w:rPr>
          <w:sz w:val="20"/>
          <w:szCs w:val="20"/>
          <w:color w:val="auto"/>
        </w:rPr>
      </w:pPr>
      <w:r>
        <w:rPr>
          <w:rFonts w:ascii="Arial" w:cs="Arial" w:eastAsia="Arial" w:hAnsi="Arial"/>
          <w:sz w:val="20"/>
          <w:szCs w:val="20"/>
          <w:color w:val="auto"/>
        </w:rPr>
        <w:t xml:space="preserve">All prepayments under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but otherwise without premium or penalty, and shall be accompanied by interest on the principal amount prepaid through the date of prepayment.</w:t>
      </w:r>
    </w:p>
    <w:p>
      <w:pPr>
        <w:spacing w:after="0" w:line="155" w:lineRule="exact"/>
        <w:rPr>
          <w:sz w:val="20"/>
          <w:szCs w:val="20"/>
          <w:color w:val="auto"/>
        </w:rPr>
      </w:pPr>
    </w:p>
    <w:p>
      <w:pPr>
        <w:ind w:left="69" w:firstLine="648"/>
        <w:spacing w:after="0" w:line="242"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2.05</w:t>
      </w:r>
      <w:r>
        <w:rPr>
          <w:rFonts w:ascii="Arial" w:cs="Arial" w:eastAsia="Arial" w:hAnsi="Arial"/>
          <w:sz w:val="19"/>
          <w:szCs w:val="19"/>
          <w:color w:val="auto"/>
        </w:rPr>
        <w:t>, no prepayment by a Designated Foreign Borrower shall be used to pay or be applied against any Guaranteed Obligations of or attributable to any U.S. Loan Party (or any other Domestic Subsidiary).</w:t>
      </w:r>
    </w:p>
    <w:p>
      <w:pPr>
        <w:spacing w:after="0" w:line="147" w:lineRule="exact"/>
        <w:rPr>
          <w:sz w:val="20"/>
          <w:szCs w:val="20"/>
          <w:color w:val="auto"/>
        </w:rPr>
      </w:pPr>
    </w:p>
    <w:p>
      <w:pPr>
        <w:ind w:left="289" w:hanging="289"/>
        <w:spacing w:after="0"/>
        <w:tabs>
          <w:tab w:leader="none" w:pos="289"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or Reduction of Commitments.</w:t>
      </w:r>
    </w:p>
    <w:p>
      <w:pPr>
        <w:spacing w:after="0" w:line="181" w:lineRule="exact"/>
        <w:rPr>
          <w:rFonts w:ascii="Arial" w:cs="Arial" w:eastAsia="Arial" w:hAnsi="Arial"/>
          <w:sz w:val="20"/>
          <w:szCs w:val="20"/>
          <w:b w:val="1"/>
          <w:bCs w:val="1"/>
          <w:color w:val="auto"/>
        </w:rPr>
      </w:pPr>
    </w:p>
    <w:p>
      <w:pPr>
        <w:ind w:left="69" w:firstLine="980"/>
        <w:spacing w:after="0" w:line="229" w:lineRule="auto"/>
        <w:tabs>
          <w:tab w:leader="none" w:pos="1553" w:val="left"/>
        </w:tabs>
        <w:numPr>
          <w:ilvl w:val="1"/>
          <w:numId w:val="7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 The Company may, upon notice to the Administrative Agent, terminate the Revolving Facility, the Letter of Credit Sublimit, the Swingline Sublimit or the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-404495</wp:posOffset>
            </wp:positionV>
            <wp:extent cx="25323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2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309"/>
          </w:cols>
          <w:pgMar w:left="251" w:top="1405" w:right="339" w:bottom="1440" w:gutter="0" w:footer="0" w:header="0"/>
        </w:sectPr>
      </w:pPr>
    </w:p>
    <w:bookmarkStart w:id="107" w:name="page108"/>
    <w:bookmarkEnd w:id="107"/>
    <w:p>
      <w:pPr>
        <w:jc w:val="both"/>
        <w:ind w:left="69"/>
        <w:spacing w:after="0" w:line="224" w:lineRule="auto"/>
        <w:rPr>
          <w:sz w:val="20"/>
          <w:szCs w:val="20"/>
          <w:color w:val="auto"/>
        </w:rPr>
      </w:pPr>
      <w:r>
        <w:rPr>
          <w:rFonts w:ascii="Arial" w:cs="Arial" w:eastAsia="Arial" w:hAnsi="Arial"/>
          <w:sz w:val="18"/>
          <w:szCs w:val="18"/>
          <w:color w:val="auto"/>
        </w:rPr>
        <w:t xml:space="preserve">Sublimit, or from time to time permanently reduce the Revolving Facility, the Letter of Credit Sublimit, the Swingline Sublimit or the Alternative Currency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reasonably agreed by the Administrative Agent, (i) any such notice shall be received by the Administrative Agent not later than 11:00 a.m. three (3) Business Days prior to the date of termination or reduction, (ii) any such partial reduction shall be in an aggregate amount of $5,000,000 or any whole multiple of $500,000 in excess thereof and (iii) the Company shall not terminate or reduce (A) the Revolving Facility if, after giving effect thereto and to any concurrent prepayments hereunder, the Total Revolving Outstandings would exceed the Aggregate Revolving Commitments, (B) the Letter of Credit Sublimit if, after giving effect thereto, the Outstanding Amount of L/C Obligations not fully Cash Collateralized hereunder would exceed the Letter of Credit Sublimit, (C) the Swingline Sublimit if, after giving effect thereto and to any concurrent prepayments hereunder, the Outstanding Amount of Swingline Loans would exceed the Swingline Sublimit, or (D) the Alternative Currency Sublimit if, after giving effect thereto and to any concurrent prepayments hereunder, the Total Revolving Outstandings denominated in Alternative Currencies would exceed the Alternative Currency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notice of permanent reduction or termination may state that such notice is conditional upon the effectiveness of any facility or instrument refinancing all or a portion of the outstanding Revolving Commitments or upon the consummation of any other debt or equity transaction or event that will generate financing in connection therewith, in which case such notice may be revoked by the Company (by notice to the Administrative Agent on or prior to the specified date) if such condition is not satisfied.</w:t>
      </w:r>
    </w:p>
    <w:p>
      <w:pPr>
        <w:spacing w:after="0" w:line="157" w:lineRule="exact"/>
        <w:rPr>
          <w:sz w:val="20"/>
          <w:szCs w:val="20"/>
          <w:color w:val="auto"/>
        </w:rPr>
      </w:pPr>
    </w:p>
    <w:p>
      <w:pPr>
        <w:jc w:val="both"/>
        <w:ind w:left="69" w:firstLine="980"/>
        <w:spacing w:after="0" w:line="213" w:lineRule="auto"/>
        <w:tabs>
          <w:tab w:leader="none" w:pos="1523" w:val="left"/>
        </w:tabs>
        <w:numPr>
          <w:ilvl w:val="0"/>
          <w:numId w:val="7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xml:space="preserve">. If after giving effect to any reduction or termination of the Revolving Facility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the Letter of Credit Sublimit, the Alternative Currency Sublimit or the Swingline Sublimit exceeds the Aggregate Revolving Commitments at such time, the Letter of Credit Sublimit, the Alternative Currency Sublimit or the Swingline Sublimit, as the case may be, shall be automatically reduced by the amount of such excess.</w:t>
      </w:r>
    </w:p>
    <w:p>
      <w:pPr>
        <w:spacing w:after="0" w:line="155" w:lineRule="exact"/>
        <w:rPr>
          <w:rFonts w:ascii="Arial" w:cs="Arial" w:eastAsia="Arial" w:hAnsi="Arial"/>
          <w:sz w:val="20"/>
          <w:szCs w:val="20"/>
          <w:u w:val="single" w:color="auto"/>
          <w:color w:val="auto"/>
        </w:rPr>
      </w:pPr>
    </w:p>
    <w:p>
      <w:pPr>
        <w:jc w:val="both"/>
        <w:ind w:left="69" w:firstLine="980"/>
        <w:spacing w:after="0" w:line="221" w:lineRule="auto"/>
        <w:tabs>
          <w:tab w:leader="none" w:pos="1490" w:val="left"/>
        </w:tabs>
        <w:numPr>
          <w:ilvl w:val="0"/>
          <w:numId w:val="7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Application of Commitment Reductions; Payment of Fees</w:t>
      </w:r>
      <w:r>
        <w:rPr>
          <w:rFonts w:ascii="Arial" w:cs="Arial" w:eastAsia="Arial" w:hAnsi="Arial"/>
          <w:sz w:val="19"/>
          <w:szCs w:val="19"/>
          <w:color w:val="auto"/>
        </w:rPr>
        <w:t xml:space="preserve">. The Administrative Agent will promptly notify the Lenders of any termination or reduction of the Letter of Credit Sublimit, the Alternative Currency Sublimit, the Swingline Sublimit or the Revolving Facility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Any reduction of the Revolving Facility shall be applied to the Revolving Commitment of each Revolving Lender according to its Applicable Percentage. All fees in respect of the Revolving Facility accrued until the effective date of the termination of the Revolving Facility shall be paid on the effective date of such termination.</w:t>
      </w:r>
    </w:p>
    <w:p>
      <w:pPr>
        <w:spacing w:after="0" w:line="149" w:lineRule="exact"/>
        <w:rPr>
          <w:sz w:val="20"/>
          <w:szCs w:val="20"/>
          <w:color w:val="auto"/>
        </w:rPr>
      </w:pPr>
    </w:p>
    <w:p>
      <w:pPr>
        <w:ind w:left="289" w:hanging="289"/>
        <w:spacing w:after="0"/>
        <w:tabs>
          <w:tab w:leader="none" w:pos="289"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Repayment of Loans.</w:t>
      </w:r>
    </w:p>
    <w:p>
      <w:pPr>
        <w:spacing w:after="0" w:line="181" w:lineRule="exact"/>
        <w:rPr>
          <w:rFonts w:ascii="Arial" w:cs="Arial" w:eastAsia="Arial" w:hAnsi="Arial"/>
          <w:sz w:val="20"/>
          <w:szCs w:val="20"/>
          <w:b w:val="1"/>
          <w:bCs w:val="1"/>
          <w:color w:val="auto"/>
        </w:rPr>
      </w:pPr>
    </w:p>
    <w:p>
      <w:pPr>
        <w:ind w:left="69" w:right="20" w:firstLine="980"/>
        <w:spacing w:after="0" w:line="229" w:lineRule="auto"/>
        <w:tabs>
          <w:tab w:leader="none" w:pos="1566" w:val="left"/>
        </w:tabs>
        <w:numPr>
          <w:ilvl w:val="1"/>
          <w:numId w:val="7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applicable Borrowers shall repay to the Revolving Lenders on the Maturity Date the aggregate principal amount of all Revolving Loans outstanding on such date made to such Borrower.</w:t>
      </w:r>
    </w:p>
    <w:p>
      <w:pPr>
        <w:spacing w:after="0" w:line="155" w:lineRule="exact"/>
        <w:rPr>
          <w:rFonts w:ascii="Arial" w:cs="Arial" w:eastAsia="Arial" w:hAnsi="Arial"/>
          <w:sz w:val="20"/>
          <w:szCs w:val="20"/>
          <w:u w:val="single" w:color="auto"/>
          <w:color w:val="auto"/>
        </w:rPr>
      </w:pPr>
    </w:p>
    <w:p>
      <w:pPr>
        <w:jc w:val="both"/>
        <w:ind w:left="69" w:firstLine="980"/>
        <w:spacing w:after="0" w:line="230" w:lineRule="auto"/>
        <w:tabs>
          <w:tab w:leader="none" w:pos="1512" w:val="left"/>
        </w:tabs>
        <w:numPr>
          <w:ilvl w:val="1"/>
          <w:numId w:val="7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Swingline Loans</w:t>
      </w:r>
      <w:r>
        <w:rPr>
          <w:rFonts w:ascii="Arial" w:cs="Arial" w:eastAsia="Arial" w:hAnsi="Arial"/>
          <w:sz w:val="19"/>
          <w:szCs w:val="19"/>
          <w:color w:val="auto"/>
        </w:rPr>
        <w:t>. The Company shall repay each Swingline Loan on the earlier to occur of (i) the date ten (10) Business Days after such Loan is made (it being understood that the Company may use the proceeds of a Borrowing of Revolving Loans for such repayment, subject to the applicable conditions to such Borrowing hereunder) and (ii)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-901700</wp:posOffset>
            </wp:positionV>
            <wp:extent cx="13182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18260" cy="8890"/>
                    </a:xfrm>
                    <a:prstGeom prst="rect">
                      <a:avLst/>
                    </a:prstGeom>
                    <a:noFill/>
                  </pic:spPr>
                </pic:pic>
              </a:graphicData>
            </a:graphic>
          </wp:anchor>
        </w:drawing>
      </w:r>
    </w:p>
    <w:p>
      <w:pPr>
        <w:spacing w:after="0" w:line="129" w:lineRule="exact"/>
        <w:rPr>
          <w:sz w:val="20"/>
          <w:szCs w:val="20"/>
          <w:color w:val="auto"/>
        </w:rPr>
      </w:pPr>
    </w:p>
    <w:p>
      <w:pPr>
        <w:ind w:left="289" w:hanging="289"/>
        <w:spacing w:after="0"/>
        <w:tabs>
          <w:tab w:leader="none" w:pos="289"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Interest and Default Rate.</w:t>
      </w:r>
    </w:p>
    <w:p>
      <w:pPr>
        <w:spacing w:after="0" w:line="181" w:lineRule="exact"/>
        <w:rPr>
          <w:rFonts w:ascii="Arial" w:cs="Arial" w:eastAsia="Arial" w:hAnsi="Arial"/>
          <w:sz w:val="20"/>
          <w:szCs w:val="20"/>
          <w:b w:val="1"/>
          <w:bCs w:val="1"/>
          <w:color w:val="auto"/>
        </w:rPr>
      </w:pPr>
    </w:p>
    <w:p>
      <w:pPr>
        <w:jc w:val="both"/>
        <w:ind w:left="69" w:firstLine="980"/>
        <w:spacing w:after="0" w:line="215" w:lineRule="auto"/>
        <w:tabs>
          <w:tab w:leader="none" w:pos="1553" w:val="left"/>
        </w:tabs>
        <w:numPr>
          <w:ilvl w:val="1"/>
          <w:numId w:val="8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(i) each Term SOFR Loan shall bear interest on the outstanding principal amount thereof for each Interest Period from the applicable borrowing date at a rate per annum equal to Term SOFR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Term SOFR Loans; (ii) each SOFR Daily Floating Rate Loan shall bear interest on the outstanding principal amount thereof from the applicable borrowing date at a rate per annum equal to the SOFR Daily Floating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SOFR Daily Floating Rate Loans; (iii) each Alternative Currency Daily Rate Loan shall bear interest on the outstanding principal amount thereof from the applicable borrowing date at a rate per annum equal to the applicable Alternative Currency Daily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Alternative Currency Loans; (iv) each Alternative Currency Term Rate Loan shall bear interest on the outstanding principal amount thereof for each Interest Period at a rate per annum equal to the applicable Alternative Currency Term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-1244600</wp:posOffset>
            </wp:positionV>
            <wp:extent cx="15703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70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309"/>
          </w:cols>
          <w:pgMar w:left="251" w:top="1405" w:right="339" w:bottom="1440" w:gutter="0" w:footer="0" w:header="0"/>
        </w:sectPr>
      </w:pPr>
    </w:p>
    <w:bookmarkStart w:id="108" w:name="page109"/>
    <w:bookmarkEnd w:id="108"/>
    <w:p>
      <w:pPr>
        <w:jc w:val="both"/>
        <w:ind w:left="69"/>
        <w:spacing w:after="0" w:line="226" w:lineRule="auto"/>
        <w:rPr>
          <w:sz w:val="20"/>
          <w:szCs w:val="20"/>
          <w:color w:val="auto"/>
        </w:rPr>
      </w:pPr>
      <w:r>
        <w:rPr>
          <w:rFonts w:ascii="Arial" w:cs="Arial" w:eastAsia="Arial" w:hAnsi="Arial"/>
          <w:sz w:val="18"/>
          <w:szCs w:val="18"/>
          <w:color w:val="auto"/>
        </w:rPr>
        <w:t xml:space="preserve">for Alternative Currency Loans; (v)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Base Rate Loans; and (vi) each Swingline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Base Rate Loans. To the extent that any calculation of interest or any fee required to be paid under this Agreement shall be based on (or result in) a calculation that is less than zero, such calculation shall be </w:t>
      </w:r>
      <w:r>
        <w:rPr>
          <w:rFonts w:ascii="Arial" w:cs="Arial" w:eastAsia="Arial" w:hAnsi="Arial"/>
          <w:sz w:val="19"/>
          <w:szCs w:val="19"/>
          <w:color w:val="auto"/>
        </w:rPr>
        <w:t>deemed to be zero</w:t>
      </w:r>
      <w:r>
        <w:rPr>
          <w:rFonts w:ascii="Arial" w:cs="Arial" w:eastAsia="Arial" w:hAnsi="Arial"/>
          <w:sz w:val="18"/>
          <w:szCs w:val="18"/>
          <w:color w:val="auto"/>
        </w:rPr>
        <w:t xml:space="preserve"> for purposes of this</w:t>
      </w:r>
    </w:p>
    <w:p>
      <w:pPr>
        <w:spacing w:after="0" w:line="3" w:lineRule="exact"/>
        <w:rPr>
          <w:sz w:val="20"/>
          <w:szCs w:val="20"/>
          <w:color w:val="auto"/>
        </w:rPr>
      </w:pPr>
    </w:p>
    <w:p>
      <w:pPr>
        <w:ind w:left="69"/>
        <w:spacing w:after="0"/>
        <w:rPr>
          <w:sz w:val="20"/>
          <w:szCs w:val="20"/>
          <w:color w:val="auto"/>
        </w:rPr>
      </w:pPr>
      <w:r>
        <w:rPr>
          <w:rFonts w:ascii="Arial" w:cs="Arial" w:eastAsia="Arial" w:hAnsi="Arial"/>
          <w:sz w:val="20"/>
          <w:szCs w:val="20"/>
          <w:color w:val="auto"/>
        </w:rPr>
        <w:t>Agreement.</w:t>
      </w:r>
    </w:p>
    <w:p>
      <w:pPr>
        <w:spacing w:after="0" w:line="159" w:lineRule="exact"/>
        <w:rPr>
          <w:sz w:val="20"/>
          <w:szCs w:val="20"/>
          <w:color w:val="auto"/>
        </w:rPr>
      </w:pPr>
    </w:p>
    <w:p>
      <w:pPr>
        <w:ind w:left="1469" w:hanging="420"/>
        <w:spacing w:after="0"/>
        <w:tabs>
          <w:tab w:leader="none" w:pos="1469" w:val="left"/>
        </w:tabs>
        <w:numPr>
          <w:ilvl w:val="0"/>
          <w:numId w:val="8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left="1369" w:right="20" w:firstLine="652"/>
        <w:spacing w:after="0" w:line="230" w:lineRule="auto"/>
        <w:tabs>
          <w:tab w:leader="none" w:pos="266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Upon the occurrence of any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whether at stated maturity, by acceleration or otherwise, all outstanding Obligations (including Letter of Credit Fees) shall accrue at a fluctuating interest rate per annum at all times equal to the Default Rate to the fullest extent permitted by applicable Laws.</w:t>
      </w:r>
    </w:p>
    <w:p>
      <w:pPr>
        <w:spacing w:after="0" w:line="154" w:lineRule="exact"/>
        <w:rPr>
          <w:rFonts w:ascii="Arial" w:cs="Arial" w:eastAsia="Arial" w:hAnsi="Arial"/>
          <w:sz w:val="19"/>
          <w:szCs w:val="19"/>
          <w:color w:val="auto"/>
        </w:rPr>
      </w:pPr>
    </w:p>
    <w:p>
      <w:pPr>
        <w:jc w:val="both"/>
        <w:ind w:left="1369" w:firstLine="652"/>
        <w:spacing w:after="0" w:line="218" w:lineRule="auto"/>
        <w:tabs>
          <w:tab w:leader="none" w:pos="2663" w:val="left"/>
        </w:tabs>
        <w:numPr>
          <w:ilvl w:val="1"/>
          <w:numId w:val="81"/>
        </w:numPr>
        <w:rPr>
          <w:rFonts w:ascii="Arial" w:cs="Arial" w:eastAsia="Arial" w:hAnsi="Arial"/>
          <w:sz w:val="20"/>
          <w:szCs w:val="20"/>
          <w:color w:val="auto"/>
        </w:rPr>
      </w:pPr>
      <w:r>
        <w:rPr>
          <w:rFonts w:ascii="Arial" w:cs="Arial" w:eastAsia="Arial" w:hAnsi="Arial"/>
          <w:sz w:val="20"/>
          <w:szCs w:val="20"/>
          <w:color w:val="auto"/>
        </w:rPr>
        <w:t xml:space="preserve">Upon the occurrence of any Event of Default under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8.01(g)</w:t>
      </w:r>
      <w:r>
        <w:rPr>
          <w:rFonts w:ascii="Arial" w:cs="Arial" w:eastAsia="Arial" w:hAnsi="Arial"/>
          <w:sz w:val="20"/>
          <w:szCs w:val="20"/>
          <w:color w:val="auto"/>
        </w:rPr>
        <w:t>, all outstanding Obligations (including Letter of Credit Fees) shall accrue at a fluctuating interest rate per annum at all times equal to the Default Rate to the fullest extent permitted by applicable Laws.</w:t>
      </w:r>
    </w:p>
    <w:p>
      <w:pPr>
        <w:spacing w:after="0" w:line="156" w:lineRule="exact"/>
        <w:rPr>
          <w:rFonts w:ascii="Arial" w:cs="Arial" w:eastAsia="Arial" w:hAnsi="Arial"/>
          <w:sz w:val="20"/>
          <w:szCs w:val="20"/>
          <w:color w:val="auto"/>
        </w:rPr>
      </w:pPr>
    </w:p>
    <w:p>
      <w:pPr>
        <w:ind w:left="1369" w:firstLine="652"/>
        <w:spacing w:after="0" w:line="229" w:lineRule="auto"/>
        <w:tabs>
          <w:tab w:leader="none" w:pos="2664" w:val="left"/>
        </w:tabs>
        <w:numPr>
          <w:ilvl w:val="1"/>
          <w:numId w:val="81"/>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55" w:lineRule="exact"/>
        <w:rPr>
          <w:rFonts w:ascii="Arial" w:cs="Arial" w:eastAsia="Arial" w:hAnsi="Arial"/>
          <w:sz w:val="20"/>
          <w:szCs w:val="20"/>
          <w:color w:val="auto"/>
        </w:rPr>
      </w:pPr>
    </w:p>
    <w:p>
      <w:pPr>
        <w:jc w:val="both"/>
        <w:ind w:left="69" w:firstLine="980"/>
        <w:spacing w:after="0" w:line="244" w:lineRule="auto"/>
        <w:tabs>
          <w:tab w:leader="none" w:pos="1544" w:val="left"/>
        </w:tabs>
        <w:numPr>
          <w:ilvl w:val="0"/>
          <w:numId w:val="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6" w:lineRule="exact"/>
        <w:rPr>
          <w:sz w:val="20"/>
          <w:szCs w:val="20"/>
          <w:color w:val="auto"/>
        </w:rPr>
      </w:pPr>
    </w:p>
    <w:p>
      <w:pPr>
        <w:ind w:left="289" w:hanging="289"/>
        <w:spacing w:after="0"/>
        <w:tabs>
          <w:tab w:leader="none" w:pos="289"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4457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61" w:lineRule="exact"/>
        <w:rPr>
          <w:sz w:val="20"/>
          <w:szCs w:val="20"/>
          <w:color w:val="auto"/>
        </w:rPr>
      </w:pPr>
    </w:p>
    <w:p>
      <w:pPr>
        <w:ind w:left="729"/>
        <w:spacing w:after="0"/>
        <w:rPr>
          <w:sz w:val="20"/>
          <w:szCs w:val="20"/>
          <w:color w:val="auto"/>
        </w:rPr>
      </w:pPr>
      <w:r>
        <w:rPr>
          <w:rFonts w:ascii="Arial" w:cs="Arial" w:eastAsia="Arial" w:hAnsi="Arial"/>
          <w:sz w:val="20"/>
          <w:szCs w:val="20"/>
          <w:color w:val="auto"/>
        </w:rPr>
        <w:t xml:space="preserve">In addition to certain fees described in subsections (h) and (i)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75" w:lineRule="exact"/>
        <w:rPr>
          <w:sz w:val="20"/>
          <w:szCs w:val="20"/>
          <w:color w:val="auto"/>
        </w:rPr>
      </w:pPr>
    </w:p>
    <w:p>
      <w:pPr>
        <w:jc w:val="both"/>
        <w:ind w:left="69" w:firstLine="980"/>
        <w:spacing w:after="0" w:line="208" w:lineRule="auto"/>
        <w:tabs>
          <w:tab w:leader="none" w:pos="1577" w:val="left"/>
        </w:tabs>
        <w:numPr>
          <w:ilvl w:val="0"/>
          <w:numId w:val="8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Company shall pay to the Administrative Agent for the account of each Revolving Lender in accordance with its Applicable Percentage, a commitment fee in Dollars equal to the Applicable Rate times the actual daily amount by which the Revolving Facility exceeds the sum of (i) the Outstanding Amount of Revolving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Outstanding Amount of L/C Obligations, subject to adjustment as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For the avoidance of doubt, the Outstanding Amount of Swingline Loans shall not be counted towards or considered usage of the Revolving Facility for purposes of determining the commitment fee. The commitment fee shall be calculated quarterly in arrears and shall accrue at all times during the Availability Period,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third (3</w:t>
      </w:r>
      <w:r>
        <w:rPr>
          <w:rFonts w:ascii="Arial" w:cs="Arial" w:eastAsia="Arial" w:hAnsi="Arial"/>
          <w:sz w:val="24"/>
          <w:szCs w:val="24"/>
          <w:color w:val="auto"/>
          <w:vertAlign w:val="superscript"/>
        </w:rPr>
        <w:t>rd</w:t>
      </w:r>
      <w:r>
        <w:rPr>
          <w:rFonts w:ascii="Arial" w:cs="Arial" w:eastAsia="Arial" w:hAnsi="Arial"/>
          <w:sz w:val="19"/>
          <w:szCs w:val="19"/>
          <w:color w:val="auto"/>
        </w:rPr>
        <w:t>) Business Day after the end of each March, June, September and December, commencing with the first such date to occur after the Closing Date, and on the last day of the Availability Period. For purposes of calculating the commitment fee, if there is any change in the Applicable Rate during any quarter, the actual daily amount shall be computed and multiplied by the Applicable Rate separately for each period during such quarter that such Applicable Rate was in effect.</w:t>
      </w:r>
    </w:p>
    <w:p>
      <w:pPr>
        <w:spacing w:after="0" w:line="162" w:lineRule="exact"/>
        <w:rPr>
          <w:rFonts w:ascii="Arial" w:cs="Arial" w:eastAsia="Arial" w:hAnsi="Arial"/>
          <w:sz w:val="19"/>
          <w:szCs w:val="19"/>
          <w:u w:val="single" w:color="auto"/>
          <w:color w:val="auto"/>
        </w:rPr>
      </w:pPr>
    </w:p>
    <w:p>
      <w:pPr>
        <w:ind w:left="1469" w:hanging="420"/>
        <w:spacing w:after="0"/>
        <w:tabs>
          <w:tab w:leader="none" w:pos="1469" w:val="left"/>
        </w:tabs>
        <w:numPr>
          <w:ilvl w:val="0"/>
          <w:numId w:val="8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left="1369" w:firstLine="652"/>
        <w:spacing w:after="0" w:line="218" w:lineRule="auto"/>
        <w:tabs>
          <w:tab w:leader="none" w:pos="2662"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applicable Borrowers shall pay to the Persons entitled thereto, for their own account, in Dollars, fees in the amounts and at the times specified in the Fee Letter. Such fees shall be fully earned when paid and shall not be refundable for any reason whatsoever.</w:t>
      </w:r>
    </w:p>
    <w:p>
      <w:pPr>
        <w:spacing w:after="0" w:line="156" w:lineRule="exact"/>
        <w:rPr>
          <w:rFonts w:ascii="Arial" w:cs="Arial" w:eastAsia="Arial" w:hAnsi="Arial"/>
          <w:sz w:val="20"/>
          <w:szCs w:val="20"/>
          <w:color w:val="auto"/>
        </w:rPr>
      </w:pPr>
    </w:p>
    <w:p>
      <w:pPr>
        <w:ind w:left="1369" w:firstLine="652"/>
        <w:spacing w:after="0" w:line="229" w:lineRule="auto"/>
        <w:tabs>
          <w:tab w:leader="none" w:pos="2663"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applicable Borrowers shall pay to the Lenders and the Arrangers, such fees as shall have been separately agreed upon in writing and disclosed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09"/>
          </w:cols>
          <w:pgMar w:left="251" w:top="1405" w:right="339" w:bottom="1440" w:gutter="0" w:footer="0" w:header="0"/>
        </w:sectPr>
      </w:pPr>
    </w:p>
    <w:bookmarkStart w:id="109" w:name="page110"/>
    <w:bookmarkEnd w:id="109"/>
    <w:p>
      <w:pPr>
        <w:ind w:left="1380"/>
        <w:spacing w:after="0" w:line="229" w:lineRule="auto"/>
        <w:rPr>
          <w:sz w:val="20"/>
          <w:szCs w:val="20"/>
          <w:color w:val="auto"/>
        </w:rPr>
      </w:pPr>
      <w:r>
        <w:rPr>
          <w:rFonts w:ascii="Arial" w:cs="Arial" w:eastAsia="Arial" w:hAnsi="Arial"/>
          <w:sz w:val="20"/>
          <w:szCs w:val="20"/>
          <w:color w:val="auto"/>
        </w:rPr>
        <w:t>Administrative Agent in the amounts and at the times so specified. Such fees shall be fully earned when paid and shall not be refundable for any reason whatsoever.</w:t>
      </w:r>
    </w:p>
    <w:p>
      <w:pPr>
        <w:spacing w:after="0" w:line="149" w:lineRule="exact"/>
        <w:rPr>
          <w:sz w:val="20"/>
          <w:szCs w:val="20"/>
          <w:color w:val="auto"/>
        </w:rPr>
      </w:pPr>
    </w:p>
    <w:p>
      <w:pPr>
        <w:ind w:left="300" w:hanging="289"/>
        <w:spacing w:after="0"/>
        <w:tabs>
          <w:tab w:leader="none" w:pos="300" w:val="left"/>
        </w:tabs>
        <w:numPr>
          <w:ilvl w:val="1"/>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Computation of Interest and Fees; Retroactive Adjustments of Applicable Rate.</w:t>
      </w:r>
    </w:p>
    <w:p>
      <w:pPr>
        <w:spacing w:after="0" w:line="181" w:lineRule="exact"/>
        <w:rPr>
          <w:rFonts w:ascii="Arial" w:cs="Arial" w:eastAsia="Arial" w:hAnsi="Arial"/>
          <w:sz w:val="20"/>
          <w:szCs w:val="20"/>
          <w:b w:val="1"/>
          <w:bCs w:val="1"/>
          <w:color w:val="auto"/>
        </w:rPr>
      </w:pPr>
    </w:p>
    <w:p>
      <w:pPr>
        <w:jc w:val="both"/>
        <w:ind w:left="80" w:firstLine="980"/>
        <w:spacing w:after="0" w:line="215" w:lineRule="auto"/>
        <w:tabs>
          <w:tab w:leader="none" w:pos="1476" w:val="left"/>
        </w:tabs>
        <w:numPr>
          <w:ilvl w:val="2"/>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 xml:space="preserve">. All computations of interest for Base Rate Loans (including Base Rate Loans determined by reference to Term SOFR) and for Alternative Currency Loans shall be made on the basis of a year of 365 or 366 days, as the case may be, and actual days elapsed, or, in the case of interest in respect of Alternative Currency Loans as to which market practice differs from the foregoing, in accordance with such market practice. All other computations of fees and interest shall be made on the basis of a 360-day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2.12(a)</w:t>
      </w:r>
      <w:r>
        <w:rPr>
          <w:rFonts w:ascii="Arial" w:cs="Arial" w:eastAsia="Arial" w:hAnsi="Arial"/>
          <w:sz w:val="19"/>
          <w:szCs w:val="19"/>
          <w:color w:val="auto"/>
        </w:rPr>
        <w:t>, bear interest for one (1) day. Each determination by the Administrative Agent of an interest rate or fee hereunder shall be conclusive and binding for all purposes, absent manifest error.</w:t>
      </w:r>
    </w:p>
    <w:p>
      <w:pPr>
        <w:spacing w:after="0" w:line="155" w:lineRule="exact"/>
        <w:rPr>
          <w:rFonts w:ascii="Arial" w:cs="Arial" w:eastAsia="Arial" w:hAnsi="Arial"/>
          <w:sz w:val="19"/>
          <w:szCs w:val="19"/>
          <w:u w:val="single" w:color="auto"/>
          <w:color w:val="auto"/>
        </w:rPr>
      </w:pPr>
    </w:p>
    <w:p>
      <w:pPr>
        <w:jc w:val="both"/>
        <w:ind w:left="80" w:firstLine="980"/>
        <w:spacing w:after="0" w:line="212" w:lineRule="auto"/>
        <w:tabs>
          <w:tab w:leader="none" w:pos="1514" w:val="left"/>
        </w:tabs>
        <w:numPr>
          <w:ilvl w:val="2"/>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Financial Statement Adjustments or Restatements</w:t>
      </w:r>
      <w:r>
        <w:rPr>
          <w:rFonts w:ascii="Arial" w:cs="Arial" w:eastAsia="Arial" w:hAnsi="Arial"/>
          <w:sz w:val="19"/>
          <w:szCs w:val="19"/>
          <w:color w:val="auto"/>
        </w:rPr>
        <w:t xml:space="preserve">. If, as a result of any restatement of or other adjustment to the financial statements of the Company and its Subsidiaries or for any other reason, the Company or the Lenders determine that (i) the Consolidated Leverage Ratio as calculated by the Company as of any applicable date was inaccurate and (ii) a proper calculation of the Consolidated Leverage Ratio would have resulted in higher interest and fees for such period, the Borrowers shall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any Borrower under the Bankruptcy Code,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any provision of this Agreement to payment of any Obligations hereunder at the Default Rate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The Borrowers’ obligations under this paragraph shall survive the termination of the Aggregate Revolving Commitments and the repayment of all other Obligations hereunder. Any additional interest or fees under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shall not be due and payable until a demand is made for such payment by the Administrative Agent and accordingly, any nonpayment of such interest or fees as a result of any such inaccuracy shall not constitute a Default (whether retroactively or otherwise), and none of such additional amounts shall be deemed overdue or accrue interest at the Default Rate.</w:t>
      </w:r>
    </w:p>
    <w:p>
      <w:pPr>
        <w:spacing w:after="0" w:line="150" w:lineRule="exact"/>
        <w:rPr>
          <w:rFonts w:ascii="Arial" w:cs="Arial" w:eastAsia="Arial" w:hAnsi="Arial"/>
          <w:sz w:val="19"/>
          <w:szCs w:val="19"/>
          <w:u w:val="single" w:color="auto"/>
          <w:color w:val="auto"/>
        </w:rPr>
      </w:pPr>
    </w:p>
    <w:p>
      <w:pPr>
        <w:spacing w:after="0"/>
        <w:rPr>
          <w:rFonts w:ascii="Arial" w:cs="Arial" w:eastAsia="Arial" w:hAnsi="Arial"/>
          <w:sz w:val="19"/>
          <w:szCs w:val="19"/>
          <w:u w:val="single" w:color="auto"/>
          <w:color w:val="auto"/>
        </w:rPr>
      </w:pPr>
      <w:r>
        <w:rPr>
          <w:rFonts w:ascii="Arial" w:cs="Arial" w:eastAsia="Arial" w:hAnsi="Arial"/>
          <w:sz w:val="20"/>
          <w:szCs w:val="20"/>
          <w:b w:val="1"/>
          <w:bCs w:val="1"/>
          <w:color w:val="auto"/>
        </w:rPr>
        <w:t>1  Evidence of Debt.</w:t>
      </w:r>
    </w:p>
    <w:p>
      <w:pPr>
        <w:spacing w:after="0" w:line="181" w:lineRule="exact"/>
        <w:rPr>
          <w:rFonts w:ascii="Arial" w:cs="Arial" w:eastAsia="Arial" w:hAnsi="Arial"/>
          <w:sz w:val="19"/>
          <w:szCs w:val="19"/>
          <w:u w:val="single" w:color="auto"/>
          <w:color w:val="auto"/>
        </w:rPr>
      </w:pPr>
    </w:p>
    <w:p>
      <w:pPr>
        <w:jc w:val="both"/>
        <w:ind w:left="80" w:firstLine="980"/>
        <w:spacing w:after="0" w:line="226" w:lineRule="auto"/>
        <w:tabs>
          <w:tab w:leader="none" w:pos="1550" w:val="left"/>
        </w:tabs>
        <w:numPr>
          <w:ilvl w:val="2"/>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Maintenance of Accounts</w:t>
      </w:r>
      <w:r>
        <w:rPr>
          <w:rFonts w:ascii="Arial" w:cs="Arial" w:eastAsia="Arial" w:hAnsi="Arial"/>
          <w:sz w:val="18"/>
          <w:szCs w:val="18"/>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Arial" w:cs="Arial" w:eastAsia="Arial" w:hAnsi="Arial"/>
          <w:sz w:val="18"/>
          <w:szCs w:val="18"/>
          <w:u w:val="single" w:color="auto"/>
          <w:color w:val="auto"/>
        </w:rPr>
        <w:t>Section 11.06(c)</w:t>
      </w:r>
      <w:r>
        <w:rPr>
          <w:rFonts w:ascii="Arial" w:cs="Arial" w:eastAsia="Arial" w:hAnsi="Arial"/>
          <w:sz w:val="18"/>
          <w:szCs w:val="18"/>
          <w:color w:val="auto"/>
        </w:rPr>
        <w:t>.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Borrowers shall execute and deliver to such Lender (through the Administrative Agent) a Revolving Note, which shall evidence such Lender’s Loans in addition to such accounts or records. Each Lender may attach schedules to its Revolving Note and endorse thereon the date, Type (if applicable), amount, currency and maturity of its Loans and payments with respect thereto.</w:t>
      </w:r>
    </w:p>
    <w:p>
      <w:pPr>
        <w:spacing w:after="0" w:line="156" w:lineRule="exact"/>
        <w:rPr>
          <w:rFonts w:ascii="Arial" w:cs="Arial" w:eastAsia="Arial" w:hAnsi="Arial"/>
          <w:sz w:val="18"/>
          <w:szCs w:val="18"/>
          <w:u w:val="single" w:color="auto"/>
          <w:color w:val="auto"/>
        </w:rPr>
      </w:pPr>
    </w:p>
    <w:p>
      <w:pPr>
        <w:jc w:val="both"/>
        <w:ind w:left="80" w:firstLine="980"/>
        <w:spacing w:after="0" w:line="218" w:lineRule="auto"/>
        <w:tabs>
          <w:tab w:leader="none" w:pos="1607" w:val="left"/>
        </w:tabs>
        <w:numPr>
          <w:ilvl w:val="2"/>
          <w:numId w:val="8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Maintenance of Records</w:t>
      </w:r>
      <w:r>
        <w:rPr>
          <w:rFonts w:ascii="Arial" w:cs="Arial" w:eastAsia="Arial" w:hAnsi="Arial"/>
          <w:sz w:val="20"/>
          <w:szCs w:val="20"/>
          <w:color w:val="auto"/>
        </w:rPr>
        <w:t xml:space="preserve">. 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-5273040</wp:posOffset>
            </wp:positionV>
            <wp:extent cx="4443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4373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-1861185</wp:posOffset>
            </wp:positionV>
            <wp:extent cx="11156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5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320"/>
          </w:cols>
          <w:pgMar w:left="240" w:top="1405" w:right="339" w:bottom="1440" w:gutter="0" w:footer="0" w:header="0"/>
        </w:sectPr>
      </w:pPr>
    </w:p>
    <w:bookmarkStart w:id="110" w:name="page111"/>
    <w:bookmarkEnd w:id="110"/>
    <w:p>
      <w:pPr>
        <w:jc w:val="both"/>
        <w:ind w:left="69"/>
        <w:spacing w:after="0" w:line="218" w:lineRule="auto"/>
        <w:rPr>
          <w:sz w:val="20"/>
          <w:szCs w:val="20"/>
          <w:color w:val="auto"/>
        </w:rPr>
      </w:pPr>
      <w:r>
        <w:rPr>
          <w:rFonts w:ascii="Arial" w:cs="Arial" w:eastAsia="Arial" w:hAnsi="Arial"/>
          <w:sz w:val="20"/>
          <w:szCs w:val="20"/>
          <w:color w:val="auto"/>
        </w:rPr>
        <w:t>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50" w:lineRule="exact"/>
        <w:rPr>
          <w:sz w:val="20"/>
          <w:szCs w:val="20"/>
          <w:color w:val="auto"/>
        </w:rPr>
      </w:pPr>
    </w:p>
    <w:p>
      <w:pPr>
        <w:ind w:left="289" w:hanging="289"/>
        <w:spacing w:after="0"/>
        <w:tabs>
          <w:tab w:leader="none" w:pos="289"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Payments Generally; Administrative Agent’s Clawback.</w:t>
      </w:r>
    </w:p>
    <w:p>
      <w:pPr>
        <w:spacing w:after="0" w:line="181" w:lineRule="exact"/>
        <w:rPr>
          <w:rFonts w:ascii="Arial" w:cs="Arial" w:eastAsia="Arial" w:hAnsi="Arial"/>
          <w:sz w:val="20"/>
          <w:szCs w:val="20"/>
          <w:b w:val="1"/>
          <w:bCs w:val="1"/>
          <w:color w:val="auto"/>
        </w:rPr>
      </w:pPr>
    </w:p>
    <w:p>
      <w:pPr>
        <w:jc w:val="both"/>
        <w:ind w:left="69" w:firstLine="980"/>
        <w:spacing w:after="0" w:line="223" w:lineRule="auto"/>
        <w:tabs>
          <w:tab w:leader="none" w:pos="1472" w:val="left"/>
        </w:tabs>
        <w:numPr>
          <w:ilvl w:val="1"/>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All payments to be made by the Borrowers shall be made free and clear of and without condition or deduction for any counterclaim, defense, recoupment or setoff. Except as otherwise expressly provided herein and except with respect to principal of and interest on Alternative Currency Loans,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Alternative Currency Loans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Appropriate Lender its relevant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and as otherwise specifically provided for in this Agreement,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151" w:lineRule="exact"/>
        <w:rPr>
          <w:rFonts w:ascii="Arial" w:cs="Arial" w:eastAsia="Arial" w:hAnsi="Arial"/>
          <w:sz w:val="18"/>
          <w:szCs w:val="18"/>
          <w:u w:val="single" w:color="auto"/>
          <w:color w:val="auto"/>
        </w:rPr>
      </w:pPr>
    </w:p>
    <w:p>
      <w:pPr>
        <w:jc w:val="both"/>
        <w:ind w:left="69" w:firstLine="980"/>
        <w:spacing w:after="0" w:line="222" w:lineRule="auto"/>
        <w:tabs>
          <w:tab w:leader="none" w:pos="1576"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Unless the Administrative Agent shall have received</w:t>
      </w:r>
      <w:r>
        <w:rPr>
          <w:rFonts w:ascii="Arial" w:cs="Arial" w:eastAsia="Arial" w:hAnsi="Arial"/>
          <w:sz w:val="21"/>
          <w:szCs w:val="21"/>
          <w:color w:val="auto"/>
        </w:rPr>
        <w:t xml:space="preserve"> </w:t>
      </w:r>
      <w:r>
        <w:rPr>
          <w:rFonts w:ascii="Arial" w:cs="Arial" w:eastAsia="Arial" w:hAnsi="Arial"/>
          <w:sz w:val="18"/>
          <w:szCs w:val="18"/>
          <w:color w:val="auto"/>
        </w:rPr>
        <w:t xml:space="preserve">notice from a Lender prior to the proposed date of any Borrowing of Term SOFR Loans or Alternative Currency Loans (or, in the case of any Borrowing of Base Rate Loans or SOFR Daily Floating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or SOFR Daily Floating Rate Loans, that such Lender has made such share available in accordance with and at the time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the applicable Borrower to but excluding the date of payment to the Administrative Agent, at (A) in the case of a payment to be made by such Lender, the Overnight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Administrative Agent in connection with the foregoing and (B) in the case of a payment to be made by any Borrower, the interest rate applicable to Base Rate Loans or in the case of Alternative Currencies in accordance with such market practice, in each case as applicable. If the applicable Borrower and such Lender shall pay such interest to the Administrative Agent for the same or an overlapping period, the Administrative Agent shall promptly remit to the applicable Borrower the amount of such interest paid by the applicable Borrower for such period. If such Lender pays its share of the applicable Borrowing to the Administrative Agent, then the amount so paid shall constitute such Lender’s Loan included in such Borrowing. Any payment by the applicable Borrower shall be without prejudice to any claim the applicable Borrower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-4750435</wp:posOffset>
            </wp:positionV>
            <wp:extent cx="3183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09"/>
          </w:cols>
          <w:pgMar w:left="251" w:top="1405" w:right="339" w:bottom="1440" w:gutter="0" w:footer="0" w:header="0"/>
        </w:sectPr>
      </w:pPr>
    </w:p>
    <w:bookmarkStart w:id="111" w:name="page112"/>
    <w:bookmarkEnd w:id="111"/>
    <w:p>
      <w:pPr>
        <w:jc w:val="both"/>
        <w:ind w:left="660" w:firstLine="968"/>
        <w:spacing w:after="0" w:line="224" w:lineRule="auto"/>
        <w:tabs>
          <w:tab w:leader="none" w:pos="2201" w:val="left"/>
        </w:tabs>
        <w:numPr>
          <w:ilvl w:val="0"/>
          <w:numId w:val="8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the Company prior to the date on which any payment is due to the Administrative Agent for the account of the Lenders or the L/C Issuers hereunder that the applicable Borrower will not make such payment, the Administrative Agent may assume that the Borrowers have made such payment on such date in accordance herewith and may, in reliance upon such assumption, distribute to the Appropriate Lenders or the applicable L/C Issuers, as the case may be, the amount due. With respect to any payment that the Administrative Agent makes for the account of any Lender or any L/C Issuer hereunder as to which the Administrative Agent determines (which determination shall be conclusive absent manifest error) that any of the following applies (such payment referred to as a “</w:t>
      </w:r>
      <w:r>
        <w:rPr>
          <w:rFonts w:ascii="Arial" w:cs="Arial" w:eastAsia="Arial" w:hAnsi="Arial"/>
          <w:sz w:val="18"/>
          <w:szCs w:val="18"/>
          <w:u w:val="single" w:color="auto"/>
          <w:color w:val="auto"/>
        </w:rPr>
        <w:t>Rescindable Amount</w:t>
      </w:r>
      <w:r>
        <w:rPr>
          <w:rFonts w:ascii="Arial" w:cs="Arial" w:eastAsia="Arial" w:hAnsi="Arial"/>
          <w:sz w:val="18"/>
          <w:szCs w:val="18"/>
          <w:color w:val="auto"/>
        </w:rPr>
        <w:t>”): (A) the applicable Borrower has not in fact made such payment; (B) the Administrative Agent has made a payment in excess of the amount so paid by such Borrower (whether or not then owed); or (C)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notice of the Administrative Agent to any Lender or the Company with respect to any amount owing under this subsection</w:t>
      </w:r>
    </w:p>
    <w:p>
      <w:pPr>
        <w:ind w:left="940" w:hanging="284"/>
        <w:spacing w:after="0"/>
        <w:tabs>
          <w:tab w:leader="none" w:pos="9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shall be conclusive, absent manifest error.</w:t>
      </w:r>
    </w:p>
    <w:p>
      <w:pPr>
        <w:spacing w:after="0" w:line="159" w:lineRule="exact"/>
        <w:rPr>
          <w:rFonts w:ascii="Arial" w:cs="Arial" w:eastAsia="Arial" w:hAnsi="Arial"/>
          <w:sz w:val="20"/>
          <w:szCs w:val="20"/>
          <w:color w:val="auto"/>
        </w:rPr>
      </w:pPr>
    </w:p>
    <w:p>
      <w:pPr>
        <w:jc w:val="both"/>
        <w:ind w:firstLine="980"/>
        <w:spacing w:after="0" w:line="210" w:lineRule="auto"/>
        <w:tabs>
          <w:tab w:leader="none" w:pos="1423" w:val="left"/>
        </w:tabs>
        <w:numPr>
          <w:ilvl w:val="1"/>
          <w:numId w:val="8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Borrowers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54" w:lineRule="exact"/>
        <w:rPr>
          <w:rFonts w:ascii="Arial" w:cs="Arial" w:eastAsia="Arial" w:hAnsi="Arial"/>
          <w:sz w:val="20"/>
          <w:szCs w:val="20"/>
          <w:u w:val="single" w:color="auto"/>
          <w:color w:val="auto"/>
        </w:rPr>
      </w:pPr>
    </w:p>
    <w:p>
      <w:pPr>
        <w:jc w:val="both"/>
        <w:ind w:firstLine="980"/>
        <w:spacing w:after="0" w:line="233" w:lineRule="auto"/>
        <w:tabs>
          <w:tab w:leader="none" w:pos="1424" w:val="left"/>
        </w:tabs>
        <w:numPr>
          <w:ilvl w:val="1"/>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Revolving Loans, to fund participations in Letters of Credit and Swingline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56" w:lineRule="exact"/>
        <w:rPr>
          <w:rFonts w:ascii="Arial" w:cs="Arial" w:eastAsia="Arial" w:hAnsi="Arial"/>
          <w:sz w:val="18"/>
          <w:szCs w:val="18"/>
          <w:u w:val="single" w:color="auto"/>
          <w:color w:val="auto"/>
        </w:rPr>
      </w:pPr>
    </w:p>
    <w:p>
      <w:pPr>
        <w:jc w:val="both"/>
        <w:ind w:firstLine="980"/>
        <w:spacing w:after="0" w:line="218" w:lineRule="auto"/>
        <w:tabs>
          <w:tab w:leader="none" w:pos="1411" w:val="left"/>
        </w:tabs>
        <w:numPr>
          <w:ilvl w:val="1"/>
          <w:numId w:val="8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6" w:lineRule="exact"/>
        <w:rPr>
          <w:rFonts w:ascii="Arial" w:cs="Arial" w:eastAsia="Arial" w:hAnsi="Arial"/>
          <w:sz w:val="20"/>
          <w:szCs w:val="20"/>
          <w:u w:val="single" w:color="auto"/>
          <w:color w:val="auto"/>
        </w:rPr>
      </w:pPr>
    </w:p>
    <w:p>
      <w:pPr>
        <w:jc w:val="both"/>
        <w:ind w:firstLine="980"/>
        <w:spacing w:after="0" w:line="226" w:lineRule="auto"/>
        <w:tabs>
          <w:tab w:leader="none" w:pos="1386" w:val="left"/>
        </w:tabs>
        <w:numPr>
          <w:ilvl w:val="1"/>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Pro Rata Treatment</w:t>
      </w:r>
      <w:r>
        <w:rPr>
          <w:rFonts w:ascii="Arial" w:cs="Arial" w:eastAsia="Arial" w:hAnsi="Arial"/>
          <w:sz w:val="18"/>
          <w:szCs w:val="18"/>
          <w:color w:val="auto"/>
        </w:rPr>
        <w:t xml:space="preserve">. Except to the extent otherwise provided herein: (i) each Borrowing (other than Swingline Borrowings) shall be made from the Appropriate Lenders, each payment of fees under </w:t>
      </w:r>
      <w:r>
        <w:rPr>
          <w:rFonts w:ascii="Arial" w:cs="Arial" w:eastAsia="Arial" w:hAnsi="Arial"/>
          <w:sz w:val="18"/>
          <w:szCs w:val="18"/>
          <w:u w:val="single" w:color="auto"/>
          <w:color w:val="auto"/>
        </w:rPr>
        <w:t>Sections 2.09(a)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2.03(h)</w:t>
      </w:r>
      <w:r>
        <w:rPr>
          <w:rFonts w:ascii="Arial" w:cs="Arial" w:eastAsia="Arial" w:hAnsi="Arial"/>
          <w:sz w:val="18"/>
          <w:szCs w:val="18"/>
          <w:color w:val="auto"/>
        </w:rPr>
        <w:t xml:space="preserve"> and shall be made for account of the Appropriate Lenders, and each termination or reduction of the amount of the Revolving Commitments shall be applied to the respective Revolving Commitments of the Lenders, pro rata according to the amounts of their respective Revolving Commitments; (ii) each Revolving Borrowing shall be allocated pro rata among the Lenders according to the amounts of their respective Revolving Commitments (in the case of the making of Revolving Loans) or their respective Loans that are to be included in such Borrowing (in the case of conversions and continuations of Loans); (iii) each payment or prepayment of principal of Loans by the Borrowers shall be made for account of the Appropriate Lenders pro rata in accordance with the respective unpaid principal amounts of the Loans held by them; and (iv) each payment of interest on Loans by the Borrowers shall be made for account of the Appropriate Lenders pro rata in accordance with the amounts of interest on such Loans then due and payable to the respective Appropriate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1405" w:right="339" w:bottom="1440" w:gutter="0" w:footer="0" w:header="0"/>
        </w:sectPr>
      </w:pPr>
    </w:p>
    <w:bookmarkStart w:id="112" w:name="page113"/>
    <w:bookmarkEnd w:id="112"/>
    <w:p>
      <w:pPr>
        <w:ind w:left="289" w:hanging="289"/>
        <w:spacing w:after="0"/>
        <w:tabs>
          <w:tab w:leader="none" w:pos="289"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Sharing of Payments by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9602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0245"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1" w:lineRule="auto"/>
        <w:rPr>
          <w:sz w:val="20"/>
          <w:szCs w:val="20"/>
          <w:color w:val="auto"/>
        </w:rPr>
      </w:pPr>
      <w:r>
        <w:rPr>
          <w:rFonts w:ascii="Arial" w:cs="Arial" w:eastAsia="Arial" w:hAnsi="Arial"/>
          <w:sz w:val="18"/>
          <w:szCs w:val="18"/>
          <w:color w:val="auto"/>
        </w:rPr>
        <w:t xml:space="preserve">If any Lender shall, by exercising any right of setoff or counterclaim or otherwise, obtain payment in respect of (a) Obligations in respect of the Revolving Facility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Revolving Facility due and payable to all Lenders hereunder and under the other Loan Documents at such time) of payments on account of the Obligations in respect of the Revolving Facility due and payable to all Lenders hereunder and under the other Loan Documents at such time obtained by all the Lenders at such time or (b) Obligations in respect of any of the Revolving Facility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Revolving Facility owing (but not due and payable) to all Lenders hereunder and under the other Loan Documents at such time) of payments on account of the Obligations in respect of the Revolving Facility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Revolving Facility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if any such participations or subparticipations are purchased and all or any portion of the payment giving rise thereto is recovered, such participations or subparticipations shall be rescinded and the purchase price restored to the extent of such recovery, without interest; and (2) the provisions of this Section shall not be construed to apply to (x) any payment made by or on behalf of the Borrowers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8"/>
          <w:szCs w:val="18"/>
          <w:u w:val="single" w:color="auto"/>
          <w:color w:val="auto"/>
        </w:rPr>
        <w:t>Section 2.14</w:t>
      </w:r>
      <w:r>
        <w:rPr>
          <w:rFonts w:ascii="Arial" w:cs="Arial" w:eastAsia="Arial" w:hAnsi="Arial"/>
          <w:sz w:val="18"/>
          <w:szCs w:val="18"/>
          <w:color w:val="auto"/>
        </w:rPr>
        <w:t>, or (z)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Section shall apply). 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8" w:lineRule="exact"/>
        <w:rPr>
          <w:sz w:val="20"/>
          <w:szCs w:val="20"/>
          <w:color w:val="auto"/>
        </w:rPr>
      </w:pPr>
    </w:p>
    <w:p>
      <w:pPr>
        <w:ind w:left="289" w:hanging="289"/>
        <w:spacing w:after="0"/>
        <w:tabs>
          <w:tab w:leader="none" w:pos="289"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Cash Collateral.</w:t>
      </w:r>
    </w:p>
    <w:p>
      <w:pPr>
        <w:spacing w:after="0" w:line="181" w:lineRule="exact"/>
        <w:rPr>
          <w:rFonts w:ascii="Arial" w:cs="Arial" w:eastAsia="Arial" w:hAnsi="Arial"/>
          <w:sz w:val="20"/>
          <w:szCs w:val="20"/>
          <w:b w:val="1"/>
          <w:bCs w:val="1"/>
          <w:color w:val="auto"/>
        </w:rPr>
      </w:pPr>
    </w:p>
    <w:p>
      <w:pPr>
        <w:jc w:val="both"/>
        <w:ind w:left="729" w:firstLine="644"/>
        <w:spacing w:after="0" w:line="227" w:lineRule="auto"/>
        <w:tabs>
          <w:tab w:leader="none" w:pos="2015"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any L/C Issuer has honored any full or partial drawing request under any Letter of Credit and such drawing has resulted in an L/C Borrowing, (ii) as of the Letter of Credit Expiration Date, any L/C Obligation for any reason remains outstanding, (iii) any Borrower shall be required to provide Cash Collateral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8.02(c)</w:t>
      </w:r>
      <w:r>
        <w:rPr>
          <w:rFonts w:ascii="Arial" w:cs="Arial" w:eastAsia="Arial" w:hAnsi="Arial"/>
          <w:sz w:val="18"/>
          <w:szCs w:val="18"/>
          <w:color w:val="auto"/>
        </w:rPr>
        <w:t xml:space="preserve"> or (iv) there shall exist a Defaulting Lender, the applicable Borrowers shall, solely with respect to their respective outstanding Letters of Credit or L/C Borrowings, as applicable, immediately (in the case of clause (iii) above, except to the extent a longer period is provided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as applicable) or within one (1) Business Day (in all other cases) following any request by the Administrative Agent or any L/C Issuer, provide Cash Collateral in an amount not less than the applicable Minimum Collateral Amount (determined in the case of Cash Collateral provided pursuant to clause (iv) above,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and any Cash Collateral provided by such Defaulting Lender) or the amount required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as applicable.</w:t>
      </w:r>
    </w:p>
    <w:p>
      <w:pPr>
        <w:spacing w:after="0" w:line="155" w:lineRule="exact"/>
        <w:rPr>
          <w:rFonts w:ascii="Arial" w:cs="Arial" w:eastAsia="Arial" w:hAnsi="Arial"/>
          <w:sz w:val="18"/>
          <w:szCs w:val="18"/>
          <w:color w:val="auto"/>
        </w:rPr>
      </w:pPr>
    </w:p>
    <w:p>
      <w:pPr>
        <w:jc w:val="both"/>
        <w:ind w:left="729" w:firstLine="644"/>
        <w:spacing w:after="0" w:line="244" w:lineRule="auto"/>
        <w:tabs>
          <w:tab w:leader="none" w:pos="201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Each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-1743710</wp:posOffset>
            </wp:positionV>
            <wp:extent cx="10490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309"/>
          </w:cols>
          <w:pgMar w:left="251" w:top="1399" w:right="339" w:bottom="1440" w:gutter="0" w:footer="0" w:header="0"/>
        </w:sectPr>
      </w:pPr>
    </w:p>
    <w:bookmarkStart w:id="113" w:name="page114"/>
    <w:bookmarkEnd w:id="113"/>
    <w:p>
      <w:pPr>
        <w:jc w:val="both"/>
        <w:ind w:left="660"/>
        <w:spacing w:after="0" w:line="224" w:lineRule="auto"/>
        <w:rPr>
          <w:sz w:val="20"/>
          <w:szCs w:val="20"/>
          <w:color w:val="auto"/>
        </w:rPr>
      </w:pPr>
      <w:r>
        <w:rPr>
          <w:rFonts w:ascii="Arial" w:cs="Arial" w:eastAsia="Arial" w:hAnsi="Arial"/>
          <w:sz w:val="18"/>
          <w:szCs w:val="18"/>
          <w:color w:val="auto"/>
        </w:rPr>
        <w:t xml:space="preserve">and all balances therein,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If at any time the Administrative Agent determines that Cash Collateral is subject to any right or claim of any Person other than the Administrative Agent or the L/C Issuers as herein provided, or that the total amount of such Cash Collateral is less than the Minimum Collateral Amount, the applicable Borrower or, to the extent provided by any Defaulting Lender, such Defaulting Lender,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interest bearing deposit accounts at Bank of America (it being understood and agreed that Bank of America and the Administrative Agent make no warranty or guarantee as to the level of, or amount (if any) of, interest with respect to such deposit account). The applicable Borrowers shall pay on demand therefor from time to time all customary account opening, activity and other administrative fees and charges in connection with the maintenance and disbursement of Cash Collateral. Each Designated Foreign Borrower hereby agrees to take all such further acts and to execute, acknowledge, deliver, record, file and register such documents and instruments as the Administrative Agent may reasonably require to carry out the provisions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62" w:lineRule="exact"/>
        <w:rPr>
          <w:sz w:val="20"/>
          <w:szCs w:val="20"/>
          <w:color w:val="auto"/>
        </w:rPr>
      </w:pPr>
    </w:p>
    <w:p>
      <w:pPr>
        <w:jc w:val="both"/>
        <w:ind w:left="660" w:firstLine="644"/>
        <w:spacing w:after="0" w:line="258" w:lineRule="auto"/>
        <w:tabs>
          <w:tab w:leader="none" w:pos="194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8.02</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Cash Collateral provided in respect of any Obligations of a Designated Foreign Borrower shall be applied to the satisfaction of any Obligations of or attributable to any U.S.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Borrowers shall cause Cash Collateral to be provided by each applicable Borrower in an amount sufficient to Cash Collateralize the L/C Obligations related to such Borrower, as provided herein.</w:t>
      </w:r>
    </w:p>
    <w:p>
      <w:pPr>
        <w:spacing w:after="0" w:line="145" w:lineRule="exact"/>
        <w:rPr>
          <w:rFonts w:ascii="Arial" w:cs="Arial" w:eastAsia="Arial" w:hAnsi="Arial"/>
          <w:sz w:val="16"/>
          <w:szCs w:val="16"/>
          <w:color w:val="auto"/>
        </w:rPr>
      </w:pPr>
    </w:p>
    <w:p>
      <w:pPr>
        <w:jc w:val="both"/>
        <w:ind w:left="660" w:firstLine="644"/>
        <w:spacing w:after="0" w:line="204" w:lineRule="auto"/>
        <w:tabs>
          <w:tab w:leader="none" w:pos="1944"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20"/>
          <w:szCs w:val="20"/>
          <w:u w:val="single" w:color="auto"/>
          <w:color w:val="auto"/>
        </w:rPr>
        <w:t>Section 11.06(b)(vi)</w:t>
      </w:r>
      <w:r>
        <w:rPr>
          <w:rFonts w:ascii="Arial" w:cs="Arial" w:eastAsia="Arial" w:hAnsi="Arial"/>
          <w:sz w:val="20"/>
          <w:szCs w:val="20"/>
          <w:color w:val="auto"/>
        </w:rPr>
        <w:t xml:space="preserve">)) or (ii) the determination by the Administrative Agent and the applicable L/C Issuer that there exists excess Cash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applicable L/C Issuer may agree that Cash Collateral shall not be released but instead held to support future anticipated Fronting Exposure or other obligations.</w:t>
      </w:r>
    </w:p>
    <w:p>
      <w:pPr>
        <w:spacing w:after="0" w:line="157" w:lineRule="exact"/>
        <w:rPr>
          <w:rFonts w:ascii="Arial" w:cs="Arial" w:eastAsia="Arial" w:hAnsi="Arial"/>
          <w:sz w:val="20"/>
          <w:szCs w:val="20"/>
          <w:color w:val="auto"/>
        </w:rPr>
      </w:pPr>
    </w:p>
    <w:p>
      <w:pPr>
        <w:jc w:val="both"/>
        <w:ind w:left="660" w:firstLine="644"/>
        <w:spacing w:after="0" w:line="214" w:lineRule="auto"/>
        <w:tabs>
          <w:tab w:leader="none" w:pos="194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Release of Lenders’ Obligations</w:t>
      </w:r>
      <w:r>
        <w:rPr>
          <w:rFonts w:ascii="Arial" w:cs="Arial" w:eastAsia="Arial" w:hAnsi="Arial"/>
          <w:sz w:val="19"/>
          <w:szCs w:val="19"/>
          <w:color w:val="auto"/>
        </w:rPr>
        <w:t xml:space="preserve">. Notwithstanding anything to the contrary contained herein or in any other Loan Document, in the event that (i) any applicable L/C Issuer shall have issued, in accordance with </w:t>
      </w:r>
      <w:r>
        <w:rPr>
          <w:rFonts w:ascii="Arial" w:cs="Arial" w:eastAsia="Arial" w:hAnsi="Arial"/>
          <w:sz w:val="19"/>
          <w:szCs w:val="19"/>
          <w:u w:val="single" w:color="auto"/>
          <w:color w:val="auto"/>
        </w:rPr>
        <w:t>Section 2.03(a)(ii)(B)</w:t>
      </w:r>
      <w:r>
        <w:rPr>
          <w:rFonts w:ascii="Arial" w:cs="Arial" w:eastAsia="Arial" w:hAnsi="Arial"/>
          <w:sz w:val="19"/>
          <w:szCs w:val="19"/>
          <w:color w:val="auto"/>
        </w:rPr>
        <w:t xml:space="preserve">, a Letter of Credit with an expiry date occurring after the Letter of Credit Expiration Date and (ii) the Borrowers shall have Cash Collateralized the Outstanding Amount of all such L/C Obligations in respect of such Letter of Credit pursuant to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above, then, upon the provision of such Cash Collateral and without any further action, each Lender hereunder shall be automatically released from any further obligation to such L/C Issuer in respect of such Letter of Credit, including any obligation of any such Lender to reimburse such L/C Issuer for amounts drawn under such Letter of Credit or to purchase any risk participation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obligations of each Lender hereunder to such L/C Issuer in respect of such Letter of Credit shall be revived if any Cash Collateral provided by the Borrowers in respect of such Letter of Credit is subsequently invalidated, declared to be fraudulent or preferential, set aside or required (including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1405" w:right="339" w:bottom="1440" w:gutter="0" w:footer="0" w:header="0"/>
        </w:sectPr>
      </w:pPr>
    </w:p>
    <w:bookmarkStart w:id="114" w:name="page115"/>
    <w:bookmarkEnd w:id="114"/>
    <w:p>
      <w:pPr>
        <w:jc w:val="both"/>
        <w:ind w:left="729"/>
        <w:spacing w:after="0" w:line="244" w:lineRule="auto"/>
        <w:rPr>
          <w:sz w:val="20"/>
          <w:szCs w:val="20"/>
          <w:color w:val="auto"/>
        </w:rPr>
      </w:pPr>
      <w:r>
        <w:rPr>
          <w:rFonts w:ascii="Arial" w:cs="Arial" w:eastAsia="Arial" w:hAnsi="Arial"/>
          <w:sz w:val="18"/>
          <w:szCs w:val="18"/>
          <w:color w:val="auto"/>
        </w:rPr>
        <w:t>any settlement entered into by the Administrative Agent or such L/C Issuer) to be repaid to a trustee, receiver, examiner, process advisor, or any other party, in connection with any proceeding under any Debtor Relief Laws or otherwise, all as if such Cash Collateral had not been provided. The obligations of the Lenders under this paragraph shall survive the Facility Termination Date.</w:t>
      </w:r>
    </w:p>
    <w:p>
      <w:pPr>
        <w:spacing w:after="0" w:line="146" w:lineRule="exact"/>
        <w:rPr>
          <w:sz w:val="20"/>
          <w:szCs w:val="20"/>
          <w:color w:val="auto"/>
        </w:rPr>
      </w:pPr>
    </w:p>
    <w:p>
      <w:pPr>
        <w:ind w:left="289" w:hanging="289"/>
        <w:spacing w:after="0"/>
        <w:tabs>
          <w:tab w:leader="none" w:pos="289"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Defaulting Lenders.</w:t>
      </w:r>
    </w:p>
    <w:p>
      <w:pPr>
        <w:spacing w:after="0" w:line="181" w:lineRule="exact"/>
        <w:rPr>
          <w:rFonts w:ascii="Arial" w:cs="Arial" w:eastAsia="Arial" w:hAnsi="Arial"/>
          <w:sz w:val="20"/>
          <w:szCs w:val="20"/>
          <w:b w:val="1"/>
          <w:bCs w:val="1"/>
          <w:color w:val="auto"/>
        </w:rPr>
      </w:pPr>
    </w:p>
    <w:p>
      <w:pPr>
        <w:ind w:left="729" w:right="20" w:firstLine="644"/>
        <w:spacing w:after="0" w:line="269" w:lineRule="auto"/>
        <w:tabs>
          <w:tab w:leader="none" w:pos="2015"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0" w:lineRule="exact"/>
        <w:rPr>
          <w:rFonts w:ascii="Arial" w:cs="Arial" w:eastAsia="Arial" w:hAnsi="Arial"/>
          <w:sz w:val="18"/>
          <w:szCs w:val="18"/>
          <w:color w:val="auto"/>
        </w:rPr>
      </w:pPr>
    </w:p>
    <w:p>
      <w:pPr>
        <w:jc w:val="both"/>
        <w:ind w:left="1369" w:firstLine="652"/>
        <w:spacing w:after="0" w:line="218" w:lineRule="auto"/>
        <w:tabs>
          <w:tab w:leader="none" w:pos="2662" w:val="left"/>
        </w:tabs>
        <w:numPr>
          <w:ilvl w:val="2"/>
          <w:numId w:val="92"/>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11.01</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jc w:val="both"/>
        <w:ind w:left="1369" w:firstLine="652"/>
        <w:spacing w:after="0" w:line="221" w:lineRule="auto"/>
        <w:tabs>
          <w:tab w:leader="none" w:pos="2663"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pro rata basis of any amounts owing by such Defaulting Lender to any L/C Issuer or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each L/C Issuer’s Fronting Exposure with respect to such Defaulting Lender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Company, to be held in a deposit account and released pro rata in order to (A) satisfy such Defaulting Lender’s potential future funding obligations with respect to Loans under this Agreement and (B) Cash Collateralize each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Issuers or Swingline Lender as a result of any judgment of a court of competent jurisdiction obtained by any Lender, any L/C Issuer or the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(1) such payment is a payment of the principal amount of any Loans or L/C Borrowings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Revolving Commitments hereunder without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-4631055</wp:posOffset>
            </wp:positionV>
            <wp:extent cx="1244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309"/>
          </w:cols>
          <w:pgMar w:left="251" w:top="1405" w:right="339" w:bottom="1440" w:gutter="0" w:footer="0" w:header="0"/>
        </w:sectPr>
      </w:pPr>
    </w:p>
    <w:bookmarkStart w:id="115" w:name="page116"/>
    <w:bookmarkEnd w:id="115"/>
    <w:p>
      <w:pPr>
        <w:ind w:left="2600" w:hanging="648"/>
        <w:spacing w:after="0"/>
        <w:tabs>
          <w:tab w:leader="none" w:pos="2600" w:val="left"/>
        </w:tabs>
        <w:numPr>
          <w:ilvl w:val="2"/>
          <w:numId w:val="93"/>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960" w:firstLine="640"/>
        <w:spacing w:after="0" w:line="227" w:lineRule="auto"/>
        <w:tabs>
          <w:tab w:leader="none" w:pos="3245" w:val="left"/>
        </w:tabs>
        <w:numPr>
          <w:ilvl w:val="3"/>
          <w:numId w:val="93"/>
        </w:numPr>
        <w:rPr>
          <w:rFonts w:ascii="Arial" w:cs="Arial" w:eastAsia="Arial" w:hAnsi="Arial"/>
          <w:sz w:val="21"/>
          <w:szCs w:val="21"/>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xml:space="preserve">. No Defaulting Lender shall be entitled to receive any fee payable under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168" w:lineRule="exact"/>
        <w:rPr>
          <w:rFonts w:ascii="Arial" w:cs="Arial" w:eastAsia="Arial" w:hAnsi="Arial"/>
          <w:sz w:val="21"/>
          <w:szCs w:val="21"/>
          <w:color w:val="auto"/>
        </w:rPr>
      </w:pPr>
    </w:p>
    <w:p>
      <w:pPr>
        <w:jc w:val="both"/>
        <w:ind w:left="1960" w:firstLine="640"/>
        <w:spacing w:after="0" w:line="245" w:lineRule="auto"/>
        <w:tabs>
          <w:tab w:leader="none" w:pos="3247" w:val="left"/>
        </w:tabs>
        <w:numPr>
          <w:ilvl w:val="3"/>
          <w:numId w:val="93"/>
        </w:numPr>
        <w:rPr>
          <w:rFonts w:ascii="Arial" w:cs="Arial" w:eastAsia="Arial" w:hAnsi="Arial"/>
          <w:sz w:val="19"/>
          <w:szCs w:val="19"/>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64" w:lineRule="exact"/>
        <w:rPr>
          <w:rFonts w:ascii="Arial" w:cs="Arial" w:eastAsia="Arial" w:hAnsi="Arial"/>
          <w:sz w:val="19"/>
          <w:szCs w:val="19"/>
          <w:color w:val="auto"/>
        </w:rPr>
      </w:pPr>
    </w:p>
    <w:p>
      <w:pPr>
        <w:jc w:val="both"/>
        <w:ind w:left="1960" w:firstLine="640"/>
        <w:spacing w:after="0" w:line="229" w:lineRule="auto"/>
        <w:tabs>
          <w:tab w:leader="none" w:pos="3247" w:val="left"/>
        </w:tabs>
        <w:numPr>
          <w:ilvl w:val="3"/>
          <w:numId w:val="93"/>
        </w:numPr>
        <w:rPr>
          <w:rFonts w:ascii="Arial" w:cs="Arial" w:eastAsia="Arial" w:hAnsi="Arial"/>
          <w:sz w:val="19"/>
          <w:szCs w:val="19"/>
          <w:color w:val="auto"/>
        </w:rPr>
      </w:pPr>
      <w:r>
        <w:rPr>
          <w:rFonts w:ascii="Arial" w:cs="Arial" w:eastAsia="Arial" w:hAnsi="Arial"/>
          <w:sz w:val="18"/>
          <w:szCs w:val="18"/>
          <w:u w:val="single" w:color="auto"/>
          <w:color w:val="auto"/>
        </w:rPr>
        <w:t>Defaulting Lender Fees</w:t>
      </w:r>
      <w:r>
        <w:rPr>
          <w:rFonts w:ascii="Arial" w:cs="Arial" w:eastAsia="Arial" w:hAnsi="Arial"/>
          <w:sz w:val="18"/>
          <w:szCs w:val="18"/>
          <w:color w:val="auto"/>
        </w:rPr>
        <w:t xml:space="preserve">. With respect to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or any Letter of Credit Fee not required to be paid to any Defaulting Lender pursuant to clause (A) or (B) above, the Borrowers shall</w:t>
      </w:r>
    </w:p>
    <w:p>
      <w:pPr>
        <w:spacing w:after="0" w:line="1" w:lineRule="exact"/>
        <w:rPr>
          <w:rFonts w:ascii="Arial" w:cs="Arial" w:eastAsia="Arial" w:hAnsi="Arial"/>
          <w:sz w:val="19"/>
          <w:szCs w:val="19"/>
          <w:color w:val="auto"/>
        </w:rPr>
      </w:pPr>
    </w:p>
    <w:p>
      <w:pPr>
        <w:jc w:val="both"/>
        <w:ind w:left="1960"/>
        <w:spacing w:after="0" w:line="205" w:lineRule="auto"/>
        <w:rPr>
          <w:rFonts w:ascii="Arial" w:cs="Arial" w:eastAsia="Arial" w:hAnsi="Arial"/>
          <w:sz w:val="19"/>
          <w:szCs w:val="19"/>
          <w:color w:val="auto"/>
        </w:rPr>
      </w:pPr>
      <w:r>
        <w:rPr>
          <w:rFonts w:ascii="Arial" w:cs="Arial" w:eastAsia="Arial" w:hAnsi="Arial"/>
          <w:sz w:val="20"/>
          <w:szCs w:val="20"/>
          <w:color w:val="auto"/>
        </w:rPr>
        <w:t>(1)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L/C Issuer and Swingline Lender, as applicable, the amount of any such fee otherwise payable to such Defaulting Lender to the extent allocable to such L/C Issuer’s or Swingline Lender’s Fronting Exposure to such Defaulting Lender, and (3) not be required to pay the remaining amount of any such fee.</w:t>
      </w:r>
    </w:p>
    <w:p>
      <w:pPr>
        <w:spacing w:after="0" w:line="155" w:lineRule="exact"/>
        <w:rPr>
          <w:rFonts w:ascii="Arial" w:cs="Arial" w:eastAsia="Arial" w:hAnsi="Arial"/>
          <w:sz w:val="19"/>
          <w:szCs w:val="19"/>
          <w:color w:val="auto"/>
        </w:rPr>
      </w:pPr>
    </w:p>
    <w:p>
      <w:pPr>
        <w:jc w:val="both"/>
        <w:ind w:left="660" w:firstLine="968"/>
        <w:spacing w:after="0" w:line="205" w:lineRule="auto"/>
        <w:tabs>
          <w:tab w:leader="none" w:pos="2135" w:val="left"/>
        </w:tabs>
        <w:numPr>
          <w:ilvl w:val="1"/>
          <w:numId w:val="9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Reallocation of Applicable Percentages to Reduce Fronting Exposure</w:t>
      </w:r>
      <w:r>
        <w:rPr>
          <w:rFonts w:ascii="Arial" w:cs="Arial" w:eastAsia="Arial" w:hAnsi="Arial"/>
          <w:sz w:val="20"/>
          <w:szCs w:val="20"/>
          <w:color w:val="auto"/>
        </w:rPr>
        <w:t xml:space="preserve">. All or any part of such Defaulting Lender’s participation in L/C Obligations and Swingline Loans shall be reallocated among the Non-Defaulting Lenders in accordance with their respective Applicable Percentages (calculated without regard to such Defaulting Lender’s Revolving Commitment) but only to the extent that such reallocation does not cause the aggregate Revolving Exposure of any Non-Defaulting Lender to exceed such Non-Defaulting Lender’s Revolving Commitment. Subject to </w:t>
      </w:r>
      <w:r>
        <w:rPr>
          <w:rFonts w:ascii="Arial" w:cs="Arial" w:eastAsia="Arial" w:hAnsi="Arial"/>
          <w:sz w:val="20"/>
          <w:szCs w:val="20"/>
          <w:u w:val="single" w:color="auto"/>
          <w:color w:val="auto"/>
        </w:rPr>
        <w:t>Section 11.20</w:t>
      </w:r>
      <w:r>
        <w:rPr>
          <w:rFonts w:ascii="Arial" w:cs="Arial" w:eastAsia="Arial" w:hAnsi="Arial"/>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6" w:lineRule="exact"/>
        <w:rPr>
          <w:rFonts w:ascii="Arial" w:cs="Arial" w:eastAsia="Arial" w:hAnsi="Arial"/>
          <w:sz w:val="20"/>
          <w:szCs w:val="20"/>
          <w:u w:val="single" w:color="auto"/>
          <w:color w:val="auto"/>
        </w:rPr>
      </w:pPr>
    </w:p>
    <w:p>
      <w:pPr>
        <w:jc w:val="both"/>
        <w:ind w:left="660" w:firstLine="968"/>
        <w:spacing w:after="0" w:line="236" w:lineRule="auto"/>
        <w:tabs>
          <w:tab w:leader="none" w:pos="2067" w:val="left"/>
        </w:tabs>
        <w:numPr>
          <w:ilvl w:val="1"/>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clause (a)(iv) above cannot, or can only partially, be effected, the applicable Borrowers shall, without prejudice to any right or remedy available to it hereunder or under applicable Law, (A)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Swingline Loans in an amount equal to the Swingline Lender’s Fronting Exposure and (B)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each L/C Issuer’s Fronting Exposure in accordance with the procedures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57" w:lineRule="exact"/>
        <w:rPr>
          <w:rFonts w:ascii="Arial" w:cs="Arial" w:eastAsia="Arial" w:hAnsi="Arial"/>
          <w:sz w:val="18"/>
          <w:szCs w:val="18"/>
          <w:u w:val="single" w:color="auto"/>
          <w:color w:val="auto"/>
        </w:rPr>
      </w:pPr>
    </w:p>
    <w:p>
      <w:pPr>
        <w:jc w:val="both"/>
        <w:ind w:left="660" w:firstLine="644"/>
        <w:spacing w:after="0" w:line="227" w:lineRule="auto"/>
        <w:tabs>
          <w:tab w:leader="none" w:pos="19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Company, the Administrative Agent, Swingline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20" w:top="1405" w:right="339" w:bottom="1440" w:gutter="0" w:footer="0" w:header="0"/>
        </w:sectPr>
      </w:pPr>
    </w:p>
    <w:bookmarkStart w:id="116" w:name="page117"/>
    <w:bookmarkEnd w:id="116"/>
    <w:p>
      <w:pPr>
        <w:ind w:left="729"/>
        <w:spacing w:after="0" w:line="269" w:lineRule="auto"/>
        <w:rPr>
          <w:sz w:val="20"/>
          <w:szCs w:val="20"/>
          <w:color w:val="auto"/>
        </w:rPr>
      </w:pPr>
      <w:r>
        <w:rPr>
          <w:rFonts w:ascii="Arial" w:cs="Arial" w:eastAsia="Arial" w:hAnsi="Arial"/>
          <w:sz w:val="18"/>
          <w:szCs w:val="18"/>
          <w:color w:val="auto"/>
        </w:rPr>
        <w:t>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4" w:lineRule="exact"/>
        <w:rPr>
          <w:sz w:val="20"/>
          <w:szCs w:val="20"/>
          <w:color w:val="auto"/>
        </w:rPr>
      </w:pPr>
    </w:p>
    <w:p>
      <w:pPr>
        <w:ind w:left="289" w:hanging="289"/>
        <w:spacing w:after="0"/>
        <w:tabs>
          <w:tab w:leader="none" w:pos="289"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Designated Foreign Borrowers.</w:t>
      </w:r>
    </w:p>
    <w:p>
      <w:pPr>
        <w:spacing w:after="0" w:line="181" w:lineRule="exact"/>
        <w:rPr>
          <w:rFonts w:ascii="Arial" w:cs="Arial" w:eastAsia="Arial" w:hAnsi="Arial"/>
          <w:sz w:val="20"/>
          <w:szCs w:val="20"/>
          <w:b w:val="1"/>
          <w:bCs w:val="1"/>
          <w:color w:val="auto"/>
        </w:rPr>
      </w:pPr>
    </w:p>
    <w:p>
      <w:pPr>
        <w:jc w:val="both"/>
        <w:ind w:left="729" w:firstLine="644"/>
        <w:spacing w:after="0" w:line="218" w:lineRule="auto"/>
        <w:tabs>
          <w:tab w:leader="none" w:pos="2015"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Initial Designated Foreign Borrowers</w:t>
      </w:r>
      <w:r>
        <w:rPr>
          <w:rFonts w:ascii="Arial" w:cs="Arial" w:eastAsia="Arial" w:hAnsi="Arial"/>
          <w:sz w:val="20"/>
          <w:szCs w:val="20"/>
          <w:color w:val="auto"/>
        </w:rPr>
        <w:t>. Effective as of the Closing Date, Vertex Europe and Vertex Ireland shall each be a “Designated Foreign Borrower” hereunder and may receive Revolving Loans and have Letters of Credit issued for its account as a Designated Foreign Borrower on the terms and conditions set forth in this Agreement.</w:t>
      </w:r>
    </w:p>
    <w:p>
      <w:pPr>
        <w:spacing w:after="0" w:line="156" w:lineRule="exact"/>
        <w:rPr>
          <w:rFonts w:ascii="Arial" w:cs="Arial" w:eastAsia="Arial" w:hAnsi="Arial"/>
          <w:sz w:val="20"/>
          <w:szCs w:val="20"/>
          <w:color w:val="auto"/>
        </w:rPr>
      </w:pPr>
    </w:p>
    <w:p>
      <w:pPr>
        <w:jc w:val="both"/>
        <w:ind w:left="729" w:firstLine="644"/>
        <w:spacing w:after="0" w:line="223" w:lineRule="auto"/>
        <w:tabs>
          <w:tab w:leader="none" w:pos="2012"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Additional Designated Foreign Borrowers</w:t>
      </w:r>
      <w:r>
        <w:rPr>
          <w:rFonts w:ascii="Arial" w:cs="Arial" w:eastAsia="Arial" w:hAnsi="Arial"/>
          <w:sz w:val="18"/>
          <w:szCs w:val="18"/>
          <w:color w:val="auto"/>
        </w:rPr>
        <w:t>. The Company may at any time, upon not less than fifteen (15) Business Days’ notice from the Company to the Administrative Agent (or such shorter period as may be agreed by the Administrative Agent in its sole discretion), request to designate any additional Restricted Subsidiary that is a Foreign Subsidiary of the Company (an “</w:t>
      </w:r>
      <w:r>
        <w:rPr>
          <w:rFonts w:ascii="Arial" w:cs="Arial" w:eastAsia="Arial" w:hAnsi="Arial"/>
          <w:sz w:val="18"/>
          <w:szCs w:val="18"/>
          <w:u w:val="single" w:color="auto"/>
          <w:color w:val="auto"/>
        </w:rPr>
        <w:t>Applicant Foreign Borrower</w:t>
      </w:r>
      <w:r>
        <w:rPr>
          <w:rFonts w:ascii="Arial" w:cs="Arial" w:eastAsia="Arial" w:hAnsi="Arial"/>
          <w:sz w:val="18"/>
          <w:szCs w:val="18"/>
          <w:color w:val="auto"/>
        </w:rPr>
        <w:t>”) as a Designated Foreign Borrower to receive Revolving Loans hereunder by delivering to the Administrative Agent (which shall promptly deliver counterparts thereof to each Lender) a duly executed Designated Foreign Borrower Request and Assumption Agreement. The parties hereto acknowledge and agree that prior to any Applicant Foreign Borrower becoming entitled to utilize the credit facilities provided for herein, (i) the Administrative Agent, the Lenders and the L/C Issuers must each agree to such Applicant Foreign Borrower becoming a Designated Foreign Borrower (such consent not to be unreasonably withheld or delayed, it being understood and agreed that, unless such Applicant Foreign Borrower is organized in a Sanctioned Country, the consent of the Administrative Agent, the Lenders and the L/C Issuer shall not be withheld on the basis of such Applicant Foreign Borrower’s jurisdiction of organization, if such Applicant Foreign Borrower’s jurisdiction of organization is an Approved Foreign Jurisdiction) and (ii) the Administrative Agent, the Lenders and the L/C Issuers shall have received such supporting resolutions, incumbency certificates, opinions of counsel and other documents or information reasonably requested (including and to the extent so requested, (A) to the extent any Applicant Foreign Borrower qualifies as a “legal entity customer” under the Beneficial Ownership Regulation, a Beneficial Ownership Certification and (B) any other documentation and information regarding such Applicant Foreign Borrower reasonably requested by the Administrative Agent and the Lenders in order to comply with “know your customer” and anti-money laundering rules and regulations), in form, content and scope reasonably satisfactory to the Administrative Agent, as may be required by the Administrative Agent, and Revolving Notes signed by such new Borrowers to the extent any Lender so requires (the requirements in the foregoing clauses (i) and (ii) above, the “</w:t>
      </w:r>
      <w:r>
        <w:rPr>
          <w:rFonts w:ascii="Arial" w:cs="Arial" w:eastAsia="Arial" w:hAnsi="Arial"/>
          <w:sz w:val="18"/>
          <w:szCs w:val="18"/>
          <w:u w:val="single" w:color="auto"/>
          <w:color w:val="auto"/>
        </w:rPr>
        <w:t>Designated Foreign 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w:t>
      </w:r>
      <w:r>
        <w:rPr>
          <w:rFonts w:ascii="Arial" w:cs="Arial" w:eastAsia="Arial" w:hAnsi="Arial"/>
          <w:sz w:val="18"/>
          <w:szCs w:val="18"/>
          <w:color w:val="auto"/>
        </w:rPr>
        <w:t xml:space="preserve">”). If the Designated Foreign Borrower Requirements are met, the Administrative Agent shall send a Designated Foreign Borrower Notice to the Company, the Lenders and the L/C Issuers specifying the effective date upon which such Applicant Foreign Borrower shall constitute a Designated Foreign Borrower for purposes hereof, whereupon each of the Lenders and L/C Issuers agrees to permit such Designated Foreign Borrower to receive Credit Extensions hereunder, on the terms and conditions set forth herein, and each of the parties agrees that such Designated Foreign Borrower otherwise shall be a Borrower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Notice or Letter of Credit Application may be submitted by or on behalf of such Designated Foreign Borrower until the date that is five (5) Business Days after such effective date.</w:t>
      </w:r>
    </w:p>
    <w:p>
      <w:pPr>
        <w:spacing w:after="0" w:line="156" w:lineRule="exact"/>
        <w:rPr>
          <w:rFonts w:ascii="Arial" w:cs="Arial" w:eastAsia="Arial" w:hAnsi="Arial"/>
          <w:sz w:val="18"/>
          <w:szCs w:val="18"/>
          <w:color w:val="auto"/>
        </w:rPr>
      </w:pPr>
    </w:p>
    <w:p>
      <w:pPr>
        <w:jc w:val="both"/>
        <w:ind w:left="729" w:firstLine="644"/>
        <w:spacing w:after="0" w:line="229" w:lineRule="auto"/>
        <w:tabs>
          <w:tab w:leader="none" w:pos="2015"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Except as specifically provided herein, the Obligations of each of the Borrowers (including Obligations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shall be joint and several in nature, regardless of which Person actually receives Credit Extensions hereunder or the amount of such Credit Extensions received or the manner in which the Administrative Agent, the L/C Issuer or any Lender accounts for such Credit Extensions on its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to the contrary herein or in any other Loan Document, the Designated Foreign Borrowers shall not be liable with respect to (i) any Obligations of any U.S. Loan Party, or (ii) any Obligations of any other Designated Foreign Borrower, unless (A) permitted by applicable Law and (B) no material adverse tax consequence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-4775835</wp:posOffset>
            </wp:positionV>
            <wp:extent cx="18510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309"/>
          </w:cols>
          <w:pgMar w:left="251" w:top="1405" w:right="339" w:bottom="1440" w:gutter="0" w:footer="0" w:header="0"/>
        </w:sectPr>
      </w:pPr>
    </w:p>
    <w:bookmarkStart w:id="117" w:name="page118"/>
    <w:bookmarkEnd w:id="117"/>
    <w:p>
      <w:pPr>
        <w:jc w:val="both"/>
        <w:ind w:left="729" w:firstLine="644"/>
        <w:spacing w:after="0" w:line="226" w:lineRule="auto"/>
        <w:tabs>
          <w:tab w:leader="none" w:pos="201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Each Restricted Subsidiary of the Company that is or becomes a Designated Foreign Borrower hereby irrevocably appoints, designates and authorizes the Company to act on its behalf as its agent for all purposes of this Agreement and the other Loan Documents and authorizes the Company to take such actions on its behalf and to exercise such powers as are delegated to the Company by the terms hereof or thereof, together with such actions and powers as are reasonably incidental thereto. Each Restricted Subsidiary of the Company that is or becomes a Designated Foreign Borrower hereby further agrees that (i) the Company may execute such documents on behalf of such Designated Foreign Borrower as the Company deems appropriate in its sole discretion and each Designated Foreign Borrower shall be obligated by all of the terms of any such document executed on its behalf, (ii) any notice or communication delivered by the Administrative Agent or the Lender to the Company shall be deemed delivered to each Designated Foreign Borrower and (iii) the Administrative Agent or the Lenders may accept, and be permitted to rely on, any document, instrument or agreement executed by the Company on behalf of each of the Loan Parties.</w:t>
      </w:r>
    </w:p>
    <w:p>
      <w:pPr>
        <w:spacing w:after="0" w:line="156" w:lineRule="exact"/>
        <w:rPr>
          <w:rFonts w:ascii="Arial" w:cs="Arial" w:eastAsia="Arial" w:hAnsi="Arial"/>
          <w:sz w:val="18"/>
          <w:szCs w:val="18"/>
          <w:color w:val="auto"/>
        </w:rPr>
      </w:pPr>
    </w:p>
    <w:p>
      <w:pPr>
        <w:jc w:val="both"/>
        <w:ind w:left="729" w:firstLine="644"/>
        <w:spacing w:after="0" w:line="225" w:lineRule="auto"/>
        <w:tabs>
          <w:tab w:leader="none" w:pos="201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Company may from time to time, upon not less than three (3) Business Days’ prior written notice from the Company to the Administrative Agent (or such shorter period as may be agreed by the Administrative Agent in its sole discretion), terminate a Designated Foreign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there are no outstanding Loans payable by such Designated Foreign Borrower, Letters of Credit issued for the account of such Designated Foreign Borrower or any of its Subsidiaries, or other amounts due and payable by such Designated Foreign Borrower as of the effective date of such termination, (ii) no Event of Default has occurred and is continuing or would result therefrom and (iii) immediately after giving effect to such termination, the Loan Parties are in compliance with </w:t>
      </w:r>
      <w:r>
        <w:rPr>
          <w:rFonts w:ascii="Arial" w:cs="Arial" w:eastAsia="Arial" w:hAnsi="Arial"/>
          <w:sz w:val="18"/>
          <w:szCs w:val="18"/>
          <w:u w:val="single" w:color="auto"/>
          <w:color w:val="auto"/>
        </w:rPr>
        <w:t>Section 7.01(ff)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7.02(u)</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Administrative Agent, the applicable L/C Issuer and the Lenders shall cooperate with any Designated Foreign Borrower to amend or replace any Letter of Credit in order to name the Company as the applicant or account party with respect to any Letter of Credit issued for the account of such Designated Foreign Borrower or any of its Subsidiaries. The Administrative Agent will promptly notify the Lenders of any such termination of a Designated Foreign Borrower’s status.</w:t>
      </w:r>
    </w:p>
    <w:p>
      <w:pPr>
        <w:spacing w:after="0" w:line="154" w:lineRule="exact"/>
        <w:rPr>
          <w:sz w:val="20"/>
          <w:szCs w:val="20"/>
          <w:color w:val="auto"/>
        </w:rPr>
      </w:pPr>
    </w:p>
    <w:p>
      <w:pPr>
        <w:ind w:left="289" w:hanging="289"/>
        <w:spacing w:after="0"/>
        <w:tabs>
          <w:tab w:leader="none" w:pos="289"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Designated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2725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19"/>
          <w:szCs w:val="19"/>
          <w:color w:val="auto"/>
        </w:rPr>
        <w:t>Each of the Administrative Agent, each L/C Issuer, the Swingline Lender and each Lender at its option may make any Credit Extension or otherwise perform its obligations hereunder through any Lending Office (each, a “</w:t>
      </w:r>
      <w:r>
        <w:rPr>
          <w:rFonts w:ascii="Arial" w:cs="Arial" w:eastAsia="Arial" w:hAnsi="Arial"/>
          <w:sz w:val="19"/>
          <w:szCs w:val="19"/>
          <w:u w:val="single" w:color="auto"/>
          <w:color w:val="auto"/>
        </w:rPr>
        <w:t>Designated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any Borrower to repay any Credit Extension in accordance with the terms of this Agreement. Any Designated Lender shall be considered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designation of a Designated Lender is for administrative convenience only and does not expand the scope of liabilities or obligations of any Lender or Designated Lender beyond those of the Lender designating such Person as a Designated Lender as provided in this Agreement.</w:t>
      </w:r>
    </w:p>
    <w:p>
      <w:pPr>
        <w:spacing w:after="0" w:line="153" w:lineRule="exact"/>
        <w:rPr>
          <w:sz w:val="20"/>
          <w:szCs w:val="20"/>
          <w:color w:val="auto"/>
        </w:rPr>
      </w:pPr>
    </w:p>
    <w:p>
      <w:pPr>
        <w:ind w:left="289" w:hanging="289"/>
        <w:spacing w:after="0"/>
        <w:tabs>
          <w:tab w:leader="none" w:pos="289"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Increase in Revolving Commitments.</w:t>
      </w:r>
    </w:p>
    <w:p>
      <w:pPr>
        <w:spacing w:after="0" w:line="181" w:lineRule="exact"/>
        <w:rPr>
          <w:rFonts w:ascii="Arial" w:cs="Arial" w:eastAsia="Arial" w:hAnsi="Arial"/>
          <w:sz w:val="20"/>
          <w:szCs w:val="20"/>
          <w:b w:val="1"/>
          <w:bCs w:val="1"/>
          <w:color w:val="auto"/>
        </w:rPr>
      </w:pPr>
    </w:p>
    <w:p>
      <w:pPr>
        <w:ind w:left="2009" w:hanging="636"/>
        <w:spacing w:after="0"/>
        <w:tabs>
          <w:tab w:leader="none" w:pos="2009"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Increase in Revolving Facility</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69" w:firstLine="652"/>
        <w:spacing w:after="0" w:line="215" w:lineRule="auto"/>
        <w:tabs>
          <w:tab w:leader="none" w:pos="2653" w:val="left"/>
        </w:tabs>
        <w:numPr>
          <w:ilvl w:val="2"/>
          <w:numId w:val="99"/>
        </w:numPr>
        <w:rPr>
          <w:rFonts w:ascii="Arial" w:cs="Arial" w:eastAsia="Arial" w:hAnsi="Arial"/>
          <w:sz w:val="19"/>
          <w:szCs w:val="19"/>
          <w:color w:val="auto"/>
        </w:rPr>
      </w:pPr>
      <w:r>
        <w:rPr>
          <w:rFonts w:ascii="Arial" w:cs="Arial" w:eastAsia="Arial" w:hAnsi="Arial"/>
          <w:sz w:val="19"/>
          <w:szCs w:val="19"/>
          <w:u w:val="single" w:color="auto"/>
          <w:color w:val="auto"/>
        </w:rPr>
        <w:t>Increases</w:t>
      </w:r>
      <w:r>
        <w:rPr>
          <w:rFonts w:ascii="Arial" w:cs="Arial" w:eastAsia="Arial" w:hAnsi="Arial"/>
          <w:sz w:val="19"/>
          <w:szCs w:val="19"/>
          <w:color w:val="auto"/>
        </w:rPr>
        <w:t>. Upon notice to the Administrative Agent (which shall promptly notify the Revolving Lenders), the Company may from time to time after the Closing Date, request an increase in the Revolving Facility by an aggregate amount (for all such requests) not to exceed $500,000,000 (any such increase in the Revolving Facility, an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Facility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such request for an Incremental Revolving Facility shall be in a minimum amount of $25,000,000, and in increments of $5,000,000 in excess thereof, or, if less, the entire remaining amount available for such Incremental Revolving Facility, and (B) in no event shall the Aggregate Revolving Commitments (after giving effect to all requested increases therein) exceed $1,000,000,000. Subject to the terms and conditions hereof, the Company may seek commitments from existing Lenders or any other Person that is an Eligible Assignee who shall become a Revolving Lender in connection therewith. At the time of sending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-1501775</wp:posOffset>
            </wp:positionV>
            <wp:extent cx="21564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6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309"/>
          </w:cols>
          <w:pgMar w:left="251" w:top="1405" w:right="339" w:bottom="1440" w:gutter="0" w:footer="0" w:header="0"/>
        </w:sectPr>
      </w:pPr>
    </w:p>
    <w:bookmarkStart w:id="118" w:name="page119"/>
    <w:bookmarkEnd w:id="118"/>
    <w:p>
      <w:pPr>
        <w:jc w:val="both"/>
        <w:ind w:left="1300"/>
        <w:spacing w:after="0" w:line="218" w:lineRule="auto"/>
        <w:rPr>
          <w:sz w:val="20"/>
          <w:szCs w:val="20"/>
          <w:color w:val="auto"/>
        </w:rPr>
      </w:pPr>
      <w:r>
        <w:rPr>
          <w:rFonts w:ascii="Arial" w:cs="Arial" w:eastAsia="Arial" w:hAnsi="Arial"/>
          <w:sz w:val="20"/>
          <w:szCs w:val="20"/>
          <w:color w:val="auto"/>
        </w:rPr>
        <w:t>such notice, the Company (in consultation with the Administrative Agent) shall specify the time period within which each Revolving Lender is requested to respond (which shall in no event be less than ten (10) Business Days from the date of delivery of such notice to the Revolving Lenders).</w:t>
      </w:r>
    </w:p>
    <w:p>
      <w:pPr>
        <w:spacing w:after="0" w:line="156" w:lineRule="exact"/>
        <w:rPr>
          <w:sz w:val="20"/>
          <w:szCs w:val="20"/>
          <w:color w:val="auto"/>
        </w:rPr>
      </w:pPr>
    </w:p>
    <w:p>
      <w:pPr>
        <w:jc w:val="both"/>
        <w:ind w:left="1300" w:firstLine="652"/>
        <w:spacing w:after="0" w:line="236" w:lineRule="auto"/>
        <w:tabs>
          <w:tab w:leader="none" w:pos="259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Revolving Lender Elections to Increase</w:t>
      </w:r>
      <w:r>
        <w:rPr>
          <w:rFonts w:ascii="Arial" w:cs="Arial" w:eastAsia="Arial" w:hAnsi="Arial"/>
          <w:sz w:val="18"/>
          <w:szCs w:val="18"/>
          <w:color w:val="auto"/>
        </w:rPr>
        <w:t>. Each Revolving Lender shall notify the Administrative Agent within such time period whether or not it agrees to increase its Revolving Commitment and, if so, whether by an amount equal to, greater than, or less than its Applicable Percentage of such requested increase. Any Revolving Lender not responding within such time period shall be deemed to have declined to increase its Revolving Commitment.</w:t>
      </w:r>
    </w:p>
    <w:p>
      <w:pPr>
        <w:spacing w:after="0" w:line="157" w:lineRule="exact"/>
        <w:rPr>
          <w:rFonts w:ascii="Arial" w:cs="Arial" w:eastAsia="Arial" w:hAnsi="Arial"/>
          <w:sz w:val="18"/>
          <w:szCs w:val="18"/>
          <w:color w:val="auto"/>
        </w:rPr>
      </w:pPr>
    </w:p>
    <w:p>
      <w:pPr>
        <w:jc w:val="both"/>
        <w:ind w:left="1300" w:firstLine="652"/>
        <w:spacing w:after="0" w:line="215" w:lineRule="auto"/>
        <w:tabs>
          <w:tab w:leader="none" w:pos="2595"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Notification by Administrative Agent; Additional Revolving Lenders</w:t>
      </w:r>
      <w:r>
        <w:rPr>
          <w:rFonts w:ascii="Arial" w:cs="Arial" w:eastAsia="Arial" w:hAnsi="Arial"/>
          <w:sz w:val="19"/>
          <w:szCs w:val="19"/>
          <w:color w:val="auto"/>
        </w:rPr>
        <w:t>. The Administrative Agent shall notify the Company and each Revolving Lender of the Revolving Lenders’ responses to each request made hereunder. To achieve the full amount of a requested increase (to the extent the existing Revolving Lenders do not agree to provide the entire amount of the requested increase), and subject to the approval of the Administrative Agent, the L/C Issuers and the Swingline Lender, the Company may also invite additional Eligible Assignees to become Revolving Lenders (together with any existing Revolving Lender participating in such increase, each, an “</w:t>
      </w:r>
      <w:r>
        <w:rPr>
          <w:rFonts w:ascii="Arial" w:cs="Arial" w:eastAsia="Arial" w:hAnsi="Arial"/>
          <w:sz w:val="19"/>
          <w:szCs w:val="19"/>
          <w:u w:val="single" w:color="auto"/>
          <w:color w:val="auto"/>
        </w:rPr>
        <w:t>Increasing Revolving Lender</w:t>
      </w:r>
      <w:r>
        <w:rPr>
          <w:rFonts w:ascii="Arial" w:cs="Arial" w:eastAsia="Arial" w:hAnsi="Arial"/>
          <w:sz w:val="19"/>
          <w:szCs w:val="19"/>
          <w:color w:val="auto"/>
        </w:rPr>
        <w:t>”) pursuant to a joinder agreement in form and substance reasonably satisfactory to the Administrative Agent and its counsel. Nothing contained herein shall constitute, or otherwise be deemed to be, a commitment on the part of any Revolving Lender to participate in any increase in the Revolving Facility.</w:t>
      </w:r>
    </w:p>
    <w:p>
      <w:pPr>
        <w:spacing w:after="0" w:line="155" w:lineRule="exact"/>
        <w:rPr>
          <w:rFonts w:ascii="Arial" w:cs="Arial" w:eastAsia="Arial" w:hAnsi="Arial"/>
          <w:sz w:val="19"/>
          <w:szCs w:val="19"/>
          <w:color w:val="auto"/>
        </w:rPr>
      </w:pPr>
    </w:p>
    <w:p>
      <w:pPr>
        <w:jc w:val="both"/>
        <w:ind w:left="1300" w:firstLine="652"/>
        <w:spacing w:after="0" w:line="207" w:lineRule="auto"/>
        <w:tabs>
          <w:tab w:leader="none" w:pos="2596" w:val="left"/>
        </w:tabs>
        <w:numPr>
          <w:ilvl w:val="1"/>
          <w:numId w:val="100"/>
        </w:numPr>
        <w:rPr>
          <w:rFonts w:ascii="Arial" w:cs="Arial" w:eastAsia="Arial" w:hAnsi="Arial"/>
          <w:sz w:val="20"/>
          <w:szCs w:val="20"/>
          <w:color w:val="auto"/>
        </w:rPr>
      </w:pPr>
      <w:r>
        <w:rPr>
          <w:rFonts w:ascii="Arial" w:cs="Arial" w:eastAsia="Arial" w:hAnsi="Arial"/>
          <w:sz w:val="20"/>
          <w:szCs w:val="20"/>
          <w:u w:val="single" w:color="auto"/>
          <w:color w:val="auto"/>
        </w:rPr>
        <w:t>Effective Date and Allocations</w:t>
      </w:r>
      <w:r>
        <w:rPr>
          <w:rFonts w:ascii="Arial" w:cs="Arial" w:eastAsia="Arial" w:hAnsi="Arial"/>
          <w:sz w:val="20"/>
          <w:szCs w:val="20"/>
          <w:color w:val="auto"/>
        </w:rPr>
        <w:t>. If the Revolving Facility is increased in accordance with this Section, the Administrative Agent and the Company shall determine (A) the effective date of any such increase (the “</w:t>
      </w:r>
      <w:r>
        <w:rPr>
          <w:rFonts w:ascii="Arial" w:cs="Arial" w:eastAsia="Arial" w:hAnsi="Arial"/>
          <w:sz w:val="20"/>
          <w:szCs w:val="20"/>
          <w:u w:val="single" w:color="auto"/>
          <w:color w:val="auto"/>
        </w:rPr>
        <w:t>Revolving Facility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and (B) the final allocation of such increase among the Increasing Revolving Lenders and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1.01(b)</w:t>
      </w:r>
      <w:r>
        <w:rPr>
          <w:rFonts w:ascii="Arial" w:cs="Arial" w:eastAsia="Arial" w:hAnsi="Arial"/>
          <w:sz w:val="20"/>
          <w:szCs w:val="20"/>
          <w:color w:val="auto"/>
        </w:rPr>
        <w:t xml:space="preserve"> attached hereto shall be automatically updated to reflect the same. The Administrative Agent shall promptly notify the Company and the Revolving Lenders of the final allocation of such increase and the Revolving Facility Increase Effective Date.</w:t>
      </w:r>
    </w:p>
    <w:p>
      <w:pPr>
        <w:spacing w:after="0" w:line="159" w:lineRule="exact"/>
        <w:rPr>
          <w:rFonts w:ascii="Arial" w:cs="Arial" w:eastAsia="Arial" w:hAnsi="Arial"/>
          <w:sz w:val="20"/>
          <w:szCs w:val="20"/>
          <w:color w:val="auto"/>
        </w:rPr>
      </w:pPr>
    </w:p>
    <w:p>
      <w:pPr>
        <w:ind w:left="660" w:right="20" w:firstLine="644"/>
        <w:spacing w:after="0" w:line="229" w:lineRule="auto"/>
        <w:tabs>
          <w:tab w:leader="none" w:pos="194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 of Increase</w:t>
      </w:r>
      <w:r>
        <w:rPr>
          <w:rFonts w:ascii="Arial" w:cs="Arial" w:eastAsia="Arial" w:hAnsi="Arial"/>
          <w:sz w:val="20"/>
          <w:szCs w:val="20"/>
          <w:color w:val="auto"/>
        </w:rPr>
        <w:t xml:space="preserve">. As a condition precedent to each such increase in the Revolving Facility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left="1300" w:firstLine="652"/>
        <w:spacing w:after="0" w:line="226" w:lineRule="auto"/>
        <w:tabs>
          <w:tab w:leader="none" w:pos="259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as of the Revolving Facility Increase Effective Date, before and after giving effect to such increase, (A) no Default or Event of Default shall then exist or would exist after giving effect thereto exists, (B) the Company shall demonstrate to the reasonable satisfaction of the Administrative Agent that, after giving effect to such increase on a Pro Forma Basis (as if the entire amount of the Incremental Revolving Facility has been fully-funded), the Company is in Pro Forma Compliance, and (C)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each other Loan Documents shall be true and correct in all material respects (or in the case of a representation or warranty that is already subject to a materiality condition, in all respects),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the representations and warranties contained in clauses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jc w:val="both"/>
        <w:ind w:left="1300" w:firstLine="652"/>
        <w:spacing w:after="0" w:line="213" w:lineRule="auto"/>
        <w:tabs>
          <w:tab w:leader="none" w:pos="259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Company shall have delivered to the Administrative Agent a certificate of each Loan Party dated as of the Revolving Facility Increase Effective Date, signed by a Responsible Officer of such Loan Party (A) certifying and attaching the resolutions adopted by such Loan Party approving or consenting to such increase, and (B) in the case of the certificate to be delivered by a Responsible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40"/>
          </w:cols>
          <w:pgMar w:left="320" w:top="1405" w:right="339" w:bottom="1440" w:gutter="0" w:footer="0" w:header="0"/>
        </w:sectPr>
      </w:pPr>
    </w:p>
    <w:bookmarkStart w:id="119" w:name="page120"/>
    <w:bookmarkEnd w:id="119"/>
    <w:p>
      <w:pPr>
        <w:ind w:left="1369"/>
        <w:spacing w:after="0" w:line="229" w:lineRule="auto"/>
        <w:rPr>
          <w:sz w:val="20"/>
          <w:szCs w:val="20"/>
          <w:color w:val="auto"/>
        </w:rPr>
      </w:pPr>
      <w:r>
        <w:rPr>
          <w:rFonts w:ascii="Arial" w:cs="Arial" w:eastAsia="Arial" w:hAnsi="Arial"/>
          <w:sz w:val="20"/>
          <w:szCs w:val="20"/>
          <w:color w:val="auto"/>
        </w:rPr>
        <w:t>certifying that, before and after giving effect to such increase each, of the conditions set forth in clause (b)(i) above are satisfied; and</w:t>
      </w:r>
    </w:p>
    <w:p>
      <w:pPr>
        <w:spacing w:after="0" w:line="155" w:lineRule="exact"/>
        <w:rPr>
          <w:sz w:val="20"/>
          <w:szCs w:val="20"/>
          <w:color w:val="auto"/>
        </w:rPr>
      </w:pPr>
    </w:p>
    <w:p>
      <w:pPr>
        <w:jc w:val="both"/>
        <w:ind w:left="1369" w:firstLine="652"/>
        <w:spacing w:after="0" w:line="231" w:lineRule="auto"/>
        <w:tabs>
          <w:tab w:leader="none" w:pos="26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or cause to be delivered, customary legal opinions with respect to the U.S. Loan Parties, officers’ certificates, reaffirmation agreements and other documents, in each case, consistent in all material respects with those delivered on the Closing Date under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with respect to the Company, the other Borrowers and all applicable Subsidiary Guarantors, as applicable (other than changes to such legal opinions resulting from a Change in Law, change in fact or change to counsel’s form of opinion reasonably satisfactory to the Administrative Agent), as reasonably requested by the Administrative Agent in connection with each such increase in the Revolving Facility.</w:t>
      </w:r>
    </w:p>
    <w:p>
      <w:pPr>
        <w:spacing w:after="0" w:line="155" w:lineRule="exact"/>
        <w:rPr>
          <w:sz w:val="20"/>
          <w:szCs w:val="20"/>
          <w:color w:val="auto"/>
        </w:rPr>
      </w:pPr>
    </w:p>
    <w:p>
      <w:pPr>
        <w:jc w:val="both"/>
        <w:ind w:left="729" w:firstLine="648"/>
        <w:spacing w:after="0" w:line="213" w:lineRule="auto"/>
        <w:rPr>
          <w:sz w:val="20"/>
          <w:szCs w:val="20"/>
          <w:color w:val="auto"/>
        </w:rPr>
      </w:pPr>
      <w:r>
        <w:rPr>
          <w:rFonts w:ascii="Arial" w:cs="Arial" w:eastAsia="Arial" w:hAnsi="Arial"/>
          <w:sz w:val="20"/>
          <w:szCs w:val="20"/>
          <w:color w:val="auto"/>
        </w:rPr>
        <w:t xml:space="preserve">The applicable Borrowers shall prepay any Revolving Loans outstanding on the Revolving Facility Increase Effective Date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to the extent necessary to keep the outstanding Revolving Loans ratable with any revised Applicable Percentages arising from any non-ratable increase in the Revolving Commitments under this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56" w:lineRule="exact"/>
        <w:rPr>
          <w:sz w:val="20"/>
          <w:szCs w:val="20"/>
          <w:color w:val="auto"/>
        </w:rPr>
      </w:pPr>
    </w:p>
    <w:p>
      <w:pPr>
        <w:jc w:val="both"/>
        <w:ind w:left="729" w:firstLine="644"/>
        <w:spacing w:after="0" w:line="207" w:lineRule="auto"/>
        <w:tabs>
          <w:tab w:leader="none" w:pos="2015"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Terms of Increase</w:t>
      </w:r>
      <w:r>
        <w:rPr>
          <w:rFonts w:ascii="Arial" w:cs="Arial" w:eastAsia="Arial" w:hAnsi="Arial"/>
          <w:sz w:val="20"/>
          <w:szCs w:val="20"/>
          <w:color w:val="auto"/>
        </w:rPr>
        <w:t xml:space="preserve">. Any increase in the Revolving Facility shall be made on the same terms (including interest, payment, amortization and maturity terms), and shall be subject to the same conditions as existing Revolving Commitments except customary arrangement or commitment fees payable to the Arrangers or one or more Increasing Revolving Lenders may be different from those paid with respect to the existing Revolving Commitments of the existing Lenders on or prior to the Closing Date or with respect to any other Increasing Revolving Lender in connection with any other increase in the Revolving Facility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57" w:lineRule="exact"/>
        <w:rPr>
          <w:rFonts w:ascii="Arial" w:cs="Arial" w:eastAsia="Arial" w:hAnsi="Arial"/>
          <w:sz w:val="20"/>
          <w:szCs w:val="20"/>
          <w:color w:val="auto"/>
        </w:rPr>
      </w:pPr>
    </w:p>
    <w:p>
      <w:pPr>
        <w:ind w:left="2009" w:hanging="636"/>
        <w:spacing w:after="0"/>
        <w:tabs>
          <w:tab w:leader="none" w:pos="200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to the</w:t>
      </w:r>
    </w:p>
    <w:p>
      <w:pPr>
        <w:ind w:left="729"/>
        <w:spacing w:after="0"/>
        <w:rPr>
          <w:rFonts w:ascii="Arial" w:cs="Arial" w:eastAsia="Arial" w:hAnsi="Arial"/>
          <w:sz w:val="18"/>
          <w:szCs w:val="18"/>
          <w:color w:val="auto"/>
        </w:rPr>
      </w:pPr>
      <w:r>
        <w:rPr>
          <w:rFonts w:ascii="Arial" w:cs="Arial" w:eastAsia="Arial" w:hAnsi="Arial"/>
          <w:sz w:val="20"/>
          <w:szCs w:val="20"/>
          <w:color w:val="auto"/>
        </w:rPr>
        <w:t>contrary.</w:t>
      </w:r>
    </w:p>
    <w:p>
      <w:pPr>
        <w:spacing w:after="0" w:line="153" w:lineRule="exact"/>
        <w:rPr>
          <w:sz w:val="20"/>
          <w:szCs w:val="20"/>
          <w:color w:val="auto"/>
        </w:rPr>
      </w:pPr>
    </w:p>
    <w:p>
      <w:pPr>
        <w:ind w:left="289" w:hanging="289"/>
        <w:spacing w:after="0"/>
        <w:tabs>
          <w:tab w:leader="none" w:pos="289"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Extension of Maturity Date.</w:t>
      </w:r>
    </w:p>
    <w:p>
      <w:pPr>
        <w:spacing w:after="0" w:line="181" w:lineRule="exact"/>
        <w:rPr>
          <w:rFonts w:ascii="Arial" w:cs="Arial" w:eastAsia="Arial" w:hAnsi="Arial"/>
          <w:sz w:val="20"/>
          <w:szCs w:val="20"/>
          <w:b w:val="1"/>
          <w:bCs w:val="1"/>
          <w:color w:val="auto"/>
        </w:rPr>
      </w:pPr>
    </w:p>
    <w:p>
      <w:pPr>
        <w:jc w:val="both"/>
        <w:ind w:left="729" w:firstLine="644"/>
        <w:spacing w:after="0" w:line="222" w:lineRule="auto"/>
        <w:tabs>
          <w:tab w:leader="none" w:pos="2015"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Request for Extended Revolving Commitments</w:t>
      </w:r>
      <w:r>
        <w:rPr>
          <w:rFonts w:ascii="Arial" w:cs="Arial" w:eastAsia="Arial" w:hAnsi="Arial"/>
          <w:sz w:val="18"/>
          <w:szCs w:val="18"/>
          <w:color w:val="auto"/>
        </w:rPr>
        <w:t>. So long as no Event of Default has occurred and is continuing, the Borrowers may at any time and from time to time, upon written request to, and with the consent of, the Administrative Agent, the Swingline Lender and the L/C Issuers, request (each, a “</w:t>
      </w:r>
      <w:r>
        <w:rPr>
          <w:rFonts w:ascii="Arial" w:cs="Arial" w:eastAsia="Arial" w:hAnsi="Arial"/>
          <w:sz w:val="18"/>
          <w:szCs w:val="18"/>
          <w:u w:val="single" w:color="auto"/>
          <w:color w:val="auto"/>
        </w:rPr>
        <w:t>Revolving Extension Request</w:t>
      </w:r>
      <w:r>
        <w:rPr>
          <w:rFonts w:ascii="Arial" w:cs="Arial" w:eastAsia="Arial" w:hAnsi="Arial"/>
          <w:sz w:val="18"/>
          <w:szCs w:val="18"/>
          <w:color w:val="auto"/>
        </w:rPr>
        <w:t>”) that an aggregate principal amount of not less than $100,000,000 of the then-existing Revolving Commitments of any Class (each Class of then-existing Revolving Commitments, an “</w:t>
      </w:r>
      <w:r>
        <w:rPr>
          <w:rFonts w:ascii="Arial" w:cs="Arial" w:eastAsia="Arial" w:hAnsi="Arial"/>
          <w:sz w:val="18"/>
          <w:szCs w:val="18"/>
          <w:u w:val="single" w:color="auto"/>
          <w:color w:val="auto"/>
        </w:rPr>
        <w:t>Existing Revolving Tranche</w:t>
      </w:r>
      <w:r>
        <w:rPr>
          <w:rFonts w:ascii="Arial" w:cs="Arial" w:eastAsia="Arial" w:hAnsi="Arial"/>
          <w:sz w:val="18"/>
          <w:szCs w:val="18"/>
          <w:color w:val="auto"/>
        </w:rPr>
        <w:t>”) be amended to, among other things, extend the Maturity Date applicable to such Existing Revolving Tranche (the Maturity Date applicable to such Existing Revolving Tranche,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for such Existing Revolving Tranche) to a date that is no earlier than the then-Latest Maturity Date of any other Revolving Commitment hereunder (any Revolving Commitment of such Existing Revolving Tranche that is so amended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an “</w:t>
      </w:r>
      <w:r>
        <w:rPr>
          <w:rFonts w:ascii="Arial" w:cs="Arial" w:eastAsia="Arial" w:hAnsi="Arial"/>
          <w:sz w:val="18"/>
          <w:szCs w:val="18"/>
          <w:u w:val="single" w:color="auto"/>
          <w:color w:val="auto"/>
        </w:rPr>
        <w:t>Extended Revolving Commitment</w:t>
      </w:r>
      <w:r>
        <w:rPr>
          <w:rFonts w:ascii="Arial" w:cs="Arial" w:eastAsia="Arial" w:hAnsi="Arial"/>
          <w:sz w:val="18"/>
          <w:szCs w:val="18"/>
          <w:color w:val="auto"/>
        </w:rPr>
        <w:t>”; each Class of Extended Revolving Commitments hereunder being referred to herein as an “</w:t>
      </w:r>
      <w:r>
        <w:rPr>
          <w:rFonts w:ascii="Arial" w:cs="Arial" w:eastAsia="Arial" w:hAnsi="Arial"/>
          <w:sz w:val="18"/>
          <w:szCs w:val="18"/>
          <w:u w:val="single" w:color="auto"/>
          <w:color w:val="auto"/>
        </w:rPr>
        <w:t>Extended Revolving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effect to the implementation of all Extended Revolving Facilities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there shall be no more than three (3) Classes of Revolving Commitments outstanding at any time and (ii) each Revolving Extension Request with respect to any Existing Revolving Tranche shall be offered on the same terms to each Revolving Lender under such Existing Revolving Tranche on a ratable basis. For the avoidance of doubt, the reference to “on the same terms” in clause (ii) of the proviso to the immediately preceding sentence shall mean that all of the Revolving Lenders under such Existing Revolving Tranche are offered to be extended for the same amount of time, offered the same type of Revolving Commitment and that the interest rate changes and fees payable with respect to such extension are the same. Promptly after receipt of any Revolving Extension Request, the Administrative Agent shall provide a copy of such request to each of the Revolving Lenders under the applicable Existing Revolving Tranche to be amended, which request shall set forth the proposed terms (which shall be determined in consultation with the Administrative Agent) of the Extended Revolving Facility to be established. Each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-2435860</wp:posOffset>
            </wp:positionV>
            <wp:extent cx="1677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309"/>
          </w:cols>
          <w:pgMar w:left="251" w:top="1405" w:right="339" w:bottom="1440" w:gutter="0" w:footer="0" w:header="0"/>
        </w:sectPr>
      </w:pPr>
    </w:p>
    <w:bookmarkStart w:id="120" w:name="page121"/>
    <w:bookmarkEnd w:id="120"/>
    <w:p>
      <w:pPr>
        <w:jc w:val="both"/>
        <w:ind w:left="660"/>
        <w:spacing w:after="0" w:line="225" w:lineRule="auto"/>
        <w:rPr>
          <w:sz w:val="20"/>
          <w:szCs w:val="20"/>
          <w:color w:val="auto"/>
        </w:rPr>
      </w:pPr>
      <w:r>
        <w:rPr>
          <w:rFonts w:ascii="Arial" w:cs="Arial" w:eastAsia="Arial" w:hAnsi="Arial"/>
          <w:sz w:val="18"/>
          <w:szCs w:val="18"/>
          <w:color w:val="auto"/>
        </w:rPr>
        <w:t xml:space="preserve">Extension Request shall specify (A) the applicable Existing Revolving Tranche to be amended, (B) the date to which the applicable Existing Maturity Date is sought to be extended, and (C) the changes, if any, to the Applicable Rate to be applied in determining the interest payable on the Revolving Loans of, and fees payable hereunder to, Extending Revolving Lenders under such Extended Revolving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Extended Revolving Commitments of each Extended Revolving Facility shall, except as to interest rates, fees and any other pricing terms and final maturity, have the same terms (including borrowing terms and payment terms (other than payment on the applicable Maturity Date)) as the Existing Revolving Tranche from which they are extended. At the time of sending any Revolving Extension Request, the Company (in consultation with the Administrative Agent) shall specify the time period within which each applicable Revolving Lender is requested to respond to such request (which shall in no event be less than fifteen (15) calendar days (or such shorter period as may be agreed by the Administrative Agent) from the date of delivery of such notice to such Revolving Lenders) and shall agree to such procedures, if any, as may be established by, or reasonably acceptable to, the Administrative Agent to accomplish the purposes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160" w:lineRule="exact"/>
        <w:rPr>
          <w:sz w:val="20"/>
          <w:szCs w:val="20"/>
          <w:color w:val="auto"/>
        </w:rPr>
      </w:pPr>
    </w:p>
    <w:p>
      <w:pPr>
        <w:jc w:val="both"/>
        <w:ind w:left="660" w:firstLine="644"/>
        <w:spacing w:after="0" w:line="223" w:lineRule="auto"/>
        <w:tabs>
          <w:tab w:leader="none" w:pos="194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Election to Extend</w:t>
      </w:r>
      <w:r>
        <w:rPr>
          <w:rFonts w:ascii="Arial" w:cs="Arial" w:eastAsia="Arial" w:hAnsi="Arial"/>
          <w:sz w:val="18"/>
          <w:szCs w:val="18"/>
          <w:color w:val="auto"/>
        </w:rPr>
        <w:t xml:space="preserve">. In connection with each Revolving Extension Request for any Existing Revolving Tranche, any Revolving Lender under such Existing Revolving Tranche wishing to have all (but not less than all) of its Revolving Commitment under such Existing Revolving Tranche become an Extended Revolving Commitment in connection therewith (each such Revolving Lender, and any Additional Commitment Lender replacing a Non-Consenting Lender pursuant to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below, an “</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shall notify the Administrative Agent on or prior to the response date specified in such Revolving Extension Request that such Revolving Lender has elected for its Revolving Commitment under such Existing Revolving Tranche to become an Extended Revolving Commitment. No Revolving Lender shall have any obligation to agree to provide any Extended Revolving Commitment pursuant to any Revolving Extension Request. Any Revolving Lender that determines not to extend its Revolving Commitment under any Existing Revolving Tranche, and notifies the Administrative Agent as to the same, or does not responding on or prior to such response date, shall be deemed to have declined such Revolving Extension Request and, in each case, shall constitute a “Non-Consenting Lender” hereunder. The Administrative Agent shall notify the Company and each Revolving Lender under the applicable Existing Revolving Tranche of responses to such Revolving Extension Request. In the event that the aggregate principal amount of existing Revolving Commitments that the Extending Revolving Lenders have elected to amend pursuant to the relevant Revolving Extension Request exceeds the amount of Extended Revolving Commitments requested by the Borrowers, the principal amount of Extended Revolving Commitments requested by the Borrowers shall be allocated to each Extending Revolving Lender in such manner and in such amounts as may be agreed by Administrative Agent and the Company, in their sole discretion.</w:t>
      </w:r>
    </w:p>
    <w:p>
      <w:pPr>
        <w:spacing w:after="0" w:line="159" w:lineRule="exact"/>
        <w:rPr>
          <w:rFonts w:ascii="Arial" w:cs="Arial" w:eastAsia="Arial" w:hAnsi="Arial"/>
          <w:sz w:val="18"/>
          <w:szCs w:val="18"/>
          <w:color w:val="auto"/>
        </w:rPr>
      </w:pPr>
    </w:p>
    <w:p>
      <w:pPr>
        <w:jc w:val="both"/>
        <w:ind w:left="660" w:firstLine="644"/>
        <w:spacing w:after="0" w:line="229" w:lineRule="auto"/>
        <w:tabs>
          <w:tab w:leader="none" w:pos="194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Additional Commitment Lenders</w:t>
      </w:r>
      <w:r>
        <w:rPr>
          <w:rFonts w:ascii="Arial" w:cs="Arial" w:eastAsia="Arial" w:hAnsi="Arial"/>
          <w:sz w:val="18"/>
          <w:szCs w:val="18"/>
          <w:color w:val="auto"/>
        </w:rPr>
        <w:t>. In connection with the implementation of any Extended Revolving Facility, the Company shall have the right to replace each Non-Consenting Lender with, and add as “Revolving Lenders” under this Agreement in place thereof, one or more Eligible Assignees (each, an “</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such Additional Commitment Lenders shall enter into an Assignment and Assumption in connection with any such Revolving Extension Request pursuant to which such Additional Commitment Lender shall undertake a Revolving Commitment (and, if any such Additional Commitment Lender is already a Lender, its Revolving Commitment shall be in addition to any other Revolving Commitment of such Lender hereunder on such date) from one or more Non-Consenting Lenders.</w:t>
      </w:r>
    </w:p>
    <w:p>
      <w:pPr>
        <w:spacing w:after="0" w:line="156" w:lineRule="exact"/>
        <w:rPr>
          <w:rFonts w:ascii="Arial" w:cs="Arial" w:eastAsia="Arial" w:hAnsi="Arial"/>
          <w:sz w:val="18"/>
          <w:szCs w:val="18"/>
          <w:color w:val="auto"/>
        </w:rPr>
      </w:pPr>
    </w:p>
    <w:p>
      <w:pPr>
        <w:jc w:val="both"/>
        <w:ind w:left="660" w:firstLine="644"/>
        <w:spacing w:after="0" w:line="207" w:lineRule="auto"/>
        <w:tabs>
          <w:tab w:leader="none" w:pos="1944"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Revolving Extension Amendment</w:t>
      </w:r>
      <w:r>
        <w:rPr>
          <w:rFonts w:ascii="Arial" w:cs="Arial" w:eastAsia="Arial" w:hAnsi="Arial"/>
          <w:sz w:val="20"/>
          <w:szCs w:val="20"/>
          <w:color w:val="auto"/>
        </w:rPr>
        <w:t>. Each Extended Revolving Facility shall be established pursuant to an amendment (each, a “</w:t>
      </w:r>
      <w:r>
        <w:rPr>
          <w:rFonts w:ascii="Arial" w:cs="Arial" w:eastAsia="Arial" w:hAnsi="Arial"/>
          <w:sz w:val="20"/>
          <w:szCs w:val="20"/>
          <w:u w:val="single" w:color="auto"/>
          <w:color w:val="auto"/>
        </w:rPr>
        <w:t>Revolving Extension Amendment</w:t>
      </w:r>
      <w:r>
        <w:rPr>
          <w:rFonts w:ascii="Arial" w:cs="Arial" w:eastAsia="Arial" w:hAnsi="Arial"/>
          <w:sz w:val="20"/>
          <w:szCs w:val="20"/>
          <w:color w:val="auto"/>
        </w:rPr>
        <w:t xml:space="preserve">”) to this Agreement among the Borrowers, the Administrative Agent and each Extending Revolving Lender providing an Extended Revolving Commitment under such Extended Revolving Facility, which shall be consistent with the provisions set forth in </w:t>
      </w:r>
      <w:r>
        <w:rPr>
          <w:rFonts w:ascii="Arial" w:cs="Arial" w:eastAsia="Arial" w:hAnsi="Arial"/>
          <w:sz w:val="20"/>
          <w:szCs w:val="20"/>
          <w:u w:val="single" w:color="auto"/>
          <w:color w:val="auto"/>
        </w:rPr>
        <w:t>Sections 2.19(a)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(but which shall not require the consent of any other Lender). The effectiveness of any Revolving Extension Amendment shall be subject to the satisfaction on the date thereof of each of the conditions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40"/>
          </w:cols>
          <w:pgMar w:left="320" w:top="1405" w:right="339" w:bottom="1440" w:gutter="0" w:footer="0" w:header="0"/>
        </w:sectPr>
      </w:pPr>
    </w:p>
    <w:bookmarkStart w:id="121" w:name="page122"/>
    <w:bookmarkEnd w:id="121"/>
    <w:p>
      <w:pPr>
        <w:jc w:val="both"/>
        <w:ind w:left="660"/>
        <w:spacing w:after="0" w:line="223" w:lineRule="auto"/>
        <w:rPr>
          <w:sz w:val="20"/>
          <w:szCs w:val="20"/>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4.02(b)</w:t>
      </w:r>
      <w:r>
        <w:rPr>
          <w:rFonts w:ascii="Arial" w:cs="Arial" w:eastAsia="Arial" w:hAnsi="Arial"/>
          <w:sz w:val="18"/>
          <w:szCs w:val="18"/>
          <w:color w:val="auto"/>
        </w:rPr>
        <w:t xml:space="preserve"> (but solely limited to an Event of Default) (with all references in such Sections to a Credit Extension being deemed to be references to such Revolving Extension Request) and receipt of a certificate to that effect and any other condition as may be agreed among the Borrowers, the Administrative Agent and the Extending Revolving Lenders providing an Extended Revolving Commitment under such Extended Revolving Facility. In addition, the Company shall have delivered, or cause to be delivered, customary legal opinions with respect to the U.S. Loan Parties, officers’ certificates, reaffirmation agreements and other documents, in each case, consistent in all material respects with those delivered on the Closing Date under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with respect to the Company, the other Borrowers and all applicable Subsidiary Guarantors, as applicable (other than changes to such legal opinions resulting from a change in Law, change in fact or change to counsel’s form of opinion reasonably satisfactory to the Administrative Agent), as reasonably requested by the Administrative Agent in connection with each such extension. The Administrative Agent shall promptly notify each Lender as to the effectiveness of each Revolving Extension Amendment and the matters specified therein. Each of the parties hereto hereby agrees that this Agreement and the other Loan Documents may be amended pursuant to a Revolving Extension Amendment, without the consent of any other Lender, to the extent (but only to the extent) necessary to (i) reflect the existence and terms of the Extended Revolving Facility established pursuant thereto, and (ii) effect such other amendments to this Agreement and the other Loan Documents as may be necessary or appropriate, in the reasonable opinion of the Administrative Agent and the Borrowers, to effect the provisions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 each case, in a manner consistent with the terms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and the Required Lenders hereby expressly authorize the Administrative Agent to enter into any such Revolving Extension Amendment.</w:t>
      </w:r>
    </w:p>
    <w:p>
      <w:pPr>
        <w:spacing w:after="0" w:line="160" w:lineRule="exact"/>
        <w:rPr>
          <w:sz w:val="20"/>
          <w:szCs w:val="20"/>
          <w:color w:val="auto"/>
        </w:rPr>
      </w:pPr>
    </w:p>
    <w:p>
      <w:pPr>
        <w:jc w:val="both"/>
        <w:ind w:left="660" w:firstLine="644"/>
        <w:spacing w:after="0" w:line="208" w:lineRule="auto"/>
        <w:tabs>
          <w:tab w:leader="none" w:pos="194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Terms of Extended Revolving Commitments</w:t>
      </w:r>
      <w:r>
        <w:rPr>
          <w:rFonts w:ascii="Arial" w:cs="Arial" w:eastAsia="Arial" w:hAnsi="Arial"/>
          <w:sz w:val="19"/>
          <w:szCs w:val="19"/>
          <w:color w:val="auto"/>
        </w:rPr>
        <w:t>. Except as expressly provided herein, all Extended Revolving Commitments of any Extended Revolving Facility shall be subject to the same terms and conditions as the Existing Revolving Tranche from which such Extended Revolving Commitments were extended. After giving effect to any Extended Revolving Facility, all borrowings under the Revolving Commitments (including any such Extended Revolving Commitments) and repayments thereunder shall be made on a pro rata basis (except for (i) any payments of interest and fees at different rates on any Extended Revolving Facility (and related Revolving Loans thereunder), (ii) repayments required upon the applicable Maturity Date of other Revolving Commitments and (iii) except as otherwise expressly set forth herein). If a Revolving Extension Amendment has become effective hereunder, not later than the third (3</w:t>
      </w:r>
      <w:r>
        <w:rPr>
          <w:rFonts w:ascii="Arial" w:cs="Arial" w:eastAsia="Arial" w:hAnsi="Arial"/>
          <w:sz w:val="24"/>
          <w:szCs w:val="24"/>
          <w:color w:val="auto"/>
          <w:vertAlign w:val="superscript"/>
        </w:rPr>
        <w:t>rd</w:t>
      </w:r>
      <w:r>
        <w:rPr>
          <w:rFonts w:ascii="Arial" w:cs="Arial" w:eastAsia="Arial" w:hAnsi="Arial"/>
          <w:sz w:val="19"/>
          <w:szCs w:val="19"/>
          <w:color w:val="auto"/>
        </w:rPr>
        <w:t>) Business Day prior to the Existing Maturity Date of the applicable Existing Revolving Tranche, the Borrowers shall make prepayments of Revolving Loans and shall Cash Collateralize Letters of Credit, such that, after giving effect to such prepayments and such provision of Cash Collateral, the aggregate Revolving Exposure as of such date will not exceed the aggregate applicable Extended Revolving Commitments of the Extending Revolving Lenders (and the Borrowers shall not be permitted thereafter to request any Revolving Loan or any issuance, amendment, renewal or extension of a Letter of Credit if, after giving effect thereto, the applicable Revolving Exposure would exceed the aggregate amount of the Extended Revolving Commitments then in effect).</w:t>
      </w:r>
    </w:p>
    <w:p>
      <w:pPr>
        <w:spacing w:after="0" w:line="161" w:lineRule="exact"/>
        <w:rPr>
          <w:rFonts w:ascii="Arial" w:cs="Arial" w:eastAsia="Arial" w:hAnsi="Arial"/>
          <w:sz w:val="19"/>
          <w:szCs w:val="19"/>
          <w:color w:val="auto"/>
        </w:rPr>
      </w:pPr>
    </w:p>
    <w:p>
      <w:pPr>
        <w:jc w:val="both"/>
        <w:ind w:left="660" w:firstLine="644"/>
        <w:spacing w:after="0" w:line="210" w:lineRule="auto"/>
        <w:tabs>
          <w:tab w:leader="none" w:pos="1951"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Increase to Existing Extended Revolving Facilities</w:t>
      </w:r>
      <w:r>
        <w:rPr>
          <w:rFonts w:ascii="Arial" w:cs="Arial" w:eastAsia="Arial" w:hAnsi="Arial"/>
          <w:sz w:val="20"/>
          <w:szCs w:val="20"/>
          <w:color w:val="auto"/>
        </w:rPr>
        <w:t xml:space="preserve">. Any Extended Revolving Commitments effected from an Existing Revolving Tranche may, to the extent provided in the applicable Revolving Extension Amendment, be designated as an increase in any previously established Extended Revolving Facility. In connection with the foregoing,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attached hereto shall be updated to reflect each applicable Extended Revolving Facility, in a manner reasonably satisfactory to the Administrative Agent.</w:t>
      </w:r>
    </w:p>
    <w:p>
      <w:pPr>
        <w:spacing w:after="0" w:line="154" w:lineRule="exact"/>
        <w:rPr>
          <w:rFonts w:ascii="Arial" w:cs="Arial" w:eastAsia="Arial" w:hAnsi="Arial"/>
          <w:sz w:val="20"/>
          <w:szCs w:val="20"/>
          <w:color w:val="auto"/>
        </w:rPr>
      </w:pPr>
    </w:p>
    <w:p>
      <w:pPr>
        <w:jc w:val="both"/>
        <w:ind w:left="660" w:firstLine="644"/>
        <w:spacing w:after="0" w:line="207" w:lineRule="auto"/>
        <w:tabs>
          <w:tab w:leader="none" w:pos="1944"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Changes to Applicable Rate</w:t>
      </w:r>
      <w:r>
        <w:rPr>
          <w:rFonts w:ascii="Arial" w:cs="Arial" w:eastAsia="Arial" w:hAnsi="Arial"/>
          <w:sz w:val="20"/>
          <w:szCs w:val="20"/>
          <w:color w:val="auto"/>
        </w:rPr>
        <w:t xml:space="preserve">. In connection with any extension of the Maturity Date made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2.19</w:t>
      </w:r>
      <w:r>
        <w:rPr>
          <w:rFonts w:ascii="Arial" w:cs="Arial" w:eastAsia="Arial" w:hAnsi="Arial"/>
          <w:sz w:val="20"/>
          <w:szCs w:val="20"/>
          <w:color w:val="auto"/>
        </w:rPr>
        <w:t xml:space="preserve">, the Applicable Rate applicable to Loans made and to be made by Extending Revolving Lenders may be modified without any consent of any other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modification shall apply to the Loans of the other Lenders unless the Company and the Administrative Agent (without any requirement of consultation with or approval by any other Lender) determine that such change should apply to the Loans of the other Lenders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either (i) such other Lender has consented to such change (notwithstanding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40"/>
          </w:cols>
          <w:pgMar w:left="320" w:top="1405" w:right="339" w:bottom="1440" w:gutter="0" w:footer="0" w:header="0"/>
        </w:sectPr>
      </w:pPr>
    </w:p>
    <w:bookmarkStart w:id="122" w:name="page123"/>
    <w:bookmarkEnd w:id="122"/>
    <w:p>
      <w:pPr>
        <w:ind w:left="720"/>
        <w:spacing w:after="0" w:line="229" w:lineRule="auto"/>
        <w:rPr>
          <w:sz w:val="20"/>
          <w:szCs w:val="20"/>
          <w:color w:val="auto"/>
        </w:rPr>
      </w:pPr>
      <w:r>
        <w:rPr>
          <w:rFonts w:ascii="Arial" w:cs="Arial" w:eastAsia="Arial" w:hAnsi="Arial"/>
          <w:sz w:val="20"/>
          <w:szCs w:val="20"/>
          <w:color w:val="auto"/>
        </w:rPr>
        <w:t>Lender is not consenting to the applicable extension of the Maturity Date) or (ii) such change represents an increase in the Applicable Rate applicable to the Loans of the other Lenders.</w:t>
      </w:r>
    </w:p>
    <w:p>
      <w:pPr>
        <w:spacing w:after="0" w:line="153" w:lineRule="exact"/>
        <w:rPr>
          <w:sz w:val="20"/>
          <w:szCs w:val="20"/>
          <w:color w:val="auto"/>
        </w:rPr>
      </w:pPr>
    </w:p>
    <w:p>
      <w:pPr>
        <w:ind w:left="2000" w:hanging="636"/>
        <w:spacing w:after="0"/>
        <w:tabs>
          <w:tab w:leader="none" w:pos="20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to the</w:t>
      </w:r>
    </w:p>
    <w:p>
      <w:pPr>
        <w:ind w:left="720"/>
        <w:spacing w:after="0"/>
        <w:rPr>
          <w:rFonts w:ascii="Arial" w:cs="Arial" w:eastAsia="Arial" w:hAnsi="Arial"/>
          <w:sz w:val="18"/>
          <w:szCs w:val="18"/>
          <w:color w:val="auto"/>
        </w:rPr>
      </w:pPr>
      <w:r>
        <w:rPr>
          <w:rFonts w:ascii="Arial" w:cs="Arial" w:eastAsia="Arial" w:hAnsi="Arial"/>
          <w:sz w:val="20"/>
          <w:szCs w:val="20"/>
          <w:color w:val="auto"/>
        </w:rPr>
        <w:t>contrary.</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III</w:t>
      </w:r>
    </w:p>
    <w:p>
      <w:pPr>
        <w:jc w:val="center"/>
        <w:ind w:right="-59"/>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153"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-10795</wp:posOffset>
            </wp:positionV>
            <wp:extent cx="508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161" w:lineRule="exact"/>
        <w:rPr>
          <w:sz w:val="20"/>
          <w:szCs w:val="20"/>
          <w:color w:val="auto"/>
        </w:rPr>
      </w:pPr>
    </w:p>
    <w:p>
      <w:pPr>
        <w:jc w:val="both"/>
        <w:ind w:left="720" w:firstLine="644"/>
        <w:spacing w:after="0" w:line="227" w:lineRule="auto"/>
        <w:tabs>
          <w:tab w:leader="none" w:pos="200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withheld or deducted to the relevant Governmental Authority in accordance with applicable Law, and if such Tax is an Indemnified Tax, the sum payable by the applicable Loan Party shall be increased as necessary so that after any required withholding or the making of all required deductions (including withholdings and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55" w:lineRule="exact"/>
        <w:rPr>
          <w:rFonts w:ascii="Arial" w:cs="Arial" w:eastAsia="Arial" w:hAnsi="Arial"/>
          <w:sz w:val="18"/>
          <w:szCs w:val="18"/>
          <w:color w:val="auto"/>
        </w:rPr>
      </w:pPr>
    </w:p>
    <w:p>
      <w:pPr>
        <w:jc w:val="both"/>
        <w:ind w:left="720" w:firstLine="644"/>
        <w:spacing w:after="0" w:line="218" w:lineRule="auto"/>
        <w:tabs>
          <w:tab w:leader="none" w:pos="2004"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Section 3.01(a)</w:t>
      </w:r>
      <w:r>
        <w:rPr>
          <w:rFonts w:ascii="Arial" w:cs="Arial" w:eastAsia="Arial" w:hAnsi="Arial"/>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56" w:lineRule="exact"/>
        <w:rPr>
          <w:rFonts w:ascii="Arial" w:cs="Arial" w:eastAsia="Arial" w:hAnsi="Arial"/>
          <w:sz w:val="20"/>
          <w:szCs w:val="20"/>
          <w:color w:val="auto"/>
        </w:rPr>
      </w:pPr>
    </w:p>
    <w:p>
      <w:pPr>
        <w:ind w:left="2000" w:hanging="636"/>
        <w:spacing w:after="0"/>
        <w:tabs>
          <w:tab w:leader="none" w:pos="200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60" w:firstLine="652"/>
        <w:spacing w:after="0" w:line="216" w:lineRule="auto"/>
        <w:tabs>
          <w:tab w:leader="none" w:pos="2654" w:val="left"/>
        </w:tabs>
        <w:numPr>
          <w:ilvl w:val="1"/>
          <w:numId w:val="108"/>
        </w:numPr>
        <w:rPr>
          <w:rFonts w:ascii="Arial" w:cs="Arial" w:eastAsia="Arial" w:hAnsi="Arial"/>
          <w:sz w:val="19"/>
          <w:szCs w:val="19"/>
          <w:color w:val="auto"/>
        </w:rPr>
      </w:pPr>
      <w:r>
        <w:rPr>
          <w:rFonts w:ascii="Arial" w:cs="Arial" w:eastAsia="Arial" w:hAnsi="Arial"/>
          <w:sz w:val="19"/>
          <w:szCs w:val="19"/>
          <w:color w:val="auto"/>
        </w:rPr>
        <w:t>Each of the Loan Parties shall jointly and severally indemnify each Recipient, and shall make payment in respect thereof within ten (10) days after demand therefor, for the full amount of any Indemnified Taxes (including Indemnified Taxes imposed or asserted on or attributable to amounts payable under this Section 3.01)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Loan Party by a Lender (with a copy to the Administrative Agent), or by the Administrative Agent on its own behalf or on behalf of a Lender, shall be conclusive absent manifest error.</w:t>
      </w:r>
    </w:p>
    <w:p>
      <w:pPr>
        <w:spacing w:after="0" w:line="154" w:lineRule="exact"/>
        <w:rPr>
          <w:rFonts w:ascii="Arial" w:cs="Arial" w:eastAsia="Arial" w:hAnsi="Arial"/>
          <w:sz w:val="19"/>
          <w:szCs w:val="19"/>
          <w:color w:val="auto"/>
        </w:rPr>
      </w:pPr>
    </w:p>
    <w:p>
      <w:pPr>
        <w:jc w:val="both"/>
        <w:ind w:left="1360" w:firstLine="652"/>
        <w:spacing w:after="0" w:line="222" w:lineRule="auto"/>
        <w:tabs>
          <w:tab w:leader="none" w:pos="265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Each Lender shall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w:t>
      </w:r>
    </w:p>
    <w:p>
      <w:pPr>
        <w:spacing w:after="0" w:line="3" w:lineRule="exact"/>
        <w:rPr>
          <w:rFonts w:ascii="Arial" w:cs="Arial" w:eastAsia="Arial" w:hAnsi="Arial"/>
          <w:sz w:val="18"/>
          <w:szCs w:val="18"/>
          <w:color w:val="auto"/>
        </w:rPr>
      </w:pPr>
    </w:p>
    <w:p>
      <w:pPr>
        <w:jc w:val="both"/>
        <w:ind w:left="1360"/>
        <w:spacing w:after="0" w:line="229" w:lineRule="auto"/>
        <w:rPr>
          <w:rFonts w:ascii="Arial" w:cs="Arial" w:eastAsia="Arial" w:hAnsi="Arial"/>
          <w:sz w:val="18"/>
          <w:szCs w:val="18"/>
          <w:color w:val="auto"/>
        </w:rPr>
      </w:pPr>
      <w:r>
        <w:rPr>
          <w:rFonts w:ascii="Arial" w:cs="Arial" w:eastAsia="Arial" w:hAnsi="Arial"/>
          <w:sz w:val="18"/>
          <w:szCs w:val="18"/>
          <w:color w:val="auto"/>
        </w:rPr>
        <w:t>(C) the Administrative Agent against any Excluded Taxes attributable to such Lender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300"/>
          </w:cols>
          <w:pgMar w:left="260" w:top="1405" w:right="339" w:bottom="1440" w:gutter="0" w:footer="0" w:header="0"/>
        </w:sectPr>
      </w:pPr>
    </w:p>
    <w:bookmarkStart w:id="123" w:name="page124"/>
    <w:bookmarkEnd w:id="123"/>
    <w:p>
      <w:pPr>
        <w:ind w:left="1300"/>
        <w:spacing w:after="0" w:line="229" w:lineRule="auto"/>
        <w:rPr>
          <w:sz w:val="20"/>
          <w:szCs w:val="20"/>
          <w:color w:val="auto"/>
        </w:rPr>
      </w:pPr>
      <w:r>
        <w:rPr>
          <w:rFonts w:ascii="Arial" w:cs="Arial" w:eastAsia="Arial" w:hAnsi="Arial"/>
          <w:sz w:val="20"/>
          <w:szCs w:val="20"/>
          <w:color w:val="auto"/>
        </w:rPr>
        <w:t>and all amounts at any time owing to such Lender under this Agreement or any other Loan Document against any amount due to the Administrative Agent under this clause (ii).</w:t>
      </w:r>
    </w:p>
    <w:p>
      <w:pPr>
        <w:spacing w:after="0" w:line="155" w:lineRule="exact"/>
        <w:rPr>
          <w:sz w:val="20"/>
          <w:szCs w:val="20"/>
          <w:color w:val="auto"/>
        </w:rPr>
      </w:pPr>
    </w:p>
    <w:p>
      <w:pPr>
        <w:jc w:val="both"/>
        <w:ind w:left="660" w:firstLine="644"/>
        <w:spacing w:after="0" w:line="224" w:lineRule="auto"/>
        <w:tabs>
          <w:tab w:leader="none" w:pos="194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any Loan Party to a Governmental Authority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Loan Party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56" w:lineRule="exact"/>
        <w:rPr>
          <w:rFonts w:ascii="Arial" w:cs="Arial" w:eastAsia="Arial" w:hAnsi="Arial"/>
          <w:sz w:val="19"/>
          <w:szCs w:val="19"/>
          <w:color w:val="auto"/>
        </w:rPr>
      </w:pPr>
    </w:p>
    <w:p>
      <w:pPr>
        <w:ind w:left="1940" w:hanging="636"/>
        <w:spacing w:after="0"/>
        <w:tabs>
          <w:tab w:leader="none" w:pos="194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24" w:lineRule="auto"/>
        <w:tabs>
          <w:tab w:leader="none" w:pos="259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applicable Borrower and the Administrative Agent, at the time or times reasonably requested by the applicable Borrower or the Administrative Agent, such properly completed and executed documentation reasonably requested by the applicable Borrower or the Administrative Agent as will permit such payments to be made without withholding or at a reduced rate of withholding. In addition, any Lender, if reasonably requested by the applicable Borrower or the Administrative Agent, shall deliver such other documentation prescribed by applicable Law or reasonably requested by the applicable Borrower or the Administrative Agent as will enable the applicable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Sections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or the tax documentation required under </w:t>
      </w:r>
      <w:r>
        <w:rPr>
          <w:rFonts w:ascii="Arial" w:cs="Arial" w:eastAsia="Arial" w:hAnsi="Arial"/>
          <w:sz w:val="18"/>
          <w:szCs w:val="18"/>
          <w:u w:val="single" w:color="auto"/>
          <w:color w:val="auto"/>
        </w:rPr>
        <w:t>Section 3.01(g)</w:t>
      </w:r>
      <w:r>
        <w:rPr>
          <w:rFonts w:ascii="Arial" w:cs="Arial" w:eastAsia="Arial" w:hAnsi="Arial"/>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8"/>
          <w:szCs w:val="18"/>
          <w:color w:val="auto"/>
        </w:rPr>
      </w:pPr>
    </w:p>
    <w:p>
      <w:pPr>
        <w:ind w:left="1300" w:firstLine="652"/>
        <w:spacing w:after="0" w:line="229" w:lineRule="auto"/>
        <w:tabs>
          <w:tab w:leader="none" w:pos="2595" w:val="left"/>
        </w:tabs>
        <w:numPr>
          <w:ilvl w:val="1"/>
          <w:numId w:val="109"/>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applicable Borrower is a U.S. Person (including the Company),</w:t>
      </w:r>
    </w:p>
    <w:p>
      <w:pPr>
        <w:spacing w:after="0" w:line="168" w:lineRule="exact"/>
        <w:rPr>
          <w:rFonts w:ascii="Arial" w:cs="Arial" w:eastAsia="Arial" w:hAnsi="Arial"/>
          <w:sz w:val="20"/>
          <w:szCs w:val="20"/>
          <w:color w:val="auto"/>
        </w:rPr>
      </w:pPr>
    </w:p>
    <w:p>
      <w:pPr>
        <w:jc w:val="both"/>
        <w:ind w:left="1960" w:firstLine="640"/>
        <w:spacing w:after="0" w:line="222" w:lineRule="auto"/>
        <w:tabs>
          <w:tab w:leader="none" w:pos="3245" w:val="left"/>
        </w:tabs>
        <w:numPr>
          <w:ilvl w:val="2"/>
          <w:numId w:val="109"/>
        </w:numPr>
        <w:rPr>
          <w:rFonts w:ascii="Arial" w:cs="Arial" w:eastAsia="Arial" w:hAnsi="Arial"/>
          <w:sz w:val="21"/>
          <w:szCs w:val="21"/>
          <w:color w:val="auto"/>
        </w:rPr>
      </w:pPr>
      <w:r>
        <w:rPr>
          <w:rFonts w:ascii="Arial" w:cs="Arial" w:eastAsia="Arial" w:hAnsi="Arial"/>
          <w:sz w:val="19"/>
          <w:szCs w:val="19"/>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69" w:lineRule="exact"/>
        <w:rPr>
          <w:rFonts w:ascii="Arial" w:cs="Arial" w:eastAsia="Arial" w:hAnsi="Arial"/>
          <w:sz w:val="21"/>
          <w:szCs w:val="21"/>
          <w:color w:val="auto"/>
        </w:rPr>
      </w:pPr>
    </w:p>
    <w:p>
      <w:pPr>
        <w:jc w:val="both"/>
        <w:ind w:left="1960" w:firstLine="640"/>
        <w:spacing w:after="0" w:line="237" w:lineRule="auto"/>
        <w:tabs>
          <w:tab w:leader="none" w:pos="3247" w:val="left"/>
        </w:tabs>
        <w:numPr>
          <w:ilvl w:val="2"/>
          <w:numId w:val="109"/>
        </w:numPr>
        <w:rPr>
          <w:rFonts w:ascii="Arial" w:cs="Arial" w:eastAsia="Arial" w:hAnsi="Arial"/>
          <w:sz w:val="19"/>
          <w:szCs w:val="19"/>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70" w:lineRule="exact"/>
        <w:rPr>
          <w:rFonts w:ascii="Arial" w:cs="Arial" w:eastAsia="Arial" w:hAnsi="Arial"/>
          <w:sz w:val="19"/>
          <w:szCs w:val="19"/>
          <w:color w:val="auto"/>
        </w:rPr>
      </w:pPr>
    </w:p>
    <w:p>
      <w:pPr>
        <w:jc w:val="both"/>
        <w:ind w:left="2600" w:firstLine="648"/>
        <w:spacing w:after="0" w:line="206" w:lineRule="auto"/>
        <w:tabs>
          <w:tab w:leader="none" w:pos="3891" w:val="left"/>
        </w:tabs>
        <w:numPr>
          <w:ilvl w:val="3"/>
          <w:numId w:val="109"/>
        </w:numPr>
        <w:rPr>
          <w:rFonts w:ascii="Arial" w:cs="Arial" w:eastAsia="Arial" w:hAnsi="Arial"/>
          <w:sz w:val="22"/>
          <w:szCs w:val="22"/>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40"/>
          </w:cols>
          <w:pgMar w:left="320" w:top="1405" w:right="339" w:bottom="1440" w:gutter="0" w:footer="0" w:header="0"/>
        </w:sectPr>
      </w:pPr>
    </w:p>
    <w:bookmarkStart w:id="124" w:name="page125"/>
    <w:bookmarkEnd w:id="124"/>
    <w:p>
      <w:pPr>
        <w:ind w:left="2600"/>
        <w:spacing w:after="0" w:line="229" w:lineRule="auto"/>
        <w:rPr>
          <w:sz w:val="20"/>
          <w:szCs w:val="20"/>
          <w:color w:val="auto"/>
        </w:rPr>
      </w:pPr>
      <w:r>
        <w:rPr>
          <w:rFonts w:ascii="Arial" w:cs="Arial" w:eastAsia="Arial" w:hAnsi="Arial"/>
          <w:sz w:val="20"/>
          <w:szCs w:val="20"/>
          <w:color w:val="auto"/>
        </w:rPr>
        <w:t>or reduction of, U.S. federal withholding Tax pursuant to the “business profits” or “other income” article of such tax treaty;</w:t>
      </w:r>
    </w:p>
    <w:p>
      <w:pPr>
        <w:spacing w:after="0" w:line="166" w:lineRule="exact"/>
        <w:rPr>
          <w:sz w:val="20"/>
          <w:szCs w:val="20"/>
          <w:color w:val="auto"/>
        </w:rPr>
      </w:pPr>
    </w:p>
    <w:p>
      <w:pPr>
        <w:ind w:left="3900" w:hanging="652"/>
        <w:spacing w:after="0"/>
        <w:tabs>
          <w:tab w:leader="none" w:pos="3900" w:val="left"/>
        </w:tabs>
        <w:numPr>
          <w:ilvl w:val="2"/>
          <w:numId w:val="110"/>
        </w:numPr>
        <w:rPr>
          <w:rFonts w:ascii="Arial" w:cs="Arial" w:eastAsia="Arial" w:hAnsi="Arial"/>
          <w:sz w:val="22"/>
          <w:szCs w:val="22"/>
          <w:color w:val="auto"/>
        </w:rPr>
      </w:pPr>
      <w:r>
        <w:rPr>
          <w:rFonts w:ascii="Arial" w:cs="Arial" w:eastAsia="Arial" w:hAnsi="Arial"/>
          <w:sz w:val="20"/>
          <w:szCs w:val="20"/>
          <w:color w:val="auto"/>
        </w:rPr>
        <w:t>executed copies of IRS Form W-8ECI;</w:t>
      </w:r>
    </w:p>
    <w:p>
      <w:pPr>
        <w:spacing w:after="0" w:line="181" w:lineRule="exact"/>
        <w:rPr>
          <w:rFonts w:ascii="Arial" w:cs="Arial" w:eastAsia="Arial" w:hAnsi="Arial"/>
          <w:sz w:val="22"/>
          <w:szCs w:val="22"/>
          <w:color w:val="auto"/>
        </w:rPr>
      </w:pPr>
    </w:p>
    <w:p>
      <w:pPr>
        <w:jc w:val="both"/>
        <w:ind w:left="2600" w:firstLine="648"/>
        <w:spacing w:after="0" w:line="231" w:lineRule="auto"/>
        <w:tabs>
          <w:tab w:leader="none" w:pos="3891" w:val="left"/>
        </w:tabs>
        <w:numPr>
          <w:ilvl w:val="2"/>
          <w:numId w:val="110"/>
        </w:numPr>
        <w:rPr>
          <w:rFonts w:ascii="Arial" w:cs="Arial" w:eastAsia="Arial" w:hAnsi="Arial"/>
          <w:sz w:val="19"/>
          <w:szCs w:val="19"/>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“10-percent shareholder” of the Company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W-8BEN-E (or W-8BEN, as applicable); or</w:t>
      </w:r>
    </w:p>
    <w:p>
      <w:pPr>
        <w:spacing w:after="0" w:line="170" w:lineRule="exact"/>
        <w:rPr>
          <w:rFonts w:ascii="Arial" w:cs="Arial" w:eastAsia="Arial" w:hAnsi="Arial"/>
          <w:sz w:val="19"/>
          <w:szCs w:val="19"/>
          <w:color w:val="auto"/>
        </w:rPr>
      </w:pPr>
    </w:p>
    <w:p>
      <w:pPr>
        <w:jc w:val="both"/>
        <w:ind w:left="2600" w:firstLine="648"/>
        <w:spacing w:after="0" w:line="204" w:lineRule="auto"/>
        <w:tabs>
          <w:tab w:leader="none" w:pos="3891" w:val="left"/>
        </w:tabs>
        <w:numPr>
          <w:ilvl w:val="2"/>
          <w:numId w:val="110"/>
        </w:numPr>
        <w:rPr>
          <w:rFonts w:ascii="Arial" w:cs="Arial" w:eastAsia="Arial" w:hAnsi="Arial"/>
          <w:sz w:val="22"/>
          <w:szCs w:val="22"/>
          <w:color w:val="auto"/>
        </w:rPr>
      </w:pPr>
      <w:r>
        <w:rPr>
          <w:rFonts w:ascii="Arial" w:cs="Arial" w:eastAsia="Arial" w:hAnsi="Arial"/>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Exhibit I-2 or Exhibit I-3,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for U.S. federal income tax purposes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58" w:lineRule="exact"/>
        <w:rPr>
          <w:rFonts w:ascii="Arial" w:cs="Arial" w:eastAsia="Arial" w:hAnsi="Arial"/>
          <w:sz w:val="22"/>
          <w:szCs w:val="22"/>
          <w:color w:val="auto"/>
        </w:rPr>
      </w:pPr>
    </w:p>
    <w:p>
      <w:pPr>
        <w:jc w:val="both"/>
        <w:ind w:left="1300" w:firstLine="976"/>
        <w:spacing w:after="0" w:line="217" w:lineRule="auto"/>
        <w:tabs>
          <w:tab w:leader="none" w:pos="2837"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56" w:lineRule="exact"/>
        <w:rPr>
          <w:rFonts w:ascii="Arial" w:cs="Arial" w:eastAsia="Arial" w:hAnsi="Arial"/>
          <w:sz w:val="19"/>
          <w:szCs w:val="19"/>
          <w:color w:val="auto"/>
        </w:rPr>
      </w:pPr>
    </w:p>
    <w:p>
      <w:pPr>
        <w:jc w:val="both"/>
        <w:ind w:left="1300" w:firstLine="976"/>
        <w:spacing w:after="0" w:line="214" w:lineRule="auto"/>
        <w:tabs>
          <w:tab w:leader="none" w:pos="2801" w:val="left"/>
        </w:tabs>
        <w:numPr>
          <w:ilvl w:val="1"/>
          <w:numId w:val="111"/>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57" w:lineRule="exact"/>
        <w:rPr>
          <w:rFonts w:ascii="Arial" w:cs="Arial" w:eastAsia="Arial" w:hAnsi="Arial"/>
          <w:sz w:val="19"/>
          <w:szCs w:val="19"/>
          <w:color w:val="auto"/>
        </w:rPr>
      </w:pPr>
    </w:p>
    <w:p>
      <w:pPr>
        <w:ind w:left="1300" w:firstLine="652"/>
        <w:spacing w:after="0" w:line="229" w:lineRule="auto"/>
        <w:tabs>
          <w:tab w:leader="none" w:pos="259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40"/>
          </w:cols>
          <w:pgMar w:left="320" w:top="1405" w:right="339" w:bottom="1440" w:gutter="0" w:footer="0" w:header="0"/>
        </w:sectPr>
      </w:pPr>
    </w:p>
    <w:bookmarkStart w:id="125" w:name="page126"/>
    <w:bookmarkEnd w:id="125"/>
    <w:p>
      <w:pPr>
        <w:ind w:left="1300"/>
        <w:spacing w:after="0" w:line="229" w:lineRule="auto"/>
        <w:rPr>
          <w:sz w:val="20"/>
          <w:szCs w:val="20"/>
          <w:color w:val="auto"/>
        </w:rPr>
      </w:pPr>
      <w:r>
        <w:rPr>
          <w:rFonts w:ascii="Arial" w:cs="Arial" w:eastAsia="Arial" w:hAnsi="Arial"/>
          <w:sz w:val="20"/>
          <w:szCs w:val="20"/>
          <w:color w:val="auto"/>
        </w:rPr>
        <w:t>respect, it shall update such form or certification or promptly notify the applicable Borrower and the Administrative Agent in writing of its legal inability to do so.</w:t>
      </w:r>
    </w:p>
    <w:p>
      <w:pPr>
        <w:spacing w:after="0" w:line="155" w:lineRule="exact"/>
        <w:rPr>
          <w:sz w:val="20"/>
          <w:szCs w:val="20"/>
          <w:color w:val="auto"/>
        </w:rPr>
      </w:pPr>
    </w:p>
    <w:p>
      <w:pPr>
        <w:jc w:val="both"/>
        <w:ind w:firstLine="980"/>
        <w:spacing w:after="0" w:line="218" w:lineRule="auto"/>
        <w:tabs>
          <w:tab w:leader="none" w:pos="137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 Irish Treaty Lender and the applicable Borrower shall co-operate in completing any procedural formalities necessary for the applicable Borrower to obtain authorization to make a payment to that Irish Treaty Lender without any deduction or withholding of any tax imposed by Ireland.</w:t>
      </w:r>
    </w:p>
    <w:p>
      <w:pPr>
        <w:spacing w:after="0" w:line="156" w:lineRule="exact"/>
        <w:rPr>
          <w:rFonts w:ascii="Arial" w:cs="Arial" w:eastAsia="Arial" w:hAnsi="Arial"/>
          <w:sz w:val="20"/>
          <w:szCs w:val="20"/>
          <w:color w:val="auto"/>
        </w:rPr>
      </w:pPr>
    </w:p>
    <w:p>
      <w:pPr>
        <w:ind w:left="1400" w:hanging="420"/>
        <w:spacing w:after="0"/>
        <w:tabs>
          <w:tab w:leader="none" w:pos="14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respect of Loans advanced to a Loan Party that is within the charge to United Kingdom corporation tax:</w:t>
      </w:r>
    </w:p>
    <w:p>
      <w:pPr>
        <w:spacing w:after="0" w:line="175" w:lineRule="exact"/>
        <w:rPr>
          <w:rFonts w:ascii="Arial" w:cs="Arial" w:eastAsia="Arial" w:hAnsi="Arial"/>
          <w:sz w:val="20"/>
          <w:szCs w:val="20"/>
          <w:color w:val="auto"/>
        </w:rPr>
      </w:pPr>
    </w:p>
    <w:p>
      <w:pPr>
        <w:jc w:val="both"/>
        <w:ind w:left="1300" w:firstLine="652"/>
        <w:spacing w:after="0" w:line="213" w:lineRule="auto"/>
        <w:tabs>
          <w:tab w:leader="none" w:pos="2594"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3.01(g)(ii)</w:t>
      </w:r>
      <w:r>
        <w:rPr>
          <w:rFonts w:ascii="Arial" w:cs="Arial" w:eastAsia="Arial" w:hAnsi="Arial"/>
          <w:sz w:val="20"/>
          <w:szCs w:val="20"/>
          <w:color w:val="auto"/>
        </w:rPr>
        <w:t>, a UK Treaty Lender and each Loan Party which makes a payment under a Loan Document to which that UK Treaty Lender is entitled shall cooperate in completing any procedural formalities necessary for such Loan Party to obtain authorization to make that payment without a UK Tax Deduction, including making and filing of an appropriate application for relief under an applicable Treaty.</w:t>
      </w:r>
    </w:p>
    <w:p>
      <w:pPr>
        <w:spacing w:after="0" w:line="155" w:lineRule="exact"/>
        <w:rPr>
          <w:rFonts w:ascii="Arial" w:cs="Arial" w:eastAsia="Arial" w:hAnsi="Arial"/>
          <w:sz w:val="20"/>
          <w:szCs w:val="20"/>
          <w:color w:val="auto"/>
        </w:rPr>
      </w:pPr>
    </w:p>
    <w:p>
      <w:pPr>
        <w:jc w:val="both"/>
        <w:ind w:left="1300" w:firstLine="652"/>
        <w:spacing w:after="0" w:line="229" w:lineRule="auto"/>
        <w:tabs>
          <w:tab w:leader="none" w:pos="259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UK Treaty Lender that holds a passport under the HMRC Double Taxation Treaty Passport Scheme (“</w:t>
      </w:r>
      <w:r>
        <w:rPr>
          <w:rFonts w:ascii="Arial" w:cs="Arial" w:eastAsia="Arial" w:hAnsi="Arial"/>
          <w:sz w:val="18"/>
          <w:szCs w:val="18"/>
          <w:u w:val="single" w:color="auto"/>
          <w:color w:val="auto"/>
        </w:rPr>
        <w:t>UK</w:t>
      </w:r>
      <w:r>
        <w:rPr>
          <w:rFonts w:ascii="Arial" w:cs="Arial" w:eastAsia="Arial" w:hAnsi="Arial"/>
          <w:sz w:val="18"/>
          <w:szCs w:val="18"/>
          <w:color w:val="auto"/>
        </w:rPr>
        <w:t xml:space="preserve"> </w:t>
      </w:r>
      <w:r>
        <w:rPr>
          <w:rFonts w:ascii="Arial" w:cs="Arial" w:eastAsia="Arial" w:hAnsi="Arial"/>
          <w:sz w:val="18"/>
          <w:szCs w:val="18"/>
          <w:u w:val="single" w:color="auto"/>
          <w:color w:val="auto"/>
        </w:rPr>
        <w:t>DTTP Scheme</w:t>
      </w:r>
      <w:r>
        <w:rPr>
          <w:rFonts w:ascii="Arial" w:cs="Arial" w:eastAsia="Arial" w:hAnsi="Arial"/>
          <w:sz w:val="18"/>
          <w:szCs w:val="18"/>
          <w:color w:val="auto"/>
        </w:rPr>
        <w:t xml:space="preserve">”) and which wishes the UK DTTP Scheme to apply to this Agreement, shall confirm its scheme reference number and jurisdiction of tax residence in: (A) where the UK Treaty Lender is a Lender on the date of this Agreement, </w:t>
      </w:r>
      <w:r>
        <w:rPr>
          <w:rFonts w:ascii="Arial" w:cs="Arial" w:eastAsia="Arial" w:hAnsi="Arial"/>
          <w:sz w:val="18"/>
          <w:szCs w:val="18"/>
          <w:u w:val="single" w:color="auto"/>
          <w:color w:val="auto"/>
        </w:rPr>
        <w:t>Schedule 1.01(d)</w:t>
      </w:r>
      <w:r>
        <w:rPr>
          <w:rFonts w:ascii="Arial" w:cs="Arial" w:eastAsia="Arial" w:hAnsi="Arial"/>
          <w:sz w:val="18"/>
          <w:szCs w:val="18"/>
          <w:color w:val="auto"/>
        </w:rPr>
        <w:t xml:space="preserve"> to this Agreement; or (B) where the UK Treaty Lender becomes a Lender after the date of this Agreement, the relevant Assignment and Assumption, and, having done so, that UK Treaty Lender shall be under no obligation pursuant to </w:t>
      </w:r>
      <w:r>
        <w:rPr>
          <w:rFonts w:ascii="Arial" w:cs="Arial" w:eastAsia="Arial" w:hAnsi="Arial"/>
          <w:sz w:val="18"/>
          <w:szCs w:val="18"/>
          <w:u w:val="single" w:color="auto"/>
          <w:color w:val="auto"/>
        </w:rPr>
        <w:t>Section 3.01(g)(i)</w:t>
      </w:r>
      <w:r>
        <w:rPr>
          <w:rFonts w:ascii="Arial" w:cs="Arial" w:eastAsia="Arial" w:hAnsi="Arial"/>
          <w:sz w:val="18"/>
          <w:szCs w:val="18"/>
          <w:color w:val="auto"/>
        </w:rPr>
        <w:t xml:space="preserve"> to cooperate with the relevant Loan Party but, for avoidance of doubt, such UK Treaty Lender shall have an obligation to cooperate further with the relevant Loan Party in accordance with </w:t>
      </w:r>
      <w:r>
        <w:rPr>
          <w:rFonts w:ascii="Arial" w:cs="Arial" w:eastAsia="Arial" w:hAnsi="Arial"/>
          <w:sz w:val="18"/>
          <w:szCs w:val="18"/>
          <w:u w:val="single" w:color="auto"/>
          <w:color w:val="auto"/>
        </w:rPr>
        <w:t>Section 3.01(g)(iii)</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ind w:left="1300" w:firstLine="652"/>
        <w:spacing w:after="0" w:line="229" w:lineRule="auto"/>
        <w:tabs>
          <w:tab w:leader="none" w:pos="2596"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If a UK Treaty Lender has confirmed its scheme reference number and its jurisdiction of tax residence in accordance with </w:t>
      </w:r>
      <w:r>
        <w:rPr>
          <w:rFonts w:ascii="Arial" w:cs="Arial" w:eastAsia="Arial" w:hAnsi="Arial"/>
          <w:sz w:val="20"/>
          <w:szCs w:val="20"/>
          <w:u w:val="single" w:color="auto"/>
          <w:color w:val="auto"/>
        </w:rPr>
        <w:t>Section 3.01(g)(ii)</w:t>
      </w:r>
      <w:r>
        <w:rPr>
          <w:rFonts w:ascii="Arial" w:cs="Arial" w:eastAsia="Arial" w:hAnsi="Arial"/>
          <w:sz w:val="20"/>
          <w:szCs w:val="20"/>
          <w:color w:val="auto"/>
        </w:rPr>
        <w:t xml:space="preserve"> and:</w:t>
      </w:r>
    </w:p>
    <w:p>
      <w:pPr>
        <w:spacing w:after="0" w:line="168" w:lineRule="exact"/>
        <w:rPr>
          <w:rFonts w:ascii="Arial" w:cs="Arial" w:eastAsia="Arial" w:hAnsi="Arial"/>
          <w:sz w:val="20"/>
          <w:szCs w:val="20"/>
          <w:color w:val="auto"/>
        </w:rPr>
      </w:pPr>
    </w:p>
    <w:p>
      <w:pPr>
        <w:ind w:left="1960" w:right="20" w:firstLine="640"/>
        <w:spacing w:after="0" w:line="225" w:lineRule="auto"/>
        <w:tabs>
          <w:tab w:leader="none" w:pos="3245" w:val="left"/>
        </w:tabs>
        <w:numPr>
          <w:ilvl w:val="2"/>
          <w:numId w:val="113"/>
        </w:numPr>
        <w:rPr>
          <w:rFonts w:ascii="Arial" w:cs="Arial" w:eastAsia="Arial" w:hAnsi="Arial"/>
          <w:sz w:val="22"/>
          <w:szCs w:val="22"/>
          <w:color w:val="auto"/>
        </w:rPr>
      </w:pPr>
      <w:r>
        <w:rPr>
          <w:rFonts w:ascii="Arial" w:cs="Arial" w:eastAsia="Arial" w:hAnsi="Arial"/>
          <w:sz w:val="20"/>
          <w:szCs w:val="20"/>
          <w:color w:val="auto"/>
        </w:rPr>
        <w:t>a Loan Party making a payment to that UK Treaty Lender has not made a UK DTTP Filing in respect of that UK Treaty Lender; or</w:t>
      </w:r>
    </w:p>
    <w:p>
      <w:pPr>
        <w:spacing w:after="0" w:line="168" w:lineRule="exact"/>
        <w:rPr>
          <w:rFonts w:ascii="Arial" w:cs="Arial" w:eastAsia="Arial" w:hAnsi="Arial"/>
          <w:sz w:val="22"/>
          <w:szCs w:val="22"/>
          <w:color w:val="auto"/>
        </w:rPr>
      </w:pPr>
    </w:p>
    <w:p>
      <w:pPr>
        <w:jc w:val="both"/>
        <w:ind w:left="1960" w:firstLine="640"/>
        <w:spacing w:after="0" w:line="228" w:lineRule="auto"/>
        <w:tabs>
          <w:tab w:leader="none" w:pos="3247" w:val="left"/>
        </w:tabs>
        <w:numPr>
          <w:ilvl w:val="2"/>
          <w:numId w:val="113"/>
        </w:numPr>
        <w:rPr>
          <w:rFonts w:ascii="Arial" w:cs="Arial" w:eastAsia="Arial" w:hAnsi="Arial"/>
          <w:sz w:val="19"/>
          <w:szCs w:val="19"/>
          <w:color w:val="auto"/>
        </w:rPr>
      </w:pPr>
      <w:r>
        <w:rPr>
          <w:rFonts w:ascii="Arial" w:cs="Arial" w:eastAsia="Arial" w:hAnsi="Arial"/>
          <w:sz w:val="18"/>
          <w:szCs w:val="18"/>
          <w:color w:val="auto"/>
        </w:rPr>
        <w:t>a Loan Party making a payment to that UK Treaty Lender has made a UK DTTP Filing in respect of that Lender but either (1) that UK DTTP Filing has been rejected by HMRC or (2) HMRC has not given the Loan Party authority to make payments to that UK Treaty Lender without a UK Tax Deduction within forty (40) Business Days of the date of the UK DTTP Filing; or (3) HMRC has given the Loan Party authority to make payments to that UK Treaty Lender without a UK Tax Deduction but such authority has subsequently been revoked or expired, and in each case, the relevant Loan Party has notified that UK Treaty Lender in writing, that UK Treaty Lender and the Loan Party shall cooperate in completing any additional procedural formalities necessary for that Loan Party to obtain authorization to make that payment without a UK Tax Deduction.</w:t>
      </w:r>
    </w:p>
    <w:p>
      <w:pPr>
        <w:spacing w:after="0" w:line="157" w:lineRule="exact"/>
        <w:rPr>
          <w:rFonts w:ascii="Arial" w:cs="Arial" w:eastAsia="Arial" w:hAnsi="Arial"/>
          <w:sz w:val="19"/>
          <w:szCs w:val="19"/>
          <w:color w:val="auto"/>
        </w:rPr>
      </w:pPr>
    </w:p>
    <w:p>
      <w:pPr>
        <w:jc w:val="both"/>
        <w:ind w:left="1300" w:firstLine="652"/>
        <w:spacing w:after="0" w:line="213" w:lineRule="auto"/>
        <w:tabs>
          <w:tab w:leader="none" w:pos="2585"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3.01(g)(viii)</w:t>
      </w:r>
      <w:r>
        <w:rPr>
          <w:rFonts w:ascii="Arial" w:cs="Arial" w:eastAsia="Arial" w:hAnsi="Arial"/>
          <w:sz w:val="20"/>
          <w:szCs w:val="20"/>
          <w:color w:val="auto"/>
        </w:rPr>
        <w:t xml:space="preserve">, if a Lender has not confirmed its scheme reference number and jurisdiction of tax residence in accordance with </w:t>
      </w:r>
      <w:r>
        <w:rPr>
          <w:rFonts w:ascii="Arial" w:cs="Arial" w:eastAsia="Arial" w:hAnsi="Arial"/>
          <w:sz w:val="20"/>
          <w:szCs w:val="20"/>
          <w:u w:val="single" w:color="auto"/>
          <w:color w:val="auto"/>
        </w:rPr>
        <w:t>Section 3.01(g)(ii)</w:t>
      </w:r>
      <w:r>
        <w:rPr>
          <w:rFonts w:ascii="Arial" w:cs="Arial" w:eastAsia="Arial" w:hAnsi="Arial"/>
          <w:sz w:val="20"/>
          <w:szCs w:val="20"/>
          <w:color w:val="auto"/>
        </w:rPr>
        <w:t>, no Loan Party shall make a UK DTTP Filing or file any other form relating to the UK DTTP Scheme in respect of that Lender’s Revolving Commitment or participation in any Loan unless the Lender otherwise agrees.</w:t>
      </w:r>
    </w:p>
    <w:p>
      <w:pPr>
        <w:spacing w:after="0" w:line="155" w:lineRule="exact"/>
        <w:rPr>
          <w:rFonts w:ascii="Arial" w:cs="Arial" w:eastAsia="Arial" w:hAnsi="Arial"/>
          <w:sz w:val="20"/>
          <w:szCs w:val="20"/>
          <w:color w:val="auto"/>
        </w:rPr>
      </w:pPr>
    </w:p>
    <w:p>
      <w:pPr>
        <w:ind w:left="1300" w:firstLine="652"/>
        <w:spacing w:after="0" w:line="229" w:lineRule="auto"/>
        <w:tabs>
          <w:tab w:leader="none" w:pos="2584" w:val="left"/>
        </w:tabs>
        <w:numPr>
          <w:ilvl w:val="1"/>
          <w:numId w:val="113"/>
        </w:numPr>
        <w:rPr>
          <w:rFonts w:ascii="Arial" w:cs="Arial" w:eastAsia="Arial" w:hAnsi="Arial"/>
          <w:sz w:val="20"/>
          <w:szCs w:val="20"/>
          <w:color w:val="auto"/>
        </w:rPr>
      </w:pPr>
      <w:r>
        <w:rPr>
          <w:rFonts w:ascii="Arial" w:cs="Arial" w:eastAsia="Arial" w:hAnsi="Arial"/>
          <w:sz w:val="20"/>
          <w:szCs w:val="20"/>
          <w:color w:val="auto"/>
        </w:rPr>
        <w:t>A Loan Party shall, promptly after making a UK DTTP Filing, deliver a copy of the UK DTTP Filing to the Administrative Agent for delivery to the relevant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40"/>
          </w:cols>
          <w:pgMar w:left="320" w:top="1405" w:right="339" w:bottom="1440" w:gutter="0" w:footer="0" w:header="0"/>
        </w:sectPr>
      </w:pPr>
    </w:p>
    <w:bookmarkStart w:id="126" w:name="page127"/>
    <w:bookmarkEnd w:id="126"/>
    <w:p>
      <w:pPr>
        <w:jc w:val="both"/>
        <w:ind w:left="1300" w:firstLine="652"/>
        <w:spacing w:after="0" w:line="210" w:lineRule="auto"/>
        <w:tabs>
          <w:tab w:leader="none" w:pos="258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 Lender that is a Lender on the Closing Date that is a UK Qualifying Lender solely by virtue of sub-paragraph (1)(b) of the definition of “UK Qualifying Lender” gives a UK Tax Confirmation to Company by entering into the Agreement. A Lender that is a UK Qualifying Lender solely by virtue of sub-paragraph (1)(b) of the definition of “UK Qualifying Lender” shall promptly notify Company and the Administrative Agent if there is any change in the position from that set out in the UK Tax Confirmation.</w:t>
      </w:r>
    </w:p>
    <w:p>
      <w:pPr>
        <w:spacing w:after="0" w:line="154" w:lineRule="exact"/>
        <w:rPr>
          <w:rFonts w:ascii="Arial" w:cs="Arial" w:eastAsia="Arial" w:hAnsi="Arial"/>
          <w:sz w:val="20"/>
          <w:szCs w:val="20"/>
          <w:color w:val="auto"/>
        </w:rPr>
      </w:pPr>
    </w:p>
    <w:p>
      <w:pPr>
        <w:ind w:left="1300" w:right="20" w:firstLine="652"/>
        <w:spacing w:after="0" w:line="229" w:lineRule="auto"/>
        <w:tabs>
          <w:tab w:leader="none" w:pos="258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Each Lender which is not a Lender on the Closing Date shall indicate in the relevant Assignment and Assumption, for the benefit of the Administrative Agent, but without liability to any Loan Party, whether it is:</w:t>
      </w:r>
    </w:p>
    <w:p>
      <w:pPr>
        <w:spacing w:after="0" w:line="165" w:lineRule="exact"/>
        <w:rPr>
          <w:rFonts w:ascii="Arial" w:cs="Arial" w:eastAsia="Arial" w:hAnsi="Arial"/>
          <w:sz w:val="20"/>
          <w:szCs w:val="20"/>
          <w:color w:val="auto"/>
        </w:rPr>
      </w:pPr>
    </w:p>
    <w:p>
      <w:pPr>
        <w:ind w:left="3240" w:hanging="640"/>
        <w:spacing w:after="0"/>
        <w:tabs>
          <w:tab w:leader="none" w:pos="3240" w:val="left"/>
        </w:tabs>
        <w:numPr>
          <w:ilvl w:val="1"/>
          <w:numId w:val="114"/>
        </w:numPr>
        <w:rPr>
          <w:rFonts w:ascii="Arial" w:cs="Arial" w:eastAsia="Arial" w:hAnsi="Arial"/>
          <w:sz w:val="22"/>
          <w:szCs w:val="22"/>
          <w:color w:val="auto"/>
        </w:rPr>
      </w:pPr>
      <w:r>
        <w:rPr>
          <w:rFonts w:ascii="Arial" w:cs="Arial" w:eastAsia="Arial" w:hAnsi="Arial"/>
          <w:sz w:val="20"/>
          <w:szCs w:val="20"/>
          <w:color w:val="auto"/>
        </w:rPr>
        <w:t>not a UK Qualifying Lender;</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114"/>
        </w:numPr>
        <w:rPr>
          <w:rFonts w:ascii="Arial" w:cs="Arial" w:eastAsia="Arial" w:hAnsi="Arial"/>
          <w:sz w:val="22"/>
          <w:szCs w:val="22"/>
          <w:color w:val="auto"/>
        </w:rPr>
      </w:pPr>
      <w:r>
        <w:rPr>
          <w:rFonts w:ascii="Arial" w:cs="Arial" w:eastAsia="Arial" w:hAnsi="Arial"/>
          <w:sz w:val="20"/>
          <w:szCs w:val="20"/>
          <w:color w:val="auto"/>
        </w:rPr>
        <w:t>a UK Qualifying Lender (that is not a UK Treaty Lender); or</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114"/>
        </w:numPr>
        <w:rPr>
          <w:rFonts w:ascii="Arial" w:cs="Arial" w:eastAsia="Arial" w:hAnsi="Arial"/>
          <w:sz w:val="22"/>
          <w:szCs w:val="22"/>
          <w:color w:val="auto"/>
        </w:rPr>
      </w:pPr>
      <w:r>
        <w:rPr>
          <w:rFonts w:ascii="Arial" w:cs="Arial" w:eastAsia="Arial" w:hAnsi="Arial"/>
          <w:sz w:val="20"/>
          <w:szCs w:val="20"/>
          <w:color w:val="auto"/>
        </w:rPr>
        <w:t>a UK Treaty Lender.</w:t>
      </w:r>
    </w:p>
    <w:p>
      <w:pPr>
        <w:spacing w:after="0" w:line="168" w:lineRule="exact"/>
        <w:rPr>
          <w:sz w:val="20"/>
          <w:szCs w:val="20"/>
          <w:color w:val="auto"/>
        </w:rPr>
      </w:pPr>
    </w:p>
    <w:p>
      <w:pPr>
        <w:jc w:val="both"/>
        <w:ind w:left="1300"/>
        <w:spacing w:after="0" w:line="210" w:lineRule="auto"/>
        <w:rPr>
          <w:sz w:val="20"/>
          <w:szCs w:val="20"/>
          <w:color w:val="auto"/>
        </w:rPr>
      </w:pPr>
      <w:r>
        <w:rPr>
          <w:rFonts w:ascii="Arial" w:cs="Arial" w:eastAsia="Arial" w:hAnsi="Arial"/>
          <w:sz w:val="20"/>
          <w:szCs w:val="20"/>
          <w:color w:val="auto"/>
        </w:rPr>
        <w:t xml:space="preserve">If a Lender fails to indicate its status in accordance with this </w:t>
      </w:r>
      <w:r>
        <w:rPr>
          <w:rFonts w:ascii="Arial" w:cs="Arial" w:eastAsia="Arial" w:hAnsi="Arial"/>
          <w:sz w:val="20"/>
          <w:szCs w:val="20"/>
          <w:u w:val="single" w:color="auto"/>
          <w:color w:val="auto"/>
        </w:rPr>
        <w:t>Section 3.01(g)(vii)</w:t>
      </w:r>
      <w:r>
        <w:rPr>
          <w:rFonts w:ascii="Arial" w:cs="Arial" w:eastAsia="Arial" w:hAnsi="Arial"/>
          <w:sz w:val="20"/>
          <w:szCs w:val="20"/>
          <w:color w:val="auto"/>
        </w:rPr>
        <w:t xml:space="preserve"> then such Lender shall be treated for the purposes of this Agreement (including by each Loan Party) as if it is not a UK Qualifying Lender until such time as it notifies the Administrative Agent (and the Administrative Agent, upon receipt of such notification, shall inform the Company). For the avoidance of doubt, an Assignment and Assumption shall not be invalidated by any failure of a Lender to comply with this </w:t>
      </w:r>
      <w:r>
        <w:rPr>
          <w:rFonts w:ascii="Arial" w:cs="Arial" w:eastAsia="Arial" w:hAnsi="Arial"/>
          <w:sz w:val="20"/>
          <w:szCs w:val="20"/>
          <w:u w:val="single" w:color="auto"/>
          <w:color w:val="auto"/>
        </w:rPr>
        <w:t>Section 3.01(g)(vii)</w:t>
      </w:r>
      <w:r>
        <w:rPr>
          <w:rFonts w:ascii="Arial" w:cs="Arial" w:eastAsia="Arial" w:hAnsi="Arial"/>
          <w:sz w:val="20"/>
          <w:szCs w:val="20"/>
          <w:color w:val="auto"/>
        </w:rPr>
        <w:t>.</w:t>
      </w:r>
    </w:p>
    <w:p>
      <w:pPr>
        <w:spacing w:after="0" w:line="155" w:lineRule="exact"/>
        <w:rPr>
          <w:sz w:val="20"/>
          <w:szCs w:val="20"/>
          <w:color w:val="auto"/>
        </w:rPr>
      </w:pPr>
    </w:p>
    <w:p>
      <w:pPr>
        <w:jc w:val="both"/>
        <w:ind w:left="1300" w:firstLine="652"/>
        <w:spacing w:after="0" w:line="210" w:lineRule="auto"/>
        <w:tabs>
          <w:tab w:leader="none" w:pos="2587" w:val="left"/>
        </w:tabs>
        <w:numPr>
          <w:ilvl w:val="1"/>
          <w:numId w:val="115"/>
        </w:numPr>
        <w:rPr>
          <w:rFonts w:ascii="Arial" w:cs="Arial" w:eastAsia="Arial" w:hAnsi="Arial"/>
          <w:sz w:val="20"/>
          <w:szCs w:val="20"/>
          <w:color w:val="auto"/>
        </w:rPr>
      </w:pPr>
      <w:r>
        <w:rPr>
          <w:rFonts w:ascii="Arial" w:cs="Arial" w:eastAsia="Arial" w:hAnsi="Arial"/>
          <w:sz w:val="20"/>
          <w:szCs w:val="20"/>
          <w:color w:val="auto"/>
        </w:rPr>
        <w:t>Each Loan Party which makes a payment under a Loan Document to which DNB Capital LLC (or its member) is entitled shall duly complete and file an HMRC Form DTTP2 with HMRC within 30 days of the date of this Agreement or at least 30 days before the first such payment, whichever is later. DNB Capital LLC and each such Loan Party shall cooperate in completing any procedural formalities necessary for that Loan Party to obtain authorisation to make that payment without a UK Tax Deduction.</w:t>
      </w:r>
    </w:p>
    <w:p>
      <w:pPr>
        <w:spacing w:after="0" w:line="154" w:lineRule="exact"/>
        <w:rPr>
          <w:rFonts w:ascii="Arial" w:cs="Arial" w:eastAsia="Arial" w:hAnsi="Arial"/>
          <w:sz w:val="20"/>
          <w:szCs w:val="20"/>
          <w:color w:val="auto"/>
        </w:rPr>
      </w:pPr>
    </w:p>
    <w:p>
      <w:pPr>
        <w:ind w:right="20" w:firstLine="980"/>
        <w:spacing w:after="0" w:line="229" w:lineRule="auto"/>
        <w:tabs>
          <w:tab w:leader="none" w:pos="143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Each Lender which is not a Lender on the Closing Date shall indicate in the relevant Assignment and Assumption, for the benefit of the Administrative Agent, but without liability to any Loan Party, whether it is:</w:t>
      </w:r>
    </w:p>
    <w:p>
      <w:pPr>
        <w:spacing w:after="0" w:line="155" w:lineRule="exact"/>
        <w:rPr>
          <w:rFonts w:ascii="Arial" w:cs="Arial" w:eastAsia="Arial" w:hAnsi="Arial"/>
          <w:sz w:val="20"/>
          <w:szCs w:val="20"/>
          <w:color w:val="auto"/>
        </w:rPr>
      </w:pPr>
    </w:p>
    <w:p>
      <w:pPr>
        <w:ind w:left="2600" w:hanging="648"/>
        <w:spacing w:after="0"/>
        <w:tabs>
          <w:tab w:leader="none" w:pos="260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not an Irish Qualifying Lender;</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an Irish Qualifying Lender (that is not an Irish Treaty Lender); or</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an Irish Treaty Lender.</w:t>
      </w:r>
    </w:p>
    <w:p>
      <w:pPr>
        <w:spacing w:after="0" w:line="175"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 xml:space="preserve">If a Lender fails to indicate its status in accordance with this </w:t>
      </w:r>
      <w:r>
        <w:rPr>
          <w:rFonts w:ascii="Arial" w:cs="Arial" w:eastAsia="Arial" w:hAnsi="Arial"/>
          <w:sz w:val="18"/>
          <w:szCs w:val="18"/>
          <w:u w:val="single" w:color="auto"/>
          <w:color w:val="auto"/>
        </w:rPr>
        <w:t>Section 3.01(h)</w:t>
      </w:r>
      <w:r>
        <w:rPr>
          <w:rFonts w:ascii="Arial" w:cs="Arial" w:eastAsia="Arial" w:hAnsi="Arial"/>
          <w:sz w:val="18"/>
          <w:szCs w:val="18"/>
          <w:color w:val="auto"/>
        </w:rPr>
        <w:t xml:space="preserve"> then such Lender shall be treated for the purposes of this Agreement (including by each Loan Party) as if it is not an Irish Qualifying Lender until such time as it notifies the Administrative Agent (and the Administrative Agent, upon receipt of such notification, shall inform the Company). For the avoidance of doubt, an Assignment and Assumption shall not be invalidated by any failure of a Lender to comply with this </w:t>
      </w:r>
      <w:r>
        <w:rPr>
          <w:rFonts w:ascii="Arial" w:cs="Arial" w:eastAsia="Arial" w:hAnsi="Arial"/>
          <w:sz w:val="18"/>
          <w:szCs w:val="18"/>
          <w:u w:val="single" w:color="auto"/>
          <w:color w:val="auto"/>
        </w:rPr>
        <w:t>Section 3.01(h)</w:t>
      </w:r>
      <w:r>
        <w:rPr>
          <w:rFonts w:ascii="Arial" w:cs="Arial" w:eastAsia="Arial" w:hAnsi="Arial"/>
          <w:sz w:val="18"/>
          <w:szCs w:val="18"/>
          <w:color w:val="auto"/>
        </w:rPr>
        <w:t>.</w:t>
      </w:r>
    </w:p>
    <w:p>
      <w:pPr>
        <w:spacing w:after="0" w:line="158" w:lineRule="exact"/>
        <w:rPr>
          <w:sz w:val="20"/>
          <w:szCs w:val="20"/>
          <w:color w:val="auto"/>
        </w:rPr>
      </w:pPr>
    </w:p>
    <w:p>
      <w:pPr>
        <w:jc w:val="both"/>
        <w:ind w:firstLine="980"/>
        <w:spacing w:after="0" w:line="210" w:lineRule="auto"/>
        <w:tabs>
          <w:tab w:leader="none" w:pos="1438" w:val="left"/>
        </w:tabs>
        <w:numPr>
          <w:ilvl w:val="0"/>
          <w:numId w:val="11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it shall pay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40"/>
          </w:cols>
          <w:pgMar w:left="320" w:top="1405" w:right="339" w:bottom="1440" w:gutter="0" w:footer="0" w:header="0"/>
        </w:sectPr>
      </w:pPr>
    </w:p>
    <w:bookmarkStart w:id="127" w:name="page128"/>
    <w:bookmarkEnd w:id="127"/>
    <w:p>
      <w:pPr>
        <w:jc w:val="both"/>
        <w:ind w:left="69"/>
        <w:spacing w:after="0" w:line="225" w:lineRule="auto"/>
        <w:rPr>
          <w:sz w:val="20"/>
          <w:szCs w:val="20"/>
          <w:color w:val="auto"/>
        </w:rPr>
      </w:pPr>
      <w:r>
        <w:rPr>
          <w:rFonts w:ascii="Arial" w:cs="Arial" w:eastAsia="Arial" w:hAnsi="Arial"/>
          <w:sz w:val="18"/>
          <w:szCs w:val="18"/>
          <w:color w:val="auto"/>
        </w:rPr>
        <w:t xml:space="preserve">such Loan Party an amount equal to such refund (but only to the extent of indemnity payments made, or additional amounts paid, by such Loan Party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60" w:lineRule="exact"/>
        <w:rPr>
          <w:sz w:val="20"/>
          <w:szCs w:val="20"/>
          <w:color w:val="auto"/>
        </w:rPr>
      </w:pPr>
    </w:p>
    <w:p>
      <w:pPr>
        <w:jc w:val="both"/>
        <w:ind w:left="69" w:firstLine="980"/>
        <w:spacing w:after="0" w:line="218" w:lineRule="auto"/>
        <w:tabs>
          <w:tab w:leader="none" w:pos="1439" w:val="left"/>
        </w:tabs>
        <w:numPr>
          <w:ilvl w:val="0"/>
          <w:numId w:val="11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Revolving Commitments and the repayment, satisfaction or discharge of all other Obligations under any Loan Documents.</w:t>
      </w:r>
    </w:p>
    <w:p>
      <w:pPr>
        <w:spacing w:after="0" w:line="156" w:lineRule="exact"/>
        <w:rPr>
          <w:rFonts w:ascii="Arial" w:cs="Arial" w:eastAsia="Arial" w:hAnsi="Arial"/>
          <w:sz w:val="20"/>
          <w:szCs w:val="20"/>
          <w:u w:val="single" w:color="auto"/>
          <w:color w:val="auto"/>
        </w:rPr>
      </w:pPr>
    </w:p>
    <w:p>
      <w:pPr>
        <w:ind w:left="69" w:firstLine="980"/>
        <w:spacing w:after="0" w:line="229" w:lineRule="auto"/>
        <w:tabs>
          <w:tab w:leader="none" w:pos="1556" w:val="left"/>
        </w:tabs>
        <w:numPr>
          <w:ilvl w:val="0"/>
          <w:numId w:val="11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“Lender” includes any L/C Issuer and the term “applicable Law” includes FATCA.</w:t>
      </w:r>
    </w:p>
    <w:p>
      <w:pPr>
        <w:spacing w:after="0" w:line="149" w:lineRule="exact"/>
        <w:rPr>
          <w:sz w:val="20"/>
          <w:szCs w:val="20"/>
          <w:color w:val="auto"/>
        </w:rPr>
      </w:pPr>
    </w:p>
    <w:p>
      <w:pPr>
        <w:ind w:left="289" w:hanging="289"/>
        <w:spacing w:after="0"/>
        <w:tabs>
          <w:tab w:leader="none" w:pos="289"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Illegality.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6826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2625" cy="8255"/>
                    </a:xfrm>
                    <a:prstGeom prst="rect">
                      <a:avLst/>
                    </a:prstGeom>
                    <a:noFill/>
                  </pic:spPr>
                </pic:pic>
              </a:graphicData>
            </a:graphic>
          </wp:anchor>
        </w:drawing>
      </w:r>
    </w:p>
    <w:p>
      <w:pPr>
        <w:spacing w:after="0" w:line="161" w:lineRule="exact"/>
        <w:rPr>
          <w:sz w:val="20"/>
          <w:szCs w:val="20"/>
          <w:color w:val="auto"/>
        </w:rPr>
      </w:pPr>
    </w:p>
    <w:p>
      <w:pPr>
        <w:jc w:val="both"/>
        <w:ind w:left="729" w:firstLine="644"/>
        <w:spacing w:after="0" w:line="221" w:lineRule="auto"/>
        <w:tabs>
          <w:tab w:leader="none" w:pos="201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any Lender reasonably determines that any Law has made it unlawful, or that any Governmental Authority has asserted after the Closing Date that it is unlawful, for any Lender or its applicable Lending Office to make, maintain or fund Loans whose interest is determined by reference to SOFR, Term SOFR, the SOFR Daily Floating Rate or any Relevant Rate, or to determine or charge interest rates based upon SOFR, Term SOFR, the SOFR Daily Floating Rate or any Relevant Rate, then, on notice thereof by such Lender to the Company through the Administrative Agent (i) any obligation of such Lender to make or continue Term SOFR Loans, SOFR Daily Floating Rate Loans or Alternative Currency Loans in the affected currency or currencies or to convert any existing Loans to Term SOFR Loans or SOFR Daily Floating Rate Loans, as applicable, shall be suspended, and</w:t>
      </w:r>
    </w:p>
    <w:p>
      <w:pPr>
        <w:spacing w:after="0" w:line="4" w:lineRule="exact"/>
        <w:rPr>
          <w:rFonts w:ascii="Arial" w:cs="Arial" w:eastAsia="Arial" w:hAnsi="Arial"/>
          <w:sz w:val="18"/>
          <w:szCs w:val="18"/>
          <w:color w:val="auto"/>
        </w:rPr>
      </w:pPr>
    </w:p>
    <w:p>
      <w:pPr>
        <w:jc w:val="both"/>
        <w:ind w:left="729" w:hanging="4"/>
        <w:spacing w:after="0" w:line="222" w:lineRule="auto"/>
        <w:tabs>
          <w:tab w:leader="none" w:pos="106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(which notice such Lender agrees to give promptly). Upon receipt of such notice, (A) the Borrowers shall, upon demand from such Lender (with a copy to the Administrative Agent), prepay in full such Term SOFR Loans, such SOFR Daily Floating Rate Loans or such Alternative Currency Loans then outstanding (which prepayment shall be made (x) with respect to Term SOFR Loans or Alternative Currency Term Rate Loans, on the last day of the relevant Interest Periods of such Loans, if such Lender may lawfully continue to maintain such Loans to such day, or immediately, if such Lender may not lawfully continue to maintain such Loans to such day, and (y) with respect to Alternative Currency Daily Rate Loans or SOFR Daily Floating Rate Loans, on the next Interest Payment Date for such Loans, if such Lender may lawfully continue to maintain such Loans to such day, or immediately, if such Lender may not lawfully continue to maintain such Loans to such day) or, if applicable and such Loans are Term SOFR Loans or SOFR Daily Floating Rate Loans, convert such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(or, in the case of SOFR Daily Floating Rate Loans, on the next Interest Payment Date therefor), if such Lender may lawfully continue to maintain such Loans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309"/>
          </w:cols>
          <w:pgMar w:left="251" w:top="1405" w:right="339" w:bottom="1440" w:gutter="0" w:footer="0" w:header="0"/>
        </w:sectPr>
      </w:pPr>
    </w:p>
    <w:bookmarkStart w:id="128" w:name="page129"/>
    <w:bookmarkEnd w:id="128"/>
    <w:p>
      <w:pPr>
        <w:jc w:val="both"/>
        <w:ind w:left="729"/>
        <w:spacing w:after="0" w:line="231" w:lineRule="auto"/>
        <w:rPr>
          <w:sz w:val="20"/>
          <w:szCs w:val="20"/>
          <w:color w:val="auto"/>
        </w:rPr>
      </w:pPr>
      <w:r>
        <w:rPr>
          <w:rFonts w:ascii="Arial" w:cs="Arial" w:eastAsia="Arial" w:hAnsi="Arial"/>
          <w:sz w:val="18"/>
          <w:szCs w:val="18"/>
          <w:color w:val="auto"/>
        </w:rPr>
        <w:t xml:space="preserve">such day, or immediately, if such Lender may not lawfully continue to maintain such Loans, and (B)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55" w:lineRule="exact"/>
        <w:rPr>
          <w:sz w:val="20"/>
          <w:szCs w:val="20"/>
          <w:color w:val="auto"/>
        </w:rPr>
      </w:pPr>
    </w:p>
    <w:p>
      <w:pPr>
        <w:jc w:val="both"/>
        <w:ind w:left="729" w:firstLine="644"/>
        <w:spacing w:after="0" w:line="223" w:lineRule="auto"/>
        <w:tabs>
          <w:tab w:leader="none" w:pos="20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in any applicable jurisdiction, the Administrative Agent, any L/C Issuer or any Lender reasonably determines that any Law has made it unlawful, or that any Governmental Authority has asserted after the Closing Date that it is unlawful, for the Administrative Agent, any L/C Issuer or any Lender to (i) perform any of its obligations hereunder or under any other Loan Document, (ii) to fund, hold a commitment or maintain its participation in any Loan or Letter of Credit or (iii) issue, make, maintain, fund or charge interest or fees with respect to any Credit Extension, such Person shall promptly notify the Administrative Agent, and, upon the Administrative Agent notifying the Company, and until such notice by such Person is revoked (which revocation such Person agrees to give promptly, to the extent the circumstances giving rise to such notice are no longer applicable), any obligation of such Person to issue, make, maintain, fund or charge interest or fees with respect to any such Credit Extension shall be suspended, and to the extent required by applicable Law, cancelled. Upon receipt of such notice, the Borrowers shall (A) repay that Person’s participation in the Loans or other applicable Obligations on the last day of the Interest Period for each Loan (or, in the case of an Alternative Currency Daily Rate Loan or a SOFR Daily Floating Rate Loan, on the next applicable Interest Payment Date)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any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57" w:lineRule="exact"/>
        <w:rPr>
          <w:sz w:val="20"/>
          <w:szCs w:val="20"/>
          <w:color w:val="auto"/>
        </w:rPr>
      </w:pPr>
    </w:p>
    <w:p>
      <w:pPr>
        <w:ind w:left="289" w:hanging="289"/>
        <w:spacing w:after="0"/>
        <w:tabs>
          <w:tab w:leader="none" w:pos="289"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Determine Rates.</w:t>
      </w:r>
    </w:p>
    <w:p>
      <w:pPr>
        <w:spacing w:after="0" w:line="181" w:lineRule="exact"/>
        <w:rPr>
          <w:rFonts w:ascii="Arial" w:cs="Arial" w:eastAsia="Arial" w:hAnsi="Arial"/>
          <w:sz w:val="20"/>
          <w:szCs w:val="20"/>
          <w:b w:val="1"/>
          <w:bCs w:val="1"/>
          <w:color w:val="auto"/>
        </w:rPr>
      </w:pPr>
    </w:p>
    <w:p>
      <w:pPr>
        <w:jc w:val="both"/>
        <w:ind w:left="729" w:firstLine="644"/>
        <w:spacing w:after="0" w:line="223" w:lineRule="auto"/>
        <w:tabs>
          <w:tab w:leader="none" w:pos="201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If in connection with any request for a Term SOFR Loan, a SOFR Daily Floating Rate Loan or an Alternative Currency Loan, or a request for a conversion of Loans to Term SOFR Loans or SOFR Daily Floating Rate Loans, or a request for a continuation of Term SOFR Loans or Alternative Currency Term Rate Loans, as applicable, (i) the Administrative Agent reasonably determines (which determination shall be conclusive absent manifest error) that (A)(1) no Term SOFR Successor Rate has been determined in accordance with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and the circumstances under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or the Term SOFR Scheduled Unavailability Date has occurred, or (2) no Successor Rate for the applicable Relevant Rate has been determined in accordance with </w:t>
      </w:r>
      <w:r>
        <w:rPr>
          <w:rFonts w:ascii="Arial" w:cs="Arial" w:eastAsia="Arial" w:hAnsi="Arial"/>
          <w:sz w:val="18"/>
          <w:szCs w:val="18"/>
          <w:u w:val="single" w:color="auto"/>
          <w:color w:val="auto"/>
        </w:rPr>
        <w:t>Section 3.03(d)</w:t>
      </w:r>
      <w:r>
        <w:rPr>
          <w:rFonts w:ascii="Arial" w:cs="Arial" w:eastAsia="Arial" w:hAnsi="Arial"/>
          <w:sz w:val="18"/>
          <w:szCs w:val="18"/>
          <w:color w:val="auto"/>
        </w:rPr>
        <w:t xml:space="preserve"> and the circumstances under </w:t>
      </w:r>
      <w:r>
        <w:rPr>
          <w:rFonts w:ascii="Arial" w:cs="Arial" w:eastAsia="Arial" w:hAnsi="Arial"/>
          <w:sz w:val="18"/>
          <w:szCs w:val="18"/>
          <w:u w:val="single" w:color="auto"/>
          <w:color w:val="auto"/>
        </w:rPr>
        <w:t>Section 3.03(d)(i)</w:t>
      </w:r>
      <w:r>
        <w:rPr>
          <w:rFonts w:ascii="Arial" w:cs="Arial" w:eastAsia="Arial" w:hAnsi="Arial"/>
          <w:sz w:val="18"/>
          <w:szCs w:val="18"/>
          <w:color w:val="auto"/>
        </w:rPr>
        <w:t xml:space="preserve"> or the Scheduled Unavailability Date has occurred, as applicable, (B) adequate and reasonable means do not otherwise exist for determining Term SOFR, the SOFR Daily Floating Rate or the applicable Relevant Rate, as applicable, for any determination date(s) or requested Interest Period, as applicable, with respect to a proposed Term SOFR Loan, SOFR Daily Floating Rate Loan or Alternative Currency Loan, or in connection with an existing or proposed Base Rate Loan, or (C) a fundamental change has occurred in the foreign exchange or interbank markets with respect to any Alternative Currency (including changes in national or international financial, political or economic conditions or currency exchange rates or exchange controls), or (ii) the Administrative Agent or the Required Lenders reasonably determine that for any reason Term SOFR, the SOFR Daily Floating Rate or the applicable Relevant Rate, as applicable, for any determination date(s) or requested Interest Period, as applicable, does not adequately and fairly reflect the cost to such Lenders of funding such Loan, the Administrative Agent will promptly so notify the Company and each Lender. Thereafter, (x) the obligation of the Lenders to make or maintain Term SOFR Loans, SOFR Daily Floating Rate Loans or the applicable Alternative Currency Loans shall be suspended (to the extent of the affected Term SOFR Loans, SOFR Daily Floating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-2324100</wp:posOffset>
            </wp:positionV>
            <wp:extent cx="17329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309"/>
          </w:cols>
          <w:pgMar w:left="251" w:top="1405" w:right="339" w:bottom="1440" w:gutter="0" w:footer="0" w:header="0"/>
        </w:sectPr>
      </w:pPr>
    </w:p>
    <w:bookmarkStart w:id="129" w:name="page130"/>
    <w:bookmarkEnd w:id="129"/>
    <w:p>
      <w:pPr>
        <w:jc w:val="both"/>
        <w:ind w:left="660"/>
        <w:spacing w:after="0" w:line="221" w:lineRule="auto"/>
        <w:rPr>
          <w:sz w:val="20"/>
          <w:szCs w:val="20"/>
          <w:color w:val="auto"/>
        </w:rPr>
      </w:pPr>
      <w:r>
        <w:rPr>
          <w:rFonts w:ascii="Arial" w:cs="Arial" w:eastAsia="Arial" w:hAnsi="Arial"/>
          <w:sz w:val="18"/>
          <w:szCs w:val="18"/>
          <w:color w:val="auto"/>
        </w:rPr>
        <w:t xml:space="preserve">Alternative Currency Loans, Interest Periods or determination date(s), as applicable), and (y) in the event of a determination described above with respect to the Term SOFR component of the Base Rate, the utilization of the Term SOFR component in determining the Base Rate shall be suspended, in each case until the Administrative Agent (or, in the case of a determination by the Required Lenders described in clause (a)(ii) above, until the Administrative Agent upon instruction of the Required Lenders) revokes such notice. Upon receipt of such notice, (1) the Borrowers may revoke any pending request for a Revolving Borrowing of, conversion to or continuation of the applicable Loans (to the extent of the affected Term SOFR Loans, SOFR Daily Floating Rate Loans, Alternative Currency Loans, Interest Periods or determination date(s), as applicable) or, failing that, with respect to any request for a Revolving Borrowing of, conversion to, or continuation of Term SOFR Loans or SOFR Daily Floating Rate Loans, will be deemed to have converted such request into a request for a Borrowing of Base Rate Loans (the interest rate on which Base Rate Loans shall, if necessary, be determined by the Administrative Agent without reference to the Term SOFR component of the Base Rate), (2) any outstanding affected Term SOFR Loans shall be converted to Base Rate Loans (the interest rate on which Base Rate Loans shall, if necessary, be determined by the Administrative Agent without reference to the Term SOFR component of the Base Rate) at the end of their respective applicable Interest Periods, (3) any outstanding affected SOFR Daily Floating Rate Loans shall be converted to Base Rate Loans (the interest rate on which Base Rate Loans shall, if necessary, be determined by the Administrative Agent without reference to the Term SOFR component of the Base Rate) on the next occurring Interest Payment Date, and (4) any outstanding affected Alternative Currency Loans shall, at the Company’s election, either be (I) converted to Base Rate Loans denominated in Dollars in the Dollar Equivalent of the amount of such outstanding Alternative Currency Loans, with such conversion to happen on the next applicable Interest Payment Date(s) applicable to such Alternative Currency Loans, in the case of Alternative Currency Daily Rate Loans, or at the end of the applicable Interest Period(s) applicable to such Alternative Currency Loans, in the case of Alternative Currency Term Rate Loans, or (II) prepaid in full (such prepayment to occur on the next applicable Interest Payment Dates, in the case of Alternative Currency Daily Rate Loans, or at the end of the applicable Interest Periods, in the case of Alternative Currency Term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election is made by the Company pursuant to this clause (4), (x) in the case of an Alternative Currency Daily Rate Loan, by the date that is three (3) Business Days after receipt by the Company of such notice or (y) in the case of an Alternative Currency Term Rate Loan, by the last day of the current Interest Period for the applicable Alternative Currency Term Rate Loan, the Company shall be deemed to have elected clause (I) above.</w:t>
      </w:r>
    </w:p>
    <w:p>
      <w:pPr>
        <w:spacing w:after="0" w:line="176" w:lineRule="exact"/>
        <w:rPr>
          <w:sz w:val="20"/>
          <w:szCs w:val="20"/>
          <w:color w:val="auto"/>
        </w:rPr>
      </w:pPr>
    </w:p>
    <w:p>
      <w:pPr>
        <w:ind w:left="1940" w:hanging="636"/>
        <w:spacing w:after="0"/>
        <w:tabs>
          <w:tab w:leader="none" w:pos="19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left="660" w:firstLine="644"/>
        <w:spacing w:after="0" w:line="223" w:lineRule="auto"/>
        <w:tabs>
          <w:tab w:leader="none" w:pos="19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or any other Loan Document, if the Administrative Agent reasonably determines (which determination shall be conclusive absent manifest error), or the Company or Required Lenders notify the Administrative Agent (with, in the case of the Required Lenders, a copy to the Company) that the Company or Required Lenders (as applicable) have determined, that: (i) adequate and reasonable means do not exist for ascertaining one month and three month interest periods of Term SOFR, or for ascertaining the SOFR Daily Floating Rate, including because the Term SOFR Screen Rate is not available or published on a current basis and such circumstances are unlikely to be temporary; or (ii) CME or any successor administrator of the Term SOFR Screen Rate or a Governmental Authority having jurisdiction over the Administrative Agent or such administrator with respect to its publication of Term SOFR and/or the SOFR Daily Floating Rate, in each case acting in such capacity, has made a public statement identifying a specific date after which one month and three month interest periods of Term SOFR, or the SOFR Daily Floating Rate, or the Term SOFR Screen Rate shall no longer be representative or made available, or permitted to be used for determining the interest rate of syndicated loans, or shall or will otherwise cease;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there is no successor administrator that is satisfactory to the Administrative Agent that will continue to provide such interest periods of Term SOFR after such specific date or the SOFR Daily Floating Rate, as applicable (the latest date on which one month and three month interest periods of Term SOFR, or the SOFR Daily Floating Rate, or the Term SOFR Screen Rate are no longer representative or available permanently or indefinitely, the “</w:t>
      </w:r>
      <w:r>
        <w:rPr>
          <w:rFonts w:ascii="Arial" w:cs="Arial" w:eastAsia="Arial" w:hAnsi="Arial"/>
          <w:sz w:val="18"/>
          <w:szCs w:val="18"/>
          <w:u w:val="single" w:color="auto"/>
          <w:color w:val="auto"/>
        </w:rPr>
        <w:t>Term SOFR Scheduled Unavailability Date</w:t>
      </w:r>
      <w:r>
        <w:rPr>
          <w:rFonts w:ascii="Arial" w:cs="Arial" w:eastAsia="Arial" w:hAnsi="Arial"/>
          <w:sz w:val="18"/>
          <w:szCs w:val="18"/>
          <w:color w:val="auto"/>
        </w:rPr>
        <w:t>”); then, on a date and time reasonably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40"/>
          </w:cols>
          <w:pgMar w:left="320" w:top="1405" w:right="339" w:bottom="1440" w:gutter="0" w:footer="0" w:header="0"/>
        </w:sectPr>
      </w:pPr>
    </w:p>
    <w:bookmarkStart w:id="130" w:name="page131"/>
    <w:bookmarkEnd w:id="130"/>
    <w:p>
      <w:pPr>
        <w:jc w:val="both"/>
        <w:ind w:left="660"/>
        <w:spacing w:after="0" w:line="228" w:lineRule="auto"/>
        <w:rPr>
          <w:sz w:val="20"/>
          <w:szCs w:val="20"/>
          <w:color w:val="auto"/>
        </w:rPr>
      </w:pPr>
      <w:r>
        <w:rPr>
          <w:rFonts w:ascii="Arial" w:cs="Arial" w:eastAsia="Arial" w:hAnsi="Arial"/>
          <w:sz w:val="18"/>
          <w:szCs w:val="18"/>
          <w:color w:val="auto"/>
        </w:rPr>
        <w:t>by the Administrative Agent in consultation with the Company (any such date, a “</w:t>
      </w:r>
      <w:r>
        <w:rPr>
          <w:rFonts w:ascii="Arial" w:cs="Arial" w:eastAsia="Arial" w:hAnsi="Arial"/>
          <w:sz w:val="18"/>
          <w:szCs w:val="18"/>
          <w:u w:val="single" w:color="auto"/>
          <w:color w:val="auto"/>
        </w:rPr>
        <w:t>Term SOFR Replacement Date</w:t>
      </w:r>
      <w:r>
        <w:rPr>
          <w:rFonts w:ascii="Arial" w:cs="Arial" w:eastAsia="Arial" w:hAnsi="Arial"/>
          <w:sz w:val="18"/>
          <w:szCs w:val="18"/>
          <w:color w:val="auto"/>
        </w:rPr>
        <w:t xml:space="preserve">”), which date shall be at the end of an Interest Period or on the relevant Interest Payment Date, as applicable, for interest calculated and, solely with respect to clause (ii) above, no later than the Term SOFR Scheduled Unavailability Date, Term SOFR and the SOFR Daily Floating Rate will be replaced hereunder and under any other Loan Document with Daily Simple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SOFR Adjustment for any payment period for interest calculated that can be determined by the Administrative Agent, in each case, without any amendment to, or further action or consent of any other party to, this Agreement or any other Loan Document (any such successor rate established pursuant to this </w:t>
      </w:r>
      <w:r>
        <w:rPr>
          <w:rFonts w:ascii="Arial" w:cs="Arial" w:eastAsia="Arial" w:hAnsi="Arial"/>
          <w:sz w:val="18"/>
          <w:szCs w:val="18"/>
          <w:u w:val="single" w:color="auto"/>
          <w:color w:val="auto"/>
        </w:rPr>
        <w:t>Section 3.03(c)</w:t>
      </w:r>
      <w:r>
        <w:rPr>
          <w:rFonts w:ascii="Arial" w:cs="Arial" w:eastAsia="Arial" w:hAnsi="Arial"/>
          <w:sz w:val="18"/>
          <w:szCs w:val="18"/>
          <w:color w:val="auto"/>
        </w:rPr>
        <w:t>, a “</w:t>
      </w:r>
      <w:r>
        <w:rPr>
          <w:rFonts w:ascii="Arial" w:cs="Arial" w:eastAsia="Arial" w:hAnsi="Arial"/>
          <w:sz w:val="18"/>
          <w:szCs w:val="18"/>
          <w:u w:val="single" w:color="auto"/>
          <w:color w:val="auto"/>
        </w:rPr>
        <w:t>Term SOFR Successor Rate</w:t>
      </w:r>
      <w:r>
        <w:rPr>
          <w:rFonts w:ascii="Arial" w:cs="Arial" w:eastAsia="Arial" w:hAnsi="Arial"/>
          <w:sz w:val="18"/>
          <w:szCs w:val="18"/>
          <w:color w:val="auto"/>
        </w:rPr>
        <w:t xml:space="preserve">”). If the Term SOFR Successor Rate is Daily Simple SOFR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SOFR Adjustment, all interest payments will be payable on a monthly basis.</w:t>
      </w:r>
    </w:p>
    <w:p>
      <w:pPr>
        <w:spacing w:after="0" w:line="155" w:lineRule="exact"/>
        <w:rPr>
          <w:sz w:val="20"/>
          <w:szCs w:val="20"/>
          <w:color w:val="auto"/>
        </w:rPr>
      </w:pPr>
    </w:p>
    <w:p>
      <w:pPr>
        <w:jc w:val="both"/>
        <w:ind w:left="660" w:firstLine="648"/>
        <w:spacing w:after="0" w:line="233" w:lineRule="auto"/>
        <w:rPr>
          <w:sz w:val="20"/>
          <w:szCs w:val="20"/>
          <w:color w:val="auto"/>
        </w:rPr>
      </w:pPr>
      <w:r>
        <w:rPr>
          <w:rFonts w:ascii="Arial" w:cs="Arial" w:eastAsia="Arial" w:hAnsi="Arial"/>
          <w:sz w:val="17"/>
          <w:szCs w:val="17"/>
          <w:color w:val="auto"/>
        </w:rPr>
        <w:t xml:space="preserve">Notwithstanding anything to the contrary herein, (A) if the Administrative Agent reasonably determines that Daily Simple SOFR is not available on or prior to the Term SOFR Replacement Date, or (B) if the events or circumstances of the type described in clause (i) above or clause (ii) above have occurred with respect to the Term SOFR Successor Rate then in effect, then, in each case, the Administrative Agent and the Company may amend this Agreement solely for the purpose of replacing Term SOFR, the SOFR Daily Floating Rate or any then-current Term SOFR Successor Rate in accordance with this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at the end of any Interest Period, relevant Interest Payment Date or payment period for interest calculated, as applicable, with an alternative benchmark rate giving due consideration to any evolving or then-existing convention for similar credit facilities syndicated and agented in the United States for such alternative benchmark and, in each case, including any mathematical or other adjustments to such benchmark giving due consideration to any evolving or then-existing convention for similar credit facilities syndicated and agented in the United States for such benchmark, which adjustment or method for calculating such adjustment shall be published on an information service as selected by the Administrative Agent, in consultation with the Company, from time to time in its reasonable discretion and may be periodically updated. For the avoidance of doubt, any such proposed rate and adjustments shall constitute a “Term SOFR Successor Rate”. Any such amendment shall become effective at 5:00 p.m. on the fifth (5</w:t>
      </w:r>
      <w:r>
        <w:rPr>
          <w:rFonts w:ascii="Arial" w:cs="Arial" w:eastAsia="Arial" w:hAnsi="Arial"/>
          <w:sz w:val="21"/>
          <w:szCs w:val="21"/>
          <w:color w:val="auto"/>
          <w:vertAlign w:val="superscript"/>
        </w:rPr>
        <w:t>th</w:t>
      </w:r>
      <w:r>
        <w:rPr>
          <w:rFonts w:ascii="Arial" w:cs="Arial" w:eastAsia="Arial" w:hAnsi="Arial"/>
          <w:sz w:val="17"/>
          <w:szCs w:val="17"/>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60" w:lineRule="exact"/>
        <w:rPr>
          <w:sz w:val="20"/>
          <w:szCs w:val="20"/>
          <w:color w:val="auto"/>
        </w:rPr>
      </w:pPr>
    </w:p>
    <w:p>
      <w:pPr>
        <w:jc w:val="both"/>
        <w:ind w:left="660" w:firstLine="648"/>
        <w:spacing w:after="0" w:line="206" w:lineRule="auto"/>
        <w:rPr>
          <w:sz w:val="20"/>
          <w:szCs w:val="20"/>
          <w:color w:val="auto"/>
        </w:rPr>
      </w:pPr>
      <w:r>
        <w:rPr>
          <w:rFonts w:ascii="Arial" w:cs="Arial" w:eastAsia="Arial" w:hAnsi="Arial"/>
          <w:sz w:val="20"/>
          <w:szCs w:val="20"/>
          <w:color w:val="auto"/>
        </w:rPr>
        <w:t xml:space="preserve">The Administrative Agent will promptly (in one or more notices) notify the Company and each Lender of the implementation of any Term SOFR Successor Rate. Any Term SOFR Successor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Term SOFR Successor Rate shall be applied in a manner as otherwise reasonably determined by the Administrative Agent, in consultation with the Company. Notwithstanding anything else herein, if at any time any Term SOFR Successor Rate as so determined would otherwise be less than zero, such Term SOFR Successor Rate will be deemed to be zero for the purposes of this Agreement and the other Loan Documents.</w:t>
      </w:r>
    </w:p>
    <w:p>
      <w:pPr>
        <w:spacing w:after="0" w:line="157" w:lineRule="exact"/>
        <w:rPr>
          <w:sz w:val="20"/>
          <w:szCs w:val="20"/>
          <w:color w:val="auto"/>
        </w:rPr>
      </w:pPr>
    </w:p>
    <w:p>
      <w:pPr>
        <w:jc w:val="both"/>
        <w:ind w:left="660" w:firstLine="648"/>
        <w:spacing w:after="0" w:line="207" w:lineRule="auto"/>
        <w:rPr>
          <w:sz w:val="20"/>
          <w:szCs w:val="20"/>
          <w:color w:val="auto"/>
        </w:rPr>
      </w:pPr>
      <w:r>
        <w:rPr>
          <w:rFonts w:ascii="Arial" w:cs="Arial" w:eastAsia="Arial" w:hAnsi="Arial"/>
          <w:sz w:val="20"/>
          <w:szCs w:val="20"/>
          <w:color w:val="auto"/>
        </w:rPr>
        <w:t xml:space="preserve">In connection with the implementation of a Term SOFR Successor Rate, the Administrative Agent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Term SOFR Conforming Changes to the Company and the Lenders reasonably promptly after such amendment becomes effective.</w:t>
      </w:r>
    </w:p>
    <w:p>
      <w:pPr>
        <w:spacing w:after="0" w:line="160" w:lineRule="exact"/>
        <w:rPr>
          <w:sz w:val="20"/>
          <w:szCs w:val="20"/>
          <w:color w:val="auto"/>
        </w:rPr>
      </w:pPr>
    </w:p>
    <w:p>
      <w:pPr>
        <w:jc w:val="both"/>
        <w:ind w:left="660" w:firstLine="648"/>
        <w:spacing w:after="0" w:line="230"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3.03(c)</w:t>
      </w:r>
      <w:r>
        <w:rPr>
          <w:rFonts w:ascii="Arial" w:cs="Arial" w:eastAsia="Arial" w:hAnsi="Arial"/>
          <w:sz w:val="19"/>
          <w:szCs w:val="19"/>
          <w:color w:val="auto"/>
        </w:rPr>
        <w:t>, those Lenders that either have not made, or do not have an obligation under this Agreement to make, Term SOFR Loans or SOFR Daily Floating Rate Loans (or Loans accruing interest by reference to a Term SOFR Successor Rate, as applicable) shall be excluded from any determination of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40"/>
          </w:cols>
          <w:pgMar w:left="320" w:top="1405" w:right="339" w:bottom="1440" w:gutter="0" w:footer="0" w:header="0"/>
        </w:sectPr>
      </w:pPr>
    </w:p>
    <w:bookmarkStart w:id="131" w:name="page132"/>
    <w:bookmarkEnd w:id="131"/>
    <w:p>
      <w:pPr>
        <w:jc w:val="both"/>
        <w:ind w:left="660" w:firstLine="644"/>
        <w:spacing w:after="0" w:line="219" w:lineRule="auto"/>
        <w:tabs>
          <w:tab w:leader="none" w:pos="19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or any other Loan Documents, if the Administrative Agent reasonably determines (which determination shall be conclusive absent manifest error), or the Company or Required Lenders notify the Administrative Agent (with, in the case of the Required Lenders, a copy to the Company) that the Company or Required Lenders (as applicable) have determined, that: (i) 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 (ii) 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for such Relevant Rate); or (iii) syndicated loans currently being executed and agented in the United States are being executed or amended (as applicable) to incorporate or adopt a new benchmark interest rate to replace the Relevant Rate for an Alternative Currency; or if the events or circumstances of the type described in clause (i) above, clause (ii) above or clause (iii) above have occurred with respect to a Successor Rate then in effect, then the Administrative Agent and the Company may amend this Agreement solely for the purpose of replacing the Relevant Rate for an Alternative Currency or any then-current Successor Rate for an Alternative Currency in accordance with this </w:t>
      </w:r>
      <w:r>
        <w:rPr>
          <w:rFonts w:ascii="Arial" w:cs="Arial" w:eastAsia="Arial" w:hAnsi="Arial"/>
          <w:sz w:val="18"/>
          <w:szCs w:val="18"/>
          <w:u w:val="single" w:color="auto"/>
          <w:color w:val="auto"/>
        </w:rPr>
        <w:t>Section 3.03(d)</w:t>
      </w:r>
      <w:r>
        <w:rPr>
          <w:rFonts w:ascii="Arial" w:cs="Arial" w:eastAsia="Arial" w:hAnsi="Arial"/>
          <w:sz w:val="18"/>
          <w:szCs w:val="18"/>
          <w:color w:val="auto"/>
        </w:rPr>
        <w:t xml:space="preserve"> with an alternative benchmark rate giving due consideration to any evolving or then-existing convention for similar credit facilities syndicated and agented in the United States and denominated in such Alternative Currency for such alternative benchmarks, and, in each case, including any mathematical or other adjustments to such benchmark giving due consideration to any evolving or then-existing convention for similar credit facilities syndicated and agented in the United States and denominated in such Alternative Currency for such benchmarks, which adjustment or method for calculating such adjustment shall be published on an information service as selected by the Administrative Agent, in consultation with the Company, from time to time in its reasonable discretion and may be periodically updated (and any such proposed rate, including for the avoidance of doubt, any adjustment thereto, a “</w:t>
      </w:r>
      <w:r>
        <w:rPr>
          <w:rFonts w:ascii="Arial" w:cs="Arial" w:eastAsia="Arial" w:hAnsi="Arial"/>
          <w:sz w:val="18"/>
          <w:szCs w:val="18"/>
          <w:u w:val="single" w:color="auto"/>
          <w:color w:val="auto"/>
        </w:rPr>
        <w:t>Successor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and any such amendment shall become effective at 5:00 p.m.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67"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19"/>
          <w:szCs w:val="19"/>
          <w:color w:val="auto"/>
        </w:rPr>
        <w:t xml:space="preserve">The Administrative Agent will promptly (in one or more notices) notify the Company and each Lender of the implementation of any Successor Rate. Any Successor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Company. Notwithstanding anything else herein, if at any time any Successor Rate as so determined would otherwise be less than zero, the Successor Rate will be deemed to be zero for the purposes of this Agreement and the other Loan Documents.</w:t>
      </w:r>
    </w:p>
    <w:p>
      <w:pPr>
        <w:spacing w:after="0" w:line="159" w:lineRule="exact"/>
        <w:rPr>
          <w:sz w:val="20"/>
          <w:szCs w:val="20"/>
          <w:color w:val="auto"/>
        </w:rPr>
      </w:pPr>
    </w:p>
    <w:p>
      <w:pPr>
        <w:jc w:val="both"/>
        <w:ind w:left="660" w:firstLine="648"/>
        <w:spacing w:after="0" w:line="207" w:lineRule="auto"/>
        <w:rPr>
          <w:sz w:val="20"/>
          <w:szCs w:val="20"/>
          <w:color w:val="auto"/>
        </w:rPr>
      </w:pPr>
      <w:r>
        <w:rPr>
          <w:rFonts w:ascii="Arial" w:cs="Arial" w:eastAsia="Arial" w:hAnsi="Arial"/>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40"/>
          </w:cols>
          <w:pgMar w:left="320" w:top="1405" w:right="339" w:bottom="1440" w:gutter="0" w:footer="0" w:header="0"/>
        </w:sectPr>
      </w:pPr>
    </w:p>
    <w:bookmarkStart w:id="132" w:name="page133"/>
    <w:bookmarkEnd w:id="132"/>
    <w:p>
      <w:pPr>
        <w:jc w:val="both"/>
        <w:ind w:left="729" w:firstLine="648"/>
        <w:spacing w:after="0" w:line="230"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3.03(d)</w:t>
      </w:r>
      <w:r>
        <w:rPr>
          <w:rFonts w:ascii="Arial" w:cs="Arial" w:eastAsia="Arial" w:hAnsi="Arial"/>
          <w:sz w:val="19"/>
          <w:szCs w:val="19"/>
          <w:color w:val="auto"/>
        </w:rPr>
        <w:t>, those Lenders that either have not made, or do not have an obligation under this Agreement to make, Loans denominated in the applicable Alternative Currency shall be excluded from any determination of Required Lenders for purposes of the establishment of a Successor Rate with respect to Alternative Currency.</w:t>
      </w:r>
    </w:p>
    <w:p>
      <w:pPr>
        <w:spacing w:after="0" w:line="149" w:lineRule="exact"/>
        <w:rPr>
          <w:sz w:val="20"/>
          <w:szCs w:val="20"/>
          <w:color w:val="auto"/>
        </w:rPr>
      </w:pPr>
    </w:p>
    <w:p>
      <w:pPr>
        <w:ind w:left="289" w:hanging="289"/>
        <w:spacing w:after="0"/>
        <w:tabs>
          <w:tab w:leader="none" w:pos="289"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Costs.</w:t>
      </w:r>
    </w:p>
    <w:p>
      <w:pPr>
        <w:spacing w:after="0" w:line="181" w:lineRule="exact"/>
        <w:rPr>
          <w:rFonts w:ascii="Arial" w:cs="Arial" w:eastAsia="Arial" w:hAnsi="Arial"/>
          <w:sz w:val="20"/>
          <w:szCs w:val="20"/>
          <w:b w:val="1"/>
          <w:bCs w:val="1"/>
          <w:color w:val="auto"/>
        </w:rPr>
      </w:pPr>
    </w:p>
    <w:p>
      <w:pPr>
        <w:ind w:left="2009" w:hanging="636"/>
        <w:spacing w:after="0"/>
        <w:tabs>
          <w:tab w:leader="none" w:pos="2009"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175" w:lineRule="exact"/>
        <w:rPr>
          <w:rFonts w:ascii="Arial" w:cs="Arial" w:eastAsia="Arial" w:hAnsi="Arial"/>
          <w:sz w:val="20"/>
          <w:szCs w:val="20"/>
          <w:color w:val="auto"/>
        </w:rPr>
      </w:pPr>
    </w:p>
    <w:p>
      <w:pPr>
        <w:jc w:val="both"/>
        <w:ind w:left="1369" w:firstLine="652"/>
        <w:spacing w:after="0" w:line="230" w:lineRule="auto"/>
        <w:tabs>
          <w:tab w:leader="none" w:pos="2662" w:val="left"/>
        </w:tabs>
        <w:numPr>
          <w:ilvl w:val="2"/>
          <w:numId w:val="126"/>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or participated in by, any Lender (except any reserve requirement expressly reflected in the applicable interest rate) or any L/C Issuer;</w:t>
      </w:r>
    </w:p>
    <w:p>
      <w:pPr>
        <w:spacing w:after="0" w:line="154" w:lineRule="exact"/>
        <w:rPr>
          <w:rFonts w:ascii="Arial" w:cs="Arial" w:eastAsia="Arial" w:hAnsi="Arial"/>
          <w:sz w:val="19"/>
          <w:szCs w:val="19"/>
          <w:color w:val="auto"/>
        </w:rPr>
      </w:pPr>
    </w:p>
    <w:p>
      <w:pPr>
        <w:jc w:val="both"/>
        <w:ind w:left="1369" w:firstLine="652"/>
        <w:spacing w:after="0" w:line="244" w:lineRule="auto"/>
        <w:tabs>
          <w:tab w:leader="none" w:pos="266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Excluded Taxes (other than those described in clause (a) of the definition of “Excluded Taxes”) and (C) Connection Income Taxes) on its loans, loan principal, letters of credit, commitments, or other obligations, or its deposits, reserves, other liabilities or capital attributable thereto; or</w:t>
      </w:r>
    </w:p>
    <w:p>
      <w:pPr>
        <w:spacing w:after="0" w:line="151" w:lineRule="exact"/>
        <w:rPr>
          <w:rFonts w:ascii="Arial" w:cs="Arial" w:eastAsia="Arial" w:hAnsi="Arial"/>
          <w:sz w:val="18"/>
          <w:szCs w:val="18"/>
          <w:color w:val="auto"/>
        </w:rPr>
      </w:pPr>
    </w:p>
    <w:p>
      <w:pPr>
        <w:jc w:val="both"/>
        <w:ind w:left="1369" w:firstLine="652"/>
        <w:spacing w:after="0" w:line="218" w:lineRule="auto"/>
        <w:tabs>
          <w:tab w:leader="none" w:pos="2664" w:val="left"/>
        </w:tabs>
        <w:numPr>
          <w:ilvl w:val="2"/>
          <w:numId w:val="126"/>
        </w:numPr>
        <w:rPr>
          <w:rFonts w:ascii="Arial" w:cs="Arial" w:eastAsia="Arial" w:hAnsi="Arial"/>
          <w:sz w:val="20"/>
          <w:szCs w:val="20"/>
          <w:color w:val="auto"/>
        </w:rPr>
      </w:pPr>
      <w:r>
        <w:rPr>
          <w:rFonts w:ascii="Arial" w:cs="Arial" w:eastAsia="Arial" w:hAnsi="Arial"/>
          <w:sz w:val="20"/>
          <w:szCs w:val="20"/>
          <w:color w:val="auto"/>
        </w:rPr>
        <w:t>impose on any Lender or any L/C Issuer or the applicable interbank market any other condition, cost or expense affecting this Agreement, Term SOFR Loans, SOFR Daily Floating Rate Loans, or Alternative Currency Loans made by such Lender or any Letter of Credit or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-1775460</wp:posOffset>
            </wp:positionV>
            <wp:extent cx="10541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36" w:lineRule="exact"/>
        <w:rPr>
          <w:sz w:val="20"/>
          <w:szCs w:val="20"/>
          <w:color w:val="auto"/>
        </w:rPr>
      </w:pPr>
    </w:p>
    <w:p>
      <w:pPr>
        <w:jc w:val="both"/>
        <w:ind w:left="729"/>
        <w:spacing w:after="0" w:line="205"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Company will pay (or cause the applicable Designated Foreign Borrower to pay) to such Lender or such L/C Issuer, as the case may be, such additional amount or amounts as will compensate such Lender or such L/C Issuer, as the case may be, for such additional costs incurred or reduction suffered.</w:t>
      </w:r>
    </w:p>
    <w:p>
      <w:pPr>
        <w:spacing w:after="0" w:line="156" w:lineRule="exact"/>
        <w:rPr>
          <w:sz w:val="20"/>
          <w:szCs w:val="20"/>
          <w:color w:val="auto"/>
        </w:rPr>
      </w:pPr>
    </w:p>
    <w:p>
      <w:pPr>
        <w:jc w:val="both"/>
        <w:ind w:left="69" w:firstLine="980"/>
        <w:spacing w:after="0" w:line="213" w:lineRule="auto"/>
        <w:tabs>
          <w:tab w:leader="none" w:pos="1512" w:val="left"/>
        </w:tabs>
        <w:numPr>
          <w:ilvl w:val="0"/>
          <w:numId w:val="12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Revolving Commitment of such Lender or the Loans made by, or participations in Letters of Credit or Swingline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or liquidity), then from time to time the Company will pay (or cause the applicable Designated Foreign Borrower to pay) to such Lender or such L/C Issuer, as the case may be, such additional amount or amounts as will compensate such Lender or such L/C Issuer or such Lender’s or such L/C Issuer’s holding company for any such reduction suffered.</w:t>
      </w:r>
    </w:p>
    <w:p>
      <w:pPr>
        <w:spacing w:after="0" w:line="162" w:lineRule="exact"/>
        <w:rPr>
          <w:rFonts w:ascii="Arial" w:cs="Arial" w:eastAsia="Arial" w:hAnsi="Arial"/>
          <w:sz w:val="19"/>
          <w:szCs w:val="19"/>
          <w:u w:val="single" w:color="auto"/>
          <w:color w:val="auto"/>
        </w:rPr>
      </w:pPr>
    </w:p>
    <w:p>
      <w:pPr>
        <w:ind w:left="1469" w:hanging="420"/>
        <w:spacing w:after="0"/>
        <w:tabs>
          <w:tab w:leader="none" w:pos="146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729" w:firstLine="644"/>
        <w:spacing w:after="0" w:line="224" w:lineRule="auto"/>
        <w:tabs>
          <w:tab w:leader="none" w:pos="2012"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Arial" w:cs="Arial" w:eastAsia="Arial" w:hAnsi="Arial"/>
          <w:sz w:val="19"/>
          <w:szCs w:val="19"/>
          <w:u w:val="single" w:color="auto"/>
          <w:color w:val="auto"/>
        </w:rPr>
        <w:t>Section 3.04(a)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3.04(b)</w:t>
      </w:r>
      <w:r>
        <w:rPr>
          <w:rFonts w:ascii="Arial" w:cs="Arial" w:eastAsia="Arial" w:hAnsi="Arial"/>
          <w:sz w:val="19"/>
          <w:szCs w:val="19"/>
          <w:color w:val="auto"/>
        </w:rPr>
        <w:t>, including the basis and calculation thereof, shall be delivered to the Company and shall be conclusive absent manifest error. The Company shall pay (or cause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09"/>
          </w:cols>
          <w:pgMar w:left="251" w:top="1405" w:right="339" w:bottom="1440" w:gutter="0" w:footer="0" w:header="0"/>
        </w:sectPr>
      </w:pPr>
    </w:p>
    <w:bookmarkStart w:id="133" w:name="page134"/>
    <w:bookmarkEnd w:id="133"/>
    <w:p>
      <w:pPr>
        <w:ind w:left="729"/>
        <w:spacing w:after="0" w:line="229" w:lineRule="auto"/>
        <w:rPr>
          <w:sz w:val="20"/>
          <w:szCs w:val="20"/>
          <w:color w:val="auto"/>
        </w:rPr>
      </w:pPr>
      <w:r>
        <w:rPr>
          <w:rFonts w:ascii="Arial" w:cs="Arial" w:eastAsia="Arial" w:hAnsi="Arial"/>
          <w:sz w:val="20"/>
          <w:szCs w:val="20"/>
          <w:color w:val="auto"/>
        </w:rPr>
        <w:t>Designated Foreign Borrower to pay) such Lender or such L/C Issuer, as the case may be, the amount shown as due on any such certificate within thirty (30) days after receipt thereof.</w:t>
      </w:r>
    </w:p>
    <w:p>
      <w:pPr>
        <w:spacing w:after="0" w:line="155" w:lineRule="exact"/>
        <w:rPr>
          <w:sz w:val="20"/>
          <w:szCs w:val="20"/>
          <w:color w:val="auto"/>
        </w:rPr>
      </w:pPr>
    </w:p>
    <w:p>
      <w:pPr>
        <w:ind w:left="2009" w:hanging="636"/>
        <w:spacing w:after="0"/>
        <w:tabs>
          <w:tab w:leader="none" w:pos="200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729" w:firstLine="644"/>
        <w:spacing w:after="0" w:line="216" w:lineRule="auto"/>
        <w:tabs>
          <w:tab w:leader="none" w:pos="2020"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any L/C Issuer to demand compensation pursuant to the foregoing provisions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shall not constitute a waiver of such Lender’s or such L/C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 Lender or an L/C Issuer pursuant to the foregoing provisions of this Section for any increased costs incurred or reductions suffered more than nine (9)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49" w:lineRule="exact"/>
        <w:rPr>
          <w:sz w:val="20"/>
          <w:szCs w:val="20"/>
          <w:color w:val="auto"/>
        </w:rPr>
      </w:pPr>
    </w:p>
    <w:p>
      <w:pPr>
        <w:ind w:left="289" w:hanging="289"/>
        <w:spacing w:after="0"/>
        <w:tabs>
          <w:tab w:leader="none" w:pos="289"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 for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5557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5575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3" w:lineRule="auto"/>
        <w:rPr>
          <w:sz w:val="20"/>
          <w:szCs w:val="20"/>
          <w:color w:val="auto"/>
        </w:rPr>
      </w:pPr>
      <w:r>
        <w:rPr>
          <w:rFonts w:ascii="Arial" w:cs="Arial" w:eastAsia="Arial" w:hAnsi="Arial"/>
          <w:sz w:val="20"/>
          <w:szCs w:val="20"/>
          <w:color w:val="auto"/>
        </w:rPr>
        <w:t>Upon written demand of any Lender (with a copy to the Administrative Agent) from time to time, setting forth in reasonable detail the basis for, and manner of calculating such compensation, the Company shall, within thirty (30) days following receipt of such demand, compensate (or cause the applicable Designated Foreign Borrower to compensate) such Lender for and hold such Lender harmless from any loss, cost or expense incurred by it as a result of:</w:t>
      </w:r>
    </w:p>
    <w:p>
      <w:pPr>
        <w:spacing w:after="0" w:line="156" w:lineRule="exact"/>
        <w:rPr>
          <w:sz w:val="20"/>
          <w:szCs w:val="20"/>
          <w:color w:val="auto"/>
        </w:rPr>
      </w:pPr>
    </w:p>
    <w:p>
      <w:pPr>
        <w:jc w:val="both"/>
        <w:ind w:left="729" w:firstLine="644"/>
        <w:spacing w:after="0" w:line="210" w:lineRule="auto"/>
        <w:tabs>
          <w:tab w:leader="none" w:pos="201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Term SOFR Loan or any Alternative Currency Term Rate Loan on a day other than the last day of the Interest Period for such Loan (whether voluntary, mandatory, automatic, by reason of acceleration, or otherwise), or any payment or prepayment of any Alternative Currency Daily Rate Loan on a day other than the next occurring Interest Payment Date for such Loan (whether voluntary, mandatory, automatic, by reason of acceleration, or otherwise);</w:t>
      </w:r>
    </w:p>
    <w:p>
      <w:pPr>
        <w:spacing w:after="0" w:line="154" w:lineRule="exact"/>
        <w:rPr>
          <w:rFonts w:ascii="Arial" w:cs="Arial" w:eastAsia="Arial" w:hAnsi="Arial"/>
          <w:sz w:val="20"/>
          <w:szCs w:val="20"/>
          <w:color w:val="auto"/>
        </w:rPr>
      </w:pPr>
    </w:p>
    <w:p>
      <w:pPr>
        <w:jc w:val="both"/>
        <w:ind w:left="729" w:firstLine="644"/>
        <w:spacing w:after="0" w:line="218" w:lineRule="auto"/>
        <w:tabs>
          <w:tab w:leader="none" w:pos="201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failure by the Borrowers (for a reason other than the failure of such Lender to make a Loan) to prepay, borrow, continue or convert any Term SOFR Loan or any Alternative Currency Loan on the date or in the amount notified by the Company (or the applicable Designated Foreign Borrower);</w:t>
      </w:r>
    </w:p>
    <w:p>
      <w:pPr>
        <w:spacing w:after="0" w:line="156" w:lineRule="exact"/>
        <w:rPr>
          <w:rFonts w:ascii="Arial" w:cs="Arial" w:eastAsia="Arial" w:hAnsi="Arial"/>
          <w:sz w:val="20"/>
          <w:szCs w:val="20"/>
          <w:color w:val="auto"/>
        </w:rPr>
      </w:pPr>
    </w:p>
    <w:p>
      <w:pPr>
        <w:jc w:val="both"/>
        <w:ind w:left="729" w:firstLine="644"/>
        <w:spacing w:after="0" w:line="213" w:lineRule="auto"/>
        <w:tabs>
          <w:tab w:leader="none" w:pos="201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any assignment of a Term SOFR Loan or an Alternative Currency Term Rate Loan on a day other than the last day of the Interest Period therefor as a result of a request by the Company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or any assignment of an Alternative Currency Daily Rate Loan on a day other than the then next occurring Interest Payment Date therefor as a result of a request by the Company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 or</w:t>
      </w:r>
    </w:p>
    <w:p>
      <w:pPr>
        <w:spacing w:after="0" w:line="155" w:lineRule="exact"/>
        <w:rPr>
          <w:rFonts w:ascii="Arial" w:cs="Arial" w:eastAsia="Arial" w:hAnsi="Arial"/>
          <w:sz w:val="20"/>
          <w:szCs w:val="20"/>
          <w:color w:val="auto"/>
        </w:rPr>
      </w:pPr>
    </w:p>
    <w:p>
      <w:pPr>
        <w:ind w:left="729" w:firstLine="644"/>
        <w:spacing w:after="0" w:line="269" w:lineRule="auto"/>
        <w:tabs>
          <w:tab w:leader="none" w:pos="201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an Alternative Currency on its scheduled due date or any payment thereof in a different currency;</w:t>
      </w:r>
    </w:p>
    <w:p>
      <w:pPr>
        <w:spacing w:after="0" w:line="130" w:lineRule="exact"/>
        <w:rPr>
          <w:sz w:val="20"/>
          <w:szCs w:val="20"/>
          <w:color w:val="auto"/>
        </w:rPr>
      </w:pPr>
    </w:p>
    <w:p>
      <w:pPr>
        <w:jc w:val="both"/>
        <w:ind w:left="69"/>
        <w:spacing w:after="0" w:line="210" w:lineRule="auto"/>
        <w:rPr>
          <w:sz w:val="20"/>
          <w:szCs w:val="20"/>
          <w:color w:val="auto"/>
        </w:rPr>
      </w:pPr>
      <w:r>
        <w:rPr>
          <w:rFonts w:ascii="Arial" w:cs="Arial" w:eastAsia="Arial" w:hAnsi="Arial"/>
          <w:sz w:val="20"/>
          <w:szCs w:val="20"/>
          <w:color w:val="auto"/>
        </w:rPr>
        <w:t>including any foreign exchange losses and any loss or expense (but excluding any loss of anticipated profits) arising from the liquidation or reemployment of funds obtained by it to maintain such Loan or from fees payable to terminate the deposits from which such funds were obtained or from the performance of any foreign exchange contract (but excluding any loss of anticipated profits). The Company shall also pay (or cause the applicable Designated Foreign Borrower to pay) any customary administrative fees charged by such Lender in connection with the foregoing.</w:t>
      </w:r>
    </w:p>
    <w:p>
      <w:pPr>
        <w:spacing w:after="0" w:line="149" w:lineRule="exact"/>
        <w:rPr>
          <w:sz w:val="20"/>
          <w:szCs w:val="20"/>
          <w:color w:val="auto"/>
        </w:rPr>
      </w:pPr>
    </w:p>
    <w:p>
      <w:pPr>
        <w:ind w:left="289" w:hanging="289"/>
        <w:spacing w:after="0"/>
        <w:tabs>
          <w:tab w:leader="none" w:pos="289"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Mitigation Obligations; Replacement of Lenders.</w:t>
      </w:r>
    </w:p>
    <w:p>
      <w:pPr>
        <w:spacing w:after="0" w:line="181" w:lineRule="exact"/>
        <w:rPr>
          <w:rFonts w:ascii="Arial" w:cs="Arial" w:eastAsia="Arial" w:hAnsi="Arial"/>
          <w:sz w:val="20"/>
          <w:szCs w:val="20"/>
          <w:b w:val="1"/>
          <w:bCs w:val="1"/>
          <w:color w:val="auto"/>
        </w:rPr>
      </w:pPr>
    </w:p>
    <w:p>
      <w:pPr>
        <w:ind w:left="729" w:firstLine="644"/>
        <w:spacing w:after="0" w:line="229" w:lineRule="auto"/>
        <w:tabs>
          <w:tab w:leader="none" w:pos="2015"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Designation of a Different Lending Office</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or requires any Loan Party to pay any Indemnified Taxes or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-404495</wp:posOffset>
            </wp:positionV>
            <wp:extent cx="28047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0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09"/>
          </w:cols>
          <w:pgMar w:left="251" w:top="1405" w:right="339" w:bottom="1440" w:gutter="0" w:footer="0" w:header="0"/>
        </w:sectPr>
      </w:pPr>
    </w:p>
    <w:bookmarkStart w:id="134" w:name="page135"/>
    <w:bookmarkEnd w:id="134"/>
    <w:p>
      <w:pPr>
        <w:jc w:val="both"/>
        <w:ind w:left="729"/>
        <w:spacing w:after="0" w:line="226" w:lineRule="auto"/>
        <w:rPr>
          <w:sz w:val="20"/>
          <w:szCs w:val="20"/>
          <w:color w:val="auto"/>
        </w:rPr>
      </w:pPr>
      <w:r>
        <w:rPr>
          <w:rFonts w:ascii="Arial" w:cs="Arial" w:eastAsia="Arial" w:hAnsi="Arial"/>
          <w:sz w:val="18"/>
          <w:szCs w:val="18"/>
          <w:color w:val="auto"/>
        </w:rPr>
        <w:t xml:space="preserve">amounts to any Lender, any L/C Issuer,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L/C Issuer, as the case may be, to any unreimbursed out-of-pocket cost or expense and would not otherwise be disadvantageous to such Lender or such L/C Issuer, as the case may be. The Company hereby agrees to pay (or cause the applicable Designated Foreign Borrower to pay) all reasonable out-of-pocket costs and expenses incurred by any Lender or any L/C Issuer in connection with any such designation or assignment.</w:t>
      </w:r>
    </w:p>
    <w:p>
      <w:pPr>
        <w:spacing w:after="0" w:line="157" w:lineRule="exact"/>
        <w:rPr>
          <w:sz w:val="20"/>
          <w:szCs w:val="20"/>
          <w:color w:val="auto"/>
        </w:rPr>
      </w:pPr>
    </w:p>
    <w:p>
      <w:pPr>
        <w:jc w:val="both"/>
        <w:ind w:left="729" w:firstLine="644"/>
        <w:spacing w:after="0" w:line="224" w:lineRule="auto"/>
        <w:tabs>
          <w:tab w:leader="none" w:pos="2012"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any Loan Party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the Company may replace such Lender in accordance with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50" w:lineRule="exact"/>
        <w:rPr>
          <w:sz w:val="20"/>
          <w:szCs w:val="20"/>
          <w:color w:val="auto"/>
        </w:rPr>
      </w:pPr>
    </w:p>
    <w:p>
      <w:pPr>
        <w:ind w:left="289" w:hanging="289"/>
        <w:spacing w:after="0"/>
        <w:tabs>
          <w:tab w:leader="none" w:pos="289"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662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230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20"/>
          <w:szCs w:val="20"/>
          <w:color w:val="auto"/>
        </w:rPr>
        <w:t xml:space="preserve">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the Lenders’ obligations under </w:t>
      </w:r>
      <w:r>
        <w:rPr>
          <w:rFonts w:ascii="Arial" w:cs="Arial" w:eastAsia="Arial" w:hAnsi="Arial"/>
          <w:sz w:val="20"/>
          <w:szCs w:val="20"/>
          <w:u w:val="single" w:color="auto"/>
          <w:color w:val="auto"/>
        </w:rPr>
        <w:t>Section 3.01(c)(ii)</w:t>
      </w:r>
      <w:r>
        <w:rPr>
          <w:rFonts w:ascii="Arial" w:cs="Arial" w:eastAsia="Arial" w:hAnsi="Arial"/>
          <w:sz w:val="20"/>
          <w:szCs w:val="20"/>
          <w:color w:val="auto"/>
        </w:rPr>
        <w:t xml:space="preserve"> shall, in each case, survive termination of the Aggregate Revolving Commitments, repayment of all other Obligations hereunder, resignation of the Administrative Agent and the Facility Termination Date.</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20"/>
          <w:szCs w:val="20"/>
          <w:b w:val="1"/>
          <w:bCs w:val="1"/>
          <w:color w:val="auto"/>
        </w:rPr>
        <w:t>ARTICLE IV</w:t>
      </w:r>
    </w:p>
    <w:p>
      <w:pPr>
        <w:jc w:val="center"/>
        <w:ind w:right="-68"/>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153" w:lineRule="exact"/>
        <w:rPr>
          <w:sz w:val="20"/>
          <w:szCs w:val="20"/>
          <w:color w:val="auto"/>
        </w:rPr>
      </w:pPr>
    </w:p>
    <w:p>
      <w:pPr>
        <w:ind w:left="289" w:hanging="289"/>
        <w:spacing w:after="0"/>
        <w:tabs>
          <w:tab w:leader="none" w:pos="289"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of Initial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22307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161" w:lineRule="exact"/>
        <w:rPr>
          <w:sz w:val="20"/>
          <w:szCs w:val="20"/>
          <w:color w:val="auto"/>
        </w:rPr>
      </w:pPr>
    </w:p>
    <w:p>
      <w:pPr>
        <w:ind w:left="69" w:right="20" w:firstLine="648"/>
        <w:spacing w:after="0" w:line="242" w:lineRule="auto"/>
        <w:rPr>
          <w:sz w:val="20"/>
          <w:szCs w:val="20"/>
          <w:color w:val="auto"/>
        </w:rPr>
      </w:pPr>
      <w:r>
        <w:rPr>
          <w:rFonts w:ascii="Arial" w:cs="Arial" w:eastAsia="Arial" w:hAnsi="Arial"/>
          <w:sz w:val="19"/>
          <w:szCs w:val="19"/>
          <w:color w:val="auto"/>
        </w:rPr>
        <w:t xml:space="preserve">The effectiveness of this Agreement and the obligation of each L/C Issuer and each Lender to make its initial Credit Extension hereunder is subject to satisfaction or waiver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of the following conditions precedent:</w:t>
      </w:r>
    </w:p>
    <w:p>
      <w:pPr>
        <w:spacing w:after="0" w:line="153" w:lineRule="exact"/>
        <w:rPr>
          <w:sz w:val="20"/>
          <w:szCs w:val="20"/>
          <w:color w:val="auto"/>
        </w:rPr>
      </w:pPr>
    </w:p>
    <w:p>
      <w:pPr>
        <w:jc w:val="both"/>
        <w:ind w:left="729" w:firstLine="644"/>
        <w:spacing w:after="0" w:line="206" w:lineRule="auto"/>
        <w:tabs>
          <w:tab w:leader="none" w:pos="2015"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Execution of Credit Agreement; Loan Documents</w:t>
      </w:r>
      <w:r>
        <w:rPr>
          <w:rFonts w:ascii="Arial" w:cs="Arial" w:eastAsia="Arial" w:hAnsi="Arial"/>
          <w:sz w:val="20"/>
          <w:szCs w:val="20"/>
          <w:color w:val="auto"/>
        </w:rPr>
        <w:t>. The Administrative Agent (or its counsel) shall have received (i) counterparts (or written evidence reasonably satisfactory to the Administrative Agent (which may include a copy transmitted by facsimile or other electronic method)) of this Agreement, executed by a Responsible Officer of each Loan Party and a duly authorized officer of each Lender, each L/C Issuer and the Administrative Agent, and (ii) for the account of each Lender requesting a Revolving Note at least one (1) Business Day in advance of the Closing Date, a Revolving Note executed by a Responsible Officer of each Borrower, each of which shall be in form and substance reasonably satisfactory to the Administrative Agent, the Arrangers and each of the Lenders.</w:t>
      </w:r>
    </w:p>
    <w:p>
      <w:pPr>
        <w:spacing w:after="0" w:line="157" w:lineRule="exact"/>
        <w:rPr>
          <w:rFonts w:ascii="Arial" w:cs="Arial" w:eastAsia="Arial" w:hAnsi="Arial"/>
          <w:sz w:val="20"/>
          <w:szCs w:val="20"/>
          <w:color w:val="auto"/>
        </w:rPr>
      </w:pPr>
    </w:p>
    <w:p>
      <w:pPr>
        <w:jc w:val="both"/>
        <w:ind w:left="729" w:firstLine="644"/>
        <w:spacing w:after="0" w:line="216" w:lineRule="auto"/>
        <w:tabs>
          <w:tab w:leader="none" w:pos="201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The Administrative Agent (or its counsel) shall have received a certificate of a Responsible Officer of each Loan Party dated the Closing Date, certifying as to (i) the Organization Documents of such Loan Party (which, to the extent filed with a Governmental Authority in the United States, shall be certified as of a recent date by such Governmental Authority), (ii) the resolutions of the board of directors or other governing body of such Loan Party, (iii) in the case of Vertex Europe only, a resolution signed by all of the holders of the issued shares in Vertex Europe, (iv) the good standing of such Loan Party (to the extent the concept is relevant and customarily certified in the applicable jurisdiction) by attaching a good standing certificate, certified as of a recent date by such Governmental Authority, (v) the incumbency (including specimen signatures) of the Responsible Officers of such Loan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09"/>
          </w:cols>
          <w:pgMar w:left="251" w:top="1405" w:right="339" w:bottom="1440" w:gutter="0" w:footer="0" w:header="0"/>
        </w:sectPr>
      </w:pPr>
    </w:p>
    <w:bookmarkStart w:id="135" w:name="page136"/>
    <w:bookmarkEnd w:id="135"/>
    <w:p>
      <w:pPr>
        <w:jc w:val="both"/>
        <w:ind w:left="660" w:hanging="4"/>
        <w:spacing w:after="0" w:line="218" w:lineRule="auto"/>
        <w:tabs>
          <w:tab w:leader="none" w:pos="100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in the case of Vertex Europe and Vertex Ireland only, that the borrowing or guaranteeing (as applicable) of the aggregate of the Revolving Commitments would not cause any borrowing, guarantee or similar limit binding on it to be exceeded, each in form and substance reasonably satisfactory to the Administrative Agent.</w:t>
      </w:r>
    </w:p>
    <w:p>
      <w:pPr>
        <w:spacing w:after="0" w:line="156" w:lineRule="exact"/>
        <w:rPr>
          <w:rFonts w:ascii="Arial" w:cs="Arial" w:eastAsia="Arial" w:hAnsi="Arial"/>
          <w:sz w:val="20"/>
          <w:szCs w:val="20"/>
          <w:color w:val="auto"/>
        </w:rPr>
      </w:pPr>
    </w:p>
    <w:p>
      <w:pPr>
        <w:jc w:val="both"/>
        <w:ind w:left="660" w:firstLine="644"/>
        <w:spacing w:after="0" w:line="224" w:lineRule="auto"/>
        <w:tabs>
          <w:tab w:leader="none" w:pos="1946"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Legal Opinions of Counsel</w:t>
      </w:r>
      <w:r>
        <w:rPr>
          <w:rFonts w:ascii="Arial" w:cs="Arial" w:eastAsia="Arial" w:hAnsi="Arial"/>
          <w:sz w:val="19"/>
          <w:szCs w:val="19"/>
          <w:color w:val="auto"/>
        </w:rPr>
        <w:t>. The Administrative Agent (or its counsel) shall have received favorable customary opinions of (i) Skadden, Arps, Slate, Meagher &amp; Flom LLP, New York counsel to the Loan Parties, (ii) Skadden, Arps, Slate, Meagher &amp; Flom (UK) LLP, United Kingdom counsel to Vertex Europe, and (iii) Matheson, Ireland counsel to Vertex Ireland, in each case, dated the Closing Date and addressed to the Administrative Agent and the Lenders.</w:t>
      </w:r>
    </w:p>
    <w:p>
      <w:pPr>
        <w:spacing w:after="0" w:line="156" w:lineRule="exact"/>
        <w:rPr>
          <w:rFonts w:ascii="Arial" w:cs="Arial" w:eastAsia="Arial" w:hAnsi="Arial"/>
          <w:sz w:val="19"/>
          <w:szCs w:val="19"/>
          <w:color w:val="auto"/>
        </w:rPr>
      </w:pPr>
    </w:p>
    <w:p>
      <w:pPr>
        <w:jc w:val="both"/>
        <w:ind w:left="660" w:firstLine="644"/>
        <w:spacing w:after="0" w:line="229" w:lineRule="auto"/>
        <w:tabs>
          <w:tab w:leader="none" w:pos="1944"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Officer’s Closing Certificate</w:t>
      </w:r>
      <w:r>
        <w:rPr>
          <w:rFonts w:ascii="Arial" w:cs="Arial" w:eastAsia="Arial" w:hAnsi="Arial"/>
          <w:sz w:val="18"/>
          <w:szCs w:val="18"/>
          <w:color w:val="auto"/>
        </w:rPr>
        <w:t xml:space="preserve">. The Administrative Agent (or its counsel) shall have received a certificate or certificates executed by a Responsible Officer (i) of the Company as of the Closing Date, certifying as to the matters set forth in </w:t>
      </w:r>
      <w:r>
        <w:rPr>
          <w:rFonts w:ascii="Arial" w:cs="Arial" w:eastAsia="Arial" w:hAnsi="Arial"/>
          <w:sz w:val="18"/>
          <w:szCs w:val="18"/>
          <w:u w:val="single" w:color="auto"/>
          <w:color w:val="auto"/>
        </w:rPr>
        <w:t>Sections 4.01(g)</w:t>
      </w:r>
      <w:r>
        <w:rPr>
          <w:rFonts w:ascii="Arial" w:cs="Arial" w:eastAsia="Arial" w:hAnsi="Arial"/>
          <w:sz w:val="18"/>
          <w:szCs w:val="18"/>
          <w:color w:val="auto"/>
        </w:rPr>
        <w:t xml:space="preserve"> and (i) and the matters set forth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and (ii) in respect of Vertex Ireland only, of Vertex Ireland as of the Closing Date, that (A) its entry into the Loan Documents and performance of the transactions thereby contemplated would not constitute “financial assistance” within the meaning of section 82 of the Companies Act 2014 of Ireland and (B) the Loan Parties are members of the same group of companies consisting of a holding company and its subsidiaries (within the meanings of sections 7 and 8 of the Companies Act 2014 of Ireland) for the purposes of section 243 of the Companies Act 2014 of Ireland.</w:t>
      </w:r>
    </w:p>
    <w:p>
      <w:pPr>
        <w:spacing w:after="0" w:line="156" w:lineRule="exact"/>
        <w:rPr>
          <w:rFonts w:ascii="Arial" w:cs="Arial" w:eastAsia="Arial" w:hAnsi="Arial"/>
          <w:sz w:val="18"/>
          <w:szCs w:val="18"/>
          <w:color w:val="auto"/>
        </w:rPr>
      </w:pPr>
    </w:p>
    <w:p>
      <w:pPr>
        <w:ind w:left="1940" w:hanging="636"/>
        <w:spacing w:after="0"/>
        <w:tabs>
          <w:tab w:leader="none" w:pos="194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644"/>
        <w:spacing w:after="0" w:line="210" w:lineRule="auto"/>
        <w:tabs>
          <w:tab w:leader="none" w:pos="1951" w:val="left"/>
        </w:tabs>
        <w:numPr>
          <w:ilvl w:val="1"/>
          <w:numId w:val="136"/>
        </w:numPr>
        <w:rPr>
          <w:rFonts w:ascii="Arial" w:cs="Arial" w:eastAsia="Arial" w:hAnsi="Arial"/>
          <w:sz w:val="20"/>
          <w:szCs w:val="20"/>
          <w:color w:val="auto"/>
        </w:rPr>
      </w:pPr>
      <w:r>
        <w:rPr>
          <w:rFonts w:ascii="Arial" w:cs="Arial" w:eastAsia="Arial" w:hAnsi="Arial"/>
          <w:sz w:val="20"/>
          <w:szCs w:val="20"/>
          <w:u w:val="single" w:color="auto"/>
          <w:color w:val="auto"/>
        </w:rPr>
        <w:t>Existing Indebtedness of the Loan Parties</w:t>
      </w:r>
      <w:r>
        <w:rPr>
          <w:rFonts w:ascii="Arial" w:cs="Arial" w:eastAsia="Arial" w:hAnsi="Arial"/>
          <w:sz w:val="20"/>
          <w:szCs w:val="20"/>
          <w:color w:val="auto"/>
        </w:rPr>
        <w:t>. The Administrative Agent shall have received a customary payoff letter specifying that all Indebtedness of the Company and its Restricted Subsidiaries under the Existing Credit Agreement (other than (i) contingent indemnification and contingent expense reimbursement obligations for which no claim has been asserted, and (ii) any Existing Letters of Credit) shall be repaid in full and all commitments and guarantees related thereto shall be terminated substantially concurrently with, or prior to, the Closing Date.</w:t>
      </w:r>
    </w:p>
    <w:p>
      <w:pPr>
        <w:spacing w:after="0" w:line="154" w:lineRule="exact"/>
        <w:rPr>
          <w:rFonts w:ascii="Arial" w:cs="Arial" w:eastAsia="Arial" w:hAnsi="Arial"/>
          <w:sz w:val="20"/>
          <w:szCs w:val="20"/>
          <w:color w:val="auto"/>
        </w:rPr>
      </w:pPr>
    </w:p>
    <w:p>
      <w:pPr>
        <w:jc w:val="both"/>
        <w:ind w:left="660" w:firstLine="644"/>
        <w:spacing w:after="0" w:line="244" w:lineRule="auto"/>
        <w:tabs>
          <w:tab w:leader="none" w:pos="1944"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There shall have been no event or circumstance since the date of the Audited Financial Statements (including any action, suit, investigation or proceeding pending or, to the knowledge of the Borrowers, threatened in writing) that has had or would be reasonably expected to have, either individually or in the aggregate, a Material Adverse Effect.</w:t>
      </w:r>
    </w:p>
    <w:p>
      <w:pPr>
        <w:spacing w:after="0" w:line="151" w:lineRule="exact"/>
        <w:rPr>
          <w:rFonts w:ascii="Arial" w:cs="Arial" w:eastAsia="Arial" w:hAnsi="Arial"/>
          <w:sz w:val="18"/>
          <w:szCs w:val="18"/>
          <w:color w:val="auto"/>
        </w:rPr>
      </w:pPr>
    </w:p>
    <w:p>
      <w:pPr>
        <w:jc w:val="both"/>
        <w:ind w:left="660" w:firstLine="644"/>
        <w:spacing w:after="0" w:line="225" w:lineRule="auto"/>
        <w:tabs>
          <w:tab w:leader="none" w:pos="1944"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Anti-Money-Laundering; Beneficial Ownership</w:t>
      </w:r>
      <w:r>
        <w:rPr>
          <w:rFonts w:ascii="Arial" w:cs="Arial" w:eastAsia="Arial" w:hAnsi="Arial"/>
          <w:sz w:val="18"/>
          <w:szCs w:val="18"/>
          <w:color w:val="auto"/>
        </w:rPr>
        <w:t>. The Administrative Agent shall have received, at least three (3) Business Days prior to the Closing Date, the documentation and other information regarding the Loan Parties reasonably requested by the Administrative Agent and the Lenders that is required by regulatory authorities in order to comply with applicable “know your customer” and anti-money laundering rules and regulations, including the Patriot Act, to the extent requested in writing by the Administrative Agent on behalf of the Lenders at least ten (10) days prior to the Closing Date. To the extent any Borrower qualifies as a “legal entity customer” under 31 C.F.R. § 1010.230 (the “</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at least three (3) Business Days prior to the Closing Date, any Lender that has requested in a written notice to the Company at least ten (10) days prior to the Closing Date, a certification regarding beneficial ownership required by the Beneficial Ownership Regulation (the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Certification</w:t>
      </w:r>
      <w:r>
        <w:rPr>
          <w:rFonts w:ascii="Arial" w:cs="Arial" w:eastAsia="Arial" w:hAnsi="Arial"/>
          <w:sz w:val="18"/>
          <w:szCs w:val="18"/>
          <w:color w:val="auto"/>
        </w:rPr>
        <w:t>”) in relation to the Borrowers shall have received such Beneficial Ownership Certification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execution and delivery of a Beneficial Ownership Certification in the form published by The Loan Syndication and Trading Association is acceptable to all Lenders for purposes of satisfying the condition set forth in this </w:t>
      </w:r>
      <w:r>
        <w:rPr>
          <w:rFonts w:ascii="Arial" w:cs="Arial" w:eastAsia="Arial" w:hAnsi="Arial"/>
          <w:sz w:val="18"/>
          <w:szCs w:val="18"/>
          <w:u w:val="single" w:color="auto"/>
          <w:color w:val="auto"/>
        </w:rPr>
        <w:t>Section 4.01(h)</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jc w:val="both"/>
        <w:ind w:left="660" w:firstLine="644"/>
        <w:spacing w:after="0" w:line="230" w:lineRule="auto"/>
        <w:tabs>
          <w:tab w:leader="none" w:pos="1954"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The Administrative Agent (or its counsel) shall have received a certificate of a Responsible Officer of the Company either (i) attaching copies of all customary consents, licenses and approvals required in connection with the execution, delivery and performance by each Loan Party and the validity against such Loan Party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40"/>
          </w:cols>
          <w:pgMar w:left="320" w:top="1405" w:right="339" w:bottom="1440" w:gutter="0" w:footer="0" w:header="0"/>
        </w:sectPr>
      </w:pPr>
    </w:p>
    <w:bookmarkStart w:id="136" w:name="page137"/>
    <w:bookmarkEnd w:id="136"/>
    <w:p>
      <w:pPr>
        <w:ind w:left="729" w:right="20"/>
        <w:spacing w:after="0" w:line="229" w:lineRule="auto"/>
        <w:rPr>
          <w:sz w:val="20"/>
          <w:szCs w:val="20"/>
          <w:color w:val="auto"/>
        </w:rPr>
      </w:pPr>
      <w:r>
        <w:rPr>
          <w:rFonts w:ascii="Arial" w:cs="Arial" w:eastAsia="Arial" w:hAnsi="Arial"/>
          <w:sz w:val="20"/>
          <w:szCs w:val="20"/>
          <w:color w:val="auto"/>
        </w:rPr>
        <w:t>to which it is a party, and such consents, licenses and approvals shall be in full force and effect or (ii) stating that no such consents, licenses or approvals are so required.</w:t>
      </w:r>
    </w:p>
    <w:p>
      <w:pPr>
        <w:spacing w:after="0" w:line="155" w:lineRule="exact"/>
        <w:rPr>
          <w:sz w:val="20"/>
          <w:szCs w:val="20"/>
          <w:color w:val="auto"/>
        </w:rPr>
      </w:pPr>
    </w:p>
    <w:p>
      <w:pPr>
        <w:jc w:val="both"/>
        <w:ind w:left="729" w:firstLine="644"/>
        <w:spacing w:after="0" w:line="256" w:lineRule="auto"/>
        <w:tabs>
          <w:tab w:leader="none" w:pos="202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The Administrative Agent, the Lenders and the Arrangers shall have received all reasonable, documented and out-of-pocket fees and expenses (including the reasonable, document and out-of-pocket fees and expenses of Moore</w:t>
      </w:r>
    </w:p>
    <w:p>
      <w:pPr>
        <w:spacing w:after="0" w:line="1" w:lineRule="exact"/>
        <w:rPr>
          <w:rFonts w:ascii="Arial" w:cs="Arial" w:eastAsia="Arial" w:hAnsi="Arial"/>
          <w:sz w:val="16"/>
          <w:szCs w:val="16"/>
          <w:color w:val="auto"/>
        </w:rPr>
      </w:pPr>
    </w:p>
    <w:p>
      <w:pPr>
        <w:jc w:val="both"/>
        <w:ind w:left="729" w:hanging="4"/>
        <w:spacing w:after="0" w:line="213" w:lineRule="auto"/>
        <w:tabs>
          <w:tab w:leader="none" w:pos="93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Van Allen PLLC, Ashurst LLP and McCann FitzGerald LLP) owing pursuant to the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such expenses, such expenses shall be invoiced at least three (3) Business Days prior to the Closing Date (except as otherwise agreed by the Company).</w:t>
      </w:r>
    </w:p>
    <w:p>
      <w:pPr>
        <w:spacing w:after="0" w:line="155" w:lineRule="exact"/>
        <w:rPr>
          <w:sz w:val="20"/>
          <w:szCs w:val="20"/>
          <w:color w:val="auto"/>
        </w:rPr>
      </w:pPr>
    </w:p>
    <w:p>
      <w:pPr>
        <w:jc w:val="both"/>
        <w:ind w:left="69"/>
        <w:spacing w:after="0" w:line="206"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or the last sentence of </w:t>
      </w:r>
      <w:r>
        <w:rPr>
          <w:rFonts w:ascii="Arial" w:cs="Arial" w:eastAsia="Arial" w:hAnsi="Arial"/>
          <w:sz w:val="20"/>
          <w:szCs w:val="20"/>
          <w:u w:val="single" w:color="auto"/>
          <w:color w:val="auto"/>
        </w:rPr>
        <w:t>Section 9.04</w:t>
      </w:r>
      <w:r>
        <w:rPr>
          <w:rFonts w:ascii="Arial" w:cs="Arial" w:eastAsia="Arial" w:hAnsi="Arial"/>
          <w:sz w:val="20"/>
          <w:szCs w:val="20"/>
          <w:color w:val="auto"/>
        </w:rPr>
        <w:t>, for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The Administrative Agent shall promptly notify the Lenders and the Borrowers in writing of the occurrence of the Closing Date and each of the Lenders hereby agrees that the receipt of such notification shall be conclusive and binding.</w:t>
      </w:r>
    </w:p>
    <w:p>
      <w:pPr>
        <w:spacing w:after="0" w:line="151" w:lineRule="exact"/>
        <w:rPr>
          <w:sz w:val="20"/>
          <w:szCs w:val="20"/>
          <w:color w:val="auto"/>
        </w:rPr>
      </w:pPr>
    </w:p>
    <w:p>
      <w:pPr>
        <w:ind w:left="289" w:hanging="289"/>
        <w:spacing w:after="0"/>
        <w:tabs>
          <w:tab w:leader="none" w:pos="289"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to all Credit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20840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8407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0" w:lineRule="auto"/>
        <w:rPr>
          <w:sz w:val="20"/>
          <w:szCs w:val="20"/>
          <w:color w:val="auto"/>
        </w:rPr>
      </w:pPr>
      <w:r>
        <w:rPr>
          <w:rFonts w:ascii="Arial" w:cs="Arial" w:eastAsia="Arial" w:hAnsi="Arial"/>
          <w:sz w:val="20"/>
          <w:szCs w:val="20"/>
          <w:color w:val="auto"/>
        </w:rPr>
        <w:t>The obligation of each Lender and each L/C Issuer to honor any Request for Credit Extension (other than a Loan Notice only requesting (x) a conversion of Term SOFR Loans to Base Rate Loans or SOFR Daily Floating Rate Loans, a conversion of Base Rate Loans to Term SOFR Loans or SOFR Daily Floating Rate Loans, or a conversion of SOFR Daily Floating Rate Loans to Term SOFR Loans or Base Rate Loans, or (y) a continuation of Term SOFR Loans or Alternative Currency Term Rate Loans) is subject to the following conditions precedent:</w:t>
      </w:r>
    </w:p>
    <w:p>
      <w:pPr>
        <w:spacing w:after="0" w:line="155" w:lineRule="exact"/>
        <w:rPr>
          <w:sz w:val="20"/>
          <w:szCs w:val="20"/>
          <w:color w:val="auto"/>
        </w:rPr>
      </w:pPr>
    </w:p>
    <w:p>
      <w:pPr>
        <w:jc w:val="both"/>
        <w:ind w:left="729" w:firstLine="644"/>
        <w:spacing w:after="0" w:line="214" w:lineRule="auto"/>
        <w:tabs>
          <w:tab w:leader="none" w:pos="2015"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Company and each other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(other than, solely with respect to Credit Extensions after the Closing Date, </w:t>
      </w:r>
      <w:r>
        <w:rPr>
          <w:rFonts w:ascii="Arial" w:cs="Arial" w:eastAsia="Arial" w:hAnsi="Arial"/>
          <w:sz w:val="19"/>
          <w:szCs w:val="19"/>
          <w:u w:val="single" w:color="auto"/>
          <w:color w:val="auto"/>
        </w:rPr>
        <w:t>Sections 5.05(c)</w:t>
      </w:r>
      <w:r>
        <w:rPr>
          <w:rFonts w:ascii="Arial" w:cs="Arial" w:eastAsia="Arial" w:hAnsi="Arial"/>
          <w:sz w:val="19"/>
          <w:szCs w:val="19"/>
          <w:color w:val="auto"/>
        </w:rPr>
        <w:t xml:space="preserve">, </w:t>
      </w:r>
      <w:r>
        <w:rPr>
          <w:rFonts w:ascii="Arial" w:cs="Arial" w:eastAsia="Arial" w:hAnsi="Arial"/>
          <w:sz w:val="19"/>
          <w:szCs w:val="19"/>
          <w:u w:val="single" w:color="auto"/>
          <w:color w:val="auto"/>
        </w:rPr>
        <w:t>5.06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5.16</w:t>
      </w:r>
      <w:r>
        <w:rPr>
          <w:rFonts w:ascii="Arial" w:cs="Arial" w:eastAsia="Arial" w:hAnsi="Arial"/>
          <w:sz w:val="19"/>
          <w:szCs w:val="19"/>
          <w:color w:val="auto"/>
        </w:rPr>
        <w:t xml:space="preserve">) shall (i) with respect to representations and warranties that contain a materiality qualification, be true and correct on and as of the date of such Credit Extension, except to the extent that such representations and warranties specifically refer to an earlier date, in which case they shall be true and correct as of such earlier date and (ii) with respect to representations and warranties that do not contain a materiality qualification,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further, except that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Sections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respectively.</w:t>
      </w:r>
    </w:p>
    <w:p>
      <w:pPr>
        <w:spacing w:after="0" w:line="157" w:lineRule="exact"/>
        <w:rPr>
          <w:rFonts w:ascii="Arial" w:cs="Arial" w:eastAsia="Arial" w:hAnsi="Arial"/>
          <w:sz w:val="19"/>
          <w:szCs w:val="19"/>
          <w:color w:val="auto"/>
        </w:rPr>
      </w:pPr>
    </w:p>
    <w:p>
      <w:pPr>
        <w:ind w:left="729" w:right="20" w:firstLine="644"/>
        <w:spacing w:after="0" w:line="229" w:lineRule="auto"/>
        <w:tabs>
          <w:tab w:leader="none" w:pos="2012"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No Default or Event of Default shall exist, or would result from such proposed Credit Extension or from the application of the proceeds thereof.</w:t>
      </w:r>
    </w:p>
    <w:p>
      <w:pPr>
        <w:spacing w:after="0" w:line="155" w:lineRule="exact"/>
        <w:rPr>
          <w:rFonts w:ascii="Arial" w:cs="Arial" w:eastAsia="Arial" w:hAnsi="Arial"/>
          <w:sz w:val="20"/>
          <w:szCs w:val="20"/>
          <w:color w:val="auto"/>
        </w:rPr>
      </w:pPr>
    </w:p>
    <w:p>
      <w:pPr>
        <w:ind w:left="729" w:firstLine="644"/>
        <w:spacing w:after="0" w:line="229" w:lineRule="auto"/>
        <w:tabs>
          <w:tab w:leader="none" w:pos="2015"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The Administrative Agent and, if applicable, the applicable L/C Issuer or the Swingline Lender, shall have received a Request for Credit Extension in accordance with the requirements hereof.</w:t>
      </w:r>
    </w:p>
    <w:p>
      <w:pPr>
        <w:spacing w:after="0" w:line="155" w:lineRule="exact"/>
        <w:rPr>
          <w:rFonts w:ascii="Arial" w:cs="Arial" w:eastAsia="Arial" w:hAnsi="Arial"/>
          <w:sz w:val="20"/>
          <w:szCs w:val="20"/>
          <w:color w:val="auto"/>
        </w:rPr>
      </w:pPr>
    </w:p>
    <w:p>
      <w:pPr>
        <w:jc w:val="both"/>
        <w:ind w:left="729" w:firstLine="644"/>
        <w:spacing w:after="0" w:line="218" w:lineRule="auto"/>
        <w:tabs>
          <w:tab w:leader="none" w:pos="2012"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Designated Foreign Borrower</w:t>
      </w:r>
      <w:r>
        <w:rPr>
          <w:rFonts w:ascii="Arial" w:cs="Arial" w:eastAsia="Arial" w:hAnsi="Arial"/>
          <w:sz w:val="20"/>
          <w:szCs w:val="20"/>
          <w:color w:val="auto"/>
        </w:rPr>
        <w:t xml:space="preserve">. If the applicable Borrower is a Designated Foreign Borrower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2.16(b)</w:t>
      </w:r>
      <w:r>
        <w:rPr>
          <w:rFonts w:ascii="Arial" w:cs="Arial" w:eastAsia="Arial" w:hAnsi="Arial"/>
          <w:sz w:val="20"/>
          <w:szCs w:val="20"/>
          <w:color w:val="auto"/>
        </w:rPr>
        <w:t xml:space="preserve"> (other than Vertex Europe or Vertex Ireland), then the Designated Foreign Borrower Requirements shall have been met to the reasonable satisfaction of the Administrative Agent.</w:t>
      </w:r>
    </w:p>
    <w:p>
      <w:pPr>
        <w:spacing w:after="0" w:line="156" w:lineRule="exact"/>
        <w:rPr>
          <w:rFonts w:ascii="Arial" w:cs="Arial" w:eastAsia="Arial" w:hAnsi="Arial"/>
          <w:sz w:val="20"/>
          <w:szCs w:val="20"/>
          <w:color w:val="auto"/>
        </w:rPr>
      </w:pPr>
    </w:p>
    <w:p>
      <w:pPr>
        <w:ind w:left="729" w:firstLine="644"/>
        <w:spacing w:after="0" w:line="229" w:lineRule="auto"/>
        <w:tabs>
          <w:tab w:leader="none" w:pos="2015"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Alternative Currency</w:t>
      </w:r>
      <w:r>
        <w:rPr>
          <w:rFonts w:ascii="Arial" w:cs="Arial" w:eastAsia="Arial" w:hAnsi="Arial"/>
          <w:sz w:val="20"/>
          <w:szCs w:val="20"/>
          <w:color w:val="auto"/>
        </w:rPr>
        <w:t>. In the case of a Credit Extension to be denominated in an Alternative Currency, such currency remains an Eligible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09"/>
          </w:cols>
          <w:pgMar w:left="251" w:top="1405" w:right="339" w:bottom="1440" w:gutter="0" w:footer="0" w:header="0"/>
        </w:sectPr>
      </w:pPr>
    </w:p>
    <w:bookmarkStart w:id="137" w:name="page138"/>
    <w:bookmarkEnd w:id="137"/>
    <w:p>
      <w:pPr>
        <w:jc w:val="both"/>
        <w:ind w:left="69" w:firstLine="648"/>
        <w:spacing w:after="0" w:line="233" w:lineRule="auto"/>
        <w:rPr>
          <w:sz w:val="20"/>
          <w:szCs w:val="20"/>
          <w:color w:val="auto"/>
        </w:rPr>
      </w:pPr>
      <w:r>
        <w:rPr>
          <w:rFonts w:ascii="Arial" w:cs="Arial" w:eastAsia="Arial" w:hAnsi="Arial"/>
          <w:sz w:val="18"/>
          <w:szCs w:val="18"/>
          <w:color w:val="auto"/>
        </w:rPr>
        <w:t xml:space="preserve">Each Request for Credit Extension (other than a Loan Notice only requesting (x) a conversion of Term SOFR Loans to Base Rate Loans or SOFR Daily Floating Rate Loans, a conversion of Base Rate Loans to Term SOFR Loans or SOFR Daily Floating Rate Loans, or a conversion of SOFR Daily Floating Rate Loans to Term SOFR Loans or Base Rate Loans, or (y) a continuation of Term SOFR Loans or Alternative Currency Term Rate Loans) submitted by the Company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31" w:lineRule="exact"/>
        <w:rPr>
          <w:sz w:val="20"/>
          <w:szCs w:val="20"/>
          <w:color w:val="auto"/>
        </w:rPr>
      </w:pPr>
    </w:p>
    <w:p>
      <w:pPr>
        <w:ind w:left="5049"/>
        <w:spacing w:after="0"/>
        <w:rPr>
          <w:sz w:val="20"/>
          <w:szCs w:val="20"/>
          <w:color w:val="auto"/>
        </w:rPr>
      </w:pPr>
      <w:r>
        <w:rPr>
          <w:rFonts w:ascii="Arial" w:cs="Arial" w:eastAsia="Arial" w:hAnsi="Arial"/>
          <w:sz w:val="20"/>
          <w:szCs w:val="20"/>
          <w:b w:val="1"/>
          <w:bCs w:val="1"/>
          <w:color w:val="auto"/>
        </w:rPr>
        <w:t>ARTICLE V</w:t>
      </w:r>
    </w:p>
    <w:p>
      <w:pPr>
        <w:ind w:left="3809"/>
        <w:spacing w:after="0"/>
        <w:rPr>
          <w:sz w:val="20"/>
          <w:szCs w:val="20"/>
          <w:color w:val="auto"/>
        </w:rPr>
      </w:pPr>
      <w:r>
        <w:rPr>
          <w:rFonts w:ascii="Arial" w:cs="Arial" w:eastAsia="Arial" w:hAnsi="Arial"/>
          <w:sz w:val="20"/>
          <w:szCs w:val="20"/>
          <w:b w:val="1"/>
          <w:bCs w:val="1"/>
          <w:color w:val="auto"/>
        </w:rPr>
        <w:t>REPRESENTATIONS AND WARRANTIES</w:t>
      </w:r>
    </w:p>
    <w:p>
      <w:pPr>
        <w:spacing w:after="0" w:line="159" w:lineRule="exact"/>
        <w:rPr>
          <w:sz w:val="20"/>
          <w:szCs w:val="20"/>
          <w:color w:val="auto"/>
        </w:rPr>
      </w:pPr>
    </w:p>
    <w:p>
      <w:pPr>
        <w:ind w:left="729"/>
        <w:spacing w:after="0"/>
        <w:rPr>
          <w:sz w:val="20"/>
          <w:szCs w:val="20"/>
          <w:color w:val="auto"/>
        </w:rPr>
      </w:pPr>
      <w:r>
        <w:rPr>
          <w:rFonts w:ascii="Arial" w:cs="Arial" w:eastAsia="Arial" w:hAnsi="Arial"/>
          <w:sz w:val="18"/>
          <w:szCs w:val="18"/>
          <w:color w:val="auto"/>
        </w:rPr>
        <w:t>Each Loan Party represents and warrants to the Administrative Agent and the Lenders, as of the date made or deemed made, that:</w:t>
      </w:r>
    </w:p>
    <w:p>
      <w:pPr>
        <w:spacing w:after="0" w:line="192" w:lineRule="exact"/>
        <w:rPr>
          <w:sz w:val="20"/>
          <w:szCs w:val="20"/>
          <w:color w:val="auto"/>
        </w:rPr>
      </w:pPr>
    </w:p>
    <w:p>
      <w:pPr>
        <w:ind w:left="289" w:hanging="289"/>
        <w:spacing w:after="0"/>
        <w:tabs>
          <w:tab w:leader="none" w:pos="289"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Existence, Qualification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209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9296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8" w:lineRule="auto"/>
        <w:rPr>
          <w:sz w:val="20"/>
          <w:szCs w:val="20"/>
          <w:color w:val="auto"/>
        </w:rPr>
      </w:pPr>
      <w:r>
        <w:rPr>
          <w:rFonts w:ascii="Arial" w:cs="Arial" w:eastAsia="Arial" w:hAnsi="Arial"/>
          <w:sz w:val="18"/>
          <w:szCs w:val="18"/>
          <w:color w:val="auto"/>
        </w:rPr>
        <w:t>Each Loan Party and each of its Restricted Subsidiaries (a) is duly organized, formed or incorporated, validly existing and, as applicable, in good standing (to the extent that such concept exists in such jurisdiction) under the Laws of the jurisdiction of its organization, formation or incorporation, (b) has all requisite power and authority to (i) own or lease its assets and carry on its business and (ii) execute, deliver and perform its obligations under the Loan Documents to which it is a party and consummate the transactions contemplated thereby, and (c) is duly qualified and, as applicable, in good standing (to the extent that such concept exists in such jurisdiction) under the Laws of each jurisdiction where its ownership, lease or operation of properties or the conduct of its business requires such qualification; except in each case referred to in clause (a) above (other than with respect to any Borrower), clause (b)(i) above (other than with respect to any Borrower) or clause (c) above, to the extent that failure to do so would not reasonably be expected to have a Material Adverse Effect.</w:t>
      </w:r>
    </w:p>
    <w:p>
      <w:pPr>
        <w:spacing w:after="0" w:line="149" w:lineRule="exact"/>
        <w:rPr>
          <w:sz w:val="20"/>
          <w:szCs w:val="20"/>
          <w:color w:val="auto"/>
        </w:rPr>
      </w:pPr>
    </w:p>
    <w:p>
      <w:pPr>
        <w:ind w:left="9"/>
        <w:spacing w:after="0"/>
        <w:tabs>
          <w:tab w:leader="none" w:pos="268"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Authorization; No Contravention.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9951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95170"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6" w:lineRule="auto"/>
        <w:rPr>
          <w:sz w:val="20"/>
          <w:szCs w:val="20"/>
          <w:color w:val="auto"/>
        </w:rPr>
      </w:pPr>
      <w:r>
        <w:rPr>
          <w:rFonts w:ascii="Arial" w:cs="Arial" w:eastAsia="Arial" w:hAnsi="Arial"/>
          <w:sz w:val="19"/>
          <w:szCs w:val="19"/>
          <w:color w:val="auto"/>
        </w:rPr>
        <w:t>The execution, delivery and performance by each Loan Party of each Loan Document to which such Person is a party have been duly authorized by all necessary corporate or other organizational action, and do not and will not (with the passage of time) (a) contravene the terms of any of such Person’s Organization Documents, (b) conflict with or result in any breach or contravention of, or the creation of any Lien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of this clauses (b) and (c) above, with respect to any conflict, breach or violation to the extent that such conflict, breach or violation would not reasonably be expected to result in, individually or in the aggregate, a Material Adverse Effect.</w:t>
      </w:r>
    </w:p>
    <w:p>
      <w:pPr>
        <w:spacing w:after="0" w:line="149" w:lineRule="exact"/>
        <w:rPr>
          <w:sz w:val="20"/>
          <w:szCs w:val="20"/>
          <w:color w:val="auto"/>
        </w:rPr>
      </w:pPr>
    </w:p>
    <w:p>
      <w:pPr>
        <w:ind w:left="289" w:hanging="289"/>
        <w:spacing w:after="0"/>
        <w:tabs>
          <w:tab w:leader="none" w:pos="289"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Governmental Authorization; Other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26822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19"/>
          <w:szCs w:val="19"/>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for (a) the approvals, consents, exemptions, authorizations, actions, notices and filings which have been duly obtained, taken, given or made and which are in full force and effect, (b) filings, if any, with the SEC, including a Current Report on Form 8-K and (c) those approvals, consents, exemptions, authorizations or other actions, notices or filings, the failure of which to obtain or make would not reasonably be expected to have a Material Adverse Effect.</w:t>
      </w:r>
    </w:p>
    <w:p>
      <w:pPr>
        <w:spacing w:after="0" w:line="153" w:lineRule="exact"/>
        <w:rPr>
          <w:sz w:val="20"/>
          <w:szCs w:val="20"/>
          <w:color w:val="auto"/>
        </w:rPr>
      </w:pPr>
    </w:p>
    <w:p>
      <w:pPr>
        <w:ind w:left="289" w:hanging="289"/>
        <w:spacing w:after="0"/>
        <w:tabs>
          <w:tab w:leader="none" w:pos="289"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Binding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9867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86790"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44" w:lineRule="auto"/>
        <w:rPr>
          <w:sz w:val="20"/>
          <w:szCs w:val="20"/>
          <w:color w:val="auto"/>
        </w:rPr>
      </w:pPr>
      <w:r>
        <w:rPr>
          <w:rFonts w:ascii="Arial" w:cs="Arial" w:eastAsia="Arial" w:hAnsi="Arial"/>
          <w:sz w:val="18"/>
          <w:szCs w:val="18"/>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309"/>
          </w:cols>
          <w:pgMar w:left="251" w:top="1405" w:right="339" w:bottom="1440" w:gutter="0" w:footer="0" w:header="0"/>
        </w:sectPr>
      </w:pPr>
    </w:p>
    <w:bookmarkStart w:id="138" w:name="page139"/>
    <w:bookmarkEnd w:id="138"/>
    <w:p>
      <w:pPr>
        <w:jc w:val="both"/>
        <w:ind w:left="69"/>
        <w:spacing w:after="0" w:line="218" w:lineRule="auto"/>
        <w:rPr>
          <w:sz w:val="20"/>
          <w:szCs w:val="20"/>
          <w:color w:val="auto"/>
        </w:rPr>
      </w:pPr>
      <w:r>
        <w:rPr>
          <w:rFonts w:ascii="Arial" w:cs="Arial" w:eastAsia="Arial" w:hAnsi="Arial"/>
          <w:sz w:val="20"/>
          <w:szCs w:val="20"/>
          <w:color w:val="auto"/>
        </w:rPr>
        <w:t>subject to applicable bankruptcy, insolvency, examinership, rescue process, reorganization, moratorium or other laws affecting creditors’ rights generally and subject to general principles of equity (regardless of whether such enforceability is considered in a proceeding in equity or at law).</w:t>
      </w:r>
    </w:p>
    <w:p>
      <w:pPr>
        <w:spacing w:after="0" w:line="150" w:lineRule="exact"/>
        <w:rPr>
          <w:sz w:val="20"/>
          <w:szCs w:val="20"/>
          <w:color w:val="auto"/>
        </w:rPr>
      </w:pPr>
    </w:p>
    <w:p>
      <w:pPr>
        <w:ind w:left="289" w:hanging="289"/>
        <w:spacing w:after="0"/>
        <w:tabs>
          <w:tab w:leader="none" w:pos="289"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 No Material Adverse Effect.</w:t>
      </w:r>
    </w:p>
    <w:p>
      <w:pPr>
        <w:spacing w:after="0" w:line="181" w:lineRule="exact"/>
        <w:rPr>
          <w:rFonts w:ascii="Arial" w:cs="Arial" w:eastAsia="Arial" w:hAnsi="Arial"/>
          <w:sz w:val="20"/>
          <w:szCs w:val="20"/>
          <w:b w:val="1"/>
          <w:bCs w:val="1"/>
          <w:color w:val="auto"/>
        </w:rPr>
      </w:pPr>
    </w:p>
    <w:p>
      <w:pPr>
        <w:jc w:val="both"/>
        <w:ind w:left="729" w:firstLine="644"/>
        <w:spacing w:after="0" w:line="221" w:lineRule="auto"/>
        <w:tabs>
          <w:tab w:leader="none" w:pos="2015"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The Audited Financial Statements (i) were prepared in accordance with GAAP consistently applied throughout the period covered thereby, except as otherwise expressly noted therein and (ii) fairly present in all material respects the financial condition of the Company and its Restricted Subsidiaries as of the date thereof and their results of operations, cash flows and changes in shareholder’s equity for the period covered thereby in accordance with GAAP consistently applied throughout the period covered thereby, except as otherwise expressly noted therein.</w:t>
      </w:r>
    </w:p>
    <w:p>
      <w:pPr>
        <w:spacing w:after="0" w:line="155" w:lineRule="exact"/>
        <w:rPr>
          <w:rFonts w:ascii="Arial" w:cs="Arial" w:eastAsia="Arial" w:hAnsi="Arial"/>
          <w:sz w:val="19"/>
          <w:szCs w:val="19"/>
          <w:color w:val="auto"/>
        </w:rPr>
      </w:pPr>
    </w:p>
    <w:p>
      <w:pPr>
        <w:jc w:val="both"/>
        <w:ind w:left="729" w:firstLine="644"/>
        <w:spacing w:after="0" w:line="217" w:lineRule="auto"/>
        <w:tabs>
          <w:tab w:leader="none" w:pos="2012"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The unaudited Consolidated balance sheets of the Company and its Restricted Subsidiaries dated March 31, 2022, and the related Consolidated statements of income or operations, shareholders’ equity and cash flows for the fiscal quarters ended on such dates (i) were prepared in accordance with GAAP consistently applied throughout the period covered thereby, except as otherwise expressly noted therein, and (ii) fairly present in all material respects the financial condition of the Company and its Restricted Subsidiaries as of the dates thereof and their results of operations, cash flows and changes in shareholders’ equity for the periods covered thereby, subject, in the case of clauses (i) and (ii) above, to the absence of footnotes and to normal year-end audit adjustments.</w:t>
      </w:r>
    </w:p>
    <w:p>
      <w:pPr>
        <w:spacing w:after="0" w:line="156" w:lineRule="exact"/>
        <w:rPr>
          <w:rFonts w:ascii="Arial" w:cs="Arial" w:eastAsia="Arial" w:hAnsi="Arial"/>
          <w:sz w:val="19"/>
          <w:szCs w:val="19"/>
          <w:color w:val="auto"/>
        </w:rPr>
      </w:pPr>
    </w:p>
    <w:p>
      <w:pPr>
        <w:jc w:val="both"/>
        <w:ind w:left="729" w:firstLine="644"/>
        <w:spacing w:after="0" w:line="218" w:lineRule="auto"/>
        <w:tabs>
          <w:tab w:leader="none" w:pos="2015"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Since the date of the balance sheet included in the Audited Financial Statements, there has been no event or circumstance, either individually or in the aggregate, that has had or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-2238375</wp:posOffset>
            </wp:positionV>
            <wp:extent cx="28841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4170" cy="8255"/>
                    </a:xfrm>
                    <a:prstGeom prst="rect">
                      <a:avLst/>
                    </a:prstGeom>
                    <a:noFill/>
                  </pic:spPr>
                </pic:pic>
              </a:graphicData>
            </a:graphic>
          </wp:anchor>
        </w:drawing>
      </w:r>
    </w:p>
    <w:p>
      <w:pPr>
        <w:spacing w:after="0" w:line="130" w:lineRule="exact"/>
        <w:rPr>
          <w:sz w:val="20"/>
          <w:szCs w:val="20"/>
          <w:color w:val="auto"/>
        </w:rPr>
      </w:pPr>
    </w:p>
    <w:p>
      <w:pPr>
        <w:ind w:left="289" w:hanging="289"/>
        <w:spacing w:after="0"/>
        <w:tabs>
          <w:tab w:leader="none" w:pos="289"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7391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1" w:lineRule="auto"/>
        <w:rPr>
          <w:sz w:val="20"/>
          <w:szCs w:val="20"/>
          <w:color w:val="auto"/>
        </w:rPr>
      </w:pPr>
      <w:r>
        <w:rPr>
          <w:rFonts w:ascii="Arial" w:cs="Arial" w:eastAsia="Arial" w:hAnsi="Arial"/>
          <w:sz w:val="19"/>
          <w:szCs w:val="19"/>
          <w:color w:val="auto"/>
        </w:rPr>
        <w:t>There are no actions, suits, proceedings, claims or disputes pending or, to the knowledge of the Loan Parties, threatened in writing, at law, in equity, in arbitration or before any Governmental Authority, by or against the Company or any Restricted Subsidiary or against any of their properties or revenues that (a) purport to affect or pertain to this Agreement or any other Loan Document or any of the transactions contemplated hereby, or (b) that are reasonably likely to be adversely determined and, if so determined, either individually or in the aggregate would reasonably be expected to have a Material Adverse Effect.</w:t>
      </w:r>
    </w:p>
    <w:p>
      <w:pPr>
        <w:spacing w:after="0" w:line="149" w:lineRule="exact"/>
        <w:rPr>
          <w:sz w:val="20"/>
          <w:szCs w:val="20"/>
          <w:color w:val="auto"/>
        </w:rPr>
      </w:pPr>
    </w:p>
    <w:p>
      <w:pPr>
        <w:ind w:left="289" w:hanging="289"/>
        <w:spacing w:after="0"/>
        <w:tabs>
          <w:tab w:leader="none" w:pos="289"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No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79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161" w:lineRule="exact"/>
        <w:rPr>
          <w:sz w:val="20"/>
          <w:szCs w:val="20"/>
          <w:color w:val="auto"/>
        </w:rPr>
      </w:pPr>
    </w:p>
    <w:p>
      <w:pPr>
        <w:ind w:left="69" w:right="20" w:firstLine="648"/>
        <w:spacing w:after="0" w:line="229" w:lineRule="auto"/>
        <w:rPr>
          <w:sz w:val="20"/>
          <w:szCs w:val="20"/>
          <w:color w:val="auto"/>
        </w:rPr>
      </w:pPr>
      <w:r>
        <w:rPr>
          <w:rFonts w:ascii="Arial" w:cs="Arial" w:eastAsia="Arial" w:hAnsi="Arial"/>
          <w:sz w:val="20"/>
          <w:szCs w:val="20"/>
          <w:color w:val="auto"/>
        </w:rPr>
        <w:t>No Default has occurred and is continuing or would result from the consummation of the transactions contemplated by this Agreement or any other Loan Document.</w:t>
      </w:r>
    </w:p>
    <w:p>
      <w:pPr>
        <w:spacing w:after="0" w:line="149" w:lineRule="exact"/>
        <w:rPr>
          <w:sz w:val="20"/>
          <w:szCs w:val="20"/>
          <w:color w:val="auto"/>
        </w:rPr>
      </w:pPr>
    </w:p>
    <w:p>
      <w:pPr>
        <w:ind w:left="289" w:hanging="289"/>
        <w:spacing w:after="0"/>
        <w:tabs>
          <w:tab w:leader="none" w:pos="289"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Ownership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44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36" w:lineRule="auto"/>
        <w:rPr>
          <w:sz w:val="20"/>
          <w:szCs w:val="20"/>
          <w:color w:val="auto"/>
        </w:rPr>
      </w:pPr>
      <w:r>
        <w:rPr>
          <w:rFonts w:ascii="Arial" w:cs="Arial" w:eastAsia="Arial" w:hAnsi="Arial"/>
          <w:sz w:val="18"/>
          <w:szCs w:val="18"/>
          <w:color w:val="auto"/>
        </w:rPr>
        <w:t>Each Loan Party and each of its Restricted Subsidiaries has good and marketable title in fee simple to, or valid leasehold interests in, all real property necessary or material to the present conduct of its business, in each case, except for defects in title that do not materially interfere with its ability to conduct its business or to utilize such properties for their intended purposes or where the failure to have such title or interests would not, individually or in the aggregate, reasonably be expected to have a Material Adverse Effect.</w:t>
      </w:r>
    </w:p>
    <w:p>
      <w:pPr>
        <w:spacing w:after="0" w:line="152" w:lineRule="exact"/>
        <w:rPr>
          <w:sz w:val="20"/>
          <w:szCs w:val="20"/>
          <w:color w:val="auto"/>
        </w:rPr>
      </w:pPr>
    </w:p>
    <w:p>
      <w:pPr>
        <w:ind w:left="289" w:hanging="289"/>
        <w:spacing w:after="0"/>
        <w:tabs>
          <w:tab w:leader="none" w:pos="289"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Environmental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6891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44" w:lineRule="auto"/>
        <w:rPr>
          <w:sz w:val="20"/>
          <w:szCs w:val="20"/>
          <w:color w:val="auto"/>
        </w:rPr>
      </w:pPr>
      <w:r>
        <w:rPr>
          <w:rFonts w:ascii="Arial" w:cs="Arial" w:eastAsia="Arial" w:hAnsi="Arial"/>
          <w:sz w:val="18"/>
          <w:szCs w:val="18"/>
          <w:color w:val="auto"/>
        </w:rPr>
        <w:t>The Loan Parties and their respective Restricted Subsidiaries (a) are in compliance with applicable Environmental Laws, which compliance includes possession of and compliance with all required Environmental Permits, (b) are not, to the knowledge of the Loan Parties, subject to any Environmental Liability, and (c) have not received written notice of any claim pursuant to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309"/>
          </w:cols>
          <w:pgMar w:left="251" w:top="1405" w:right="339" w:bottom="1440" w:gutter="0" w:footer="0" w:header="0"/>
        </w:sectPr>
      </w:pPr>
    </w:p>
    <w:bookmarkStart w:id="139" w:name="page140"/>
    <w:bookmarkEnd w:id="139"/>
    <w:p>
      <w:pPr>
        <w:ind w:left="80" w:right="20"/>
        <w:spacing w:after="0" w:line="229" w:lineRule="auto"/>
        <w:rPr>
          <w:sz w:val="20"/>
          <w:szCs w:val="20"/>
          <w:color w:val="auto"/>
        </w:rPr>
      </w:pPr>
      <w:r>
        <w:rPr>
          <w:rFonts w:ascii="Arial" w:cs="Arial" w:eastAsia="Arial" w:hAnsi="Arial"/>
          <w:sz w:val="20"/>
          <w:szCs w:val="20"/>
          <w:color w:val="auto"/>
        </w:rPr>
        <w:t>Laws or with respect to the release of or exposure to Hazardous Materials, excluding any matters with respect to the foregoing that would not, individually or in the aggregate, reasonably be expected to have a Material Adverse Effect.</w:t>
      </w:r>
    </w:p>
    <w:p>
      <w:pPr>
        <w:spacing w:after="0" w:line="149" w:lineRule="exact"/>
        <w:rPr>
          <w:sz w:val="20"/>
          <w:szCs w:val="20"/>
          <w:color w:val="auto"/>
        </w:rPr>
      </w:pPr>
    </w:p>
    <w:p>
      <w:pPr>
        <w:ind w:left="300" w:hanging="289"/>
        <w:spacing w:after="0"/>
        <w:tabs>
          <w:tab w:leader="none" w:pos="30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17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-267970</wp:posOffset>
            </wp:positionV>
            <wp:extent cx="787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-10795</wp:posOffset>
            </wp:positionV>
            <wp:extent cx="5016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15" w:lineRule="auto"/>
        <w:rPr>
          <w:sz w:val="20"/>
          <w:szCs w:val="20"/>
          <w:color w:val="auto"/>
        </w:rPr>
      </w:pPr>
      <w:r>
        <w:rPr>
          <w:rFonts w:ascii="Arial" w:cs="Arial" w:eastAsia="Arial" w:hAnsi="Arial"/>
          <w:sz w:val="19"/>
          <w:szCs w:val="19"/>
          <w:color w:val="auto"/>
        </w:rPr>
        <w:t>Each Loan Party and their respective Restricted Subsidiaries have filed, or caused to be filed, all material federal income Tax and other material Tax returns and reports required to be filed, and have paid, caused to be paid or made a provision for the payment of, all material federal income Taxes and other material Taxes required to be paid by it except (a) to the extent that the failure to do so would not reasonably be expected to result in a Material Adverse Effect, or (b) those which are being contested in good faith by appropriate proceedings and for which adequate reserves have been provided in accordance with GAAP. There is no proposed tax assessment against any Loan Party or any of their respective Restricted Subsidiaries that would, if made, have a Material Adverse Effect. As of the Closing Date, neither the Company nor any Restricted Subsidiary is party to any tax sharing agreement, other than (i) an agreement solely among any of the Company and its Subsidiaries and (ii) any commercial agreement entered into with third parties in the ordinary course of business not primarily related to Taxes.</w:t>
      </w:r>
    </w:p>
    <w:p>
      <w:pPr>
        <w:spacing w:after="0" w:line="155" w:lineRule="exact"/>
        <w:rPr>
          <w:sz w:val="20"/>
          <w:szCs w:val="20"/>
          <w:color w:val="auto"/>
        </w:rPr>
      </w:pPr>
    </w:p>
    <w:p>
      <w:pPr>
        <w:jc w:val="both"/>
        <w:ind w:left="80" w:firstLine="648"/>
        <w:spacing w:after="0" w:line="218" w:lineRule="auto"/>
        <w:rPr>
          <w:sz w:val="20"/>
          <w:szCs w:val="20"/>
          <w:color w:val="auto"/>
        </w:rPr>
      </w:pPr>
      <w:r>
        <w:rPr>
          <w:rFonts w:ascii="Arial" w:cs="Arial" w:eastAsia="Arial" w:hAnsi="Arial"/>
          <w:sz w:val="20"/>
          <w:szCs w:val="20"/>
          <w:color w:val="auto"/>
        </w:rPr>
        <w:t>The Company is not required to make any deduction on account of Irish tax from any payment it may make under any Loan Document to a Lender which is an Irish Qualifying Lender subject, in the case of an Irish Treaty Lender, to the completion of any necessary procedural formalities.</w:t>
      </w:r>
    </w:p>
    <w:p>
      <w:pPr>
        <w:spacing w:after="0" w:line="150" w:lineRule="exact"/>
        <w:rPr>
          <w:sz w:val="20"/>
          <w:szCs w:val="20"/>
          <w:color w:val="auto"/>
        </w:rPr>
      </w:pPr>
    </w:p>
    <w:p>
      <w:pPr>
        <w:ind w:left="300" w:hanging="289"/>
        <w:spacing w:after="0"/>
        <w:tabs>
          <w:tab w:leader="none" w:pos="30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ERISA Compliance.</w:t>
      </w:r>
    </w:p>
    <w:p>
      <w:pPr>
        <w:spacing w:after="0" w:line="181" w:lineRule="exact"/>
        <w:rPr>
          <w:rFonts w:ascii="Arial" w:cs="Arial" w:eastAsia="Arial" w:hAnsi="Arial"/>
          <w:sz w:val="20"/>
          <w:szCs w:val="20"/>
          <w:b w:val="1"/>
          <w:bCs w:val="1"/>
          <w:color w:val="auto"/>
        </w:rPr>
      </w:pPr>
    </w:p>
    <w:p>
      <w:pPr>
        <w:jc w:val="both"/>
        <w:ind w:left="740" w:firstLine="644"/>
        <w:spacing w:after="0" w:line="214" w:lineRule="auto"/>
        <w:tabs>
          <w:tab w:leader="none" w:pos="202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except for instances of noncompliance that, either individually or in the aggregate, have not resulted or would not reasonably be expected to result in a Material Adverse Effect.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Loan Parties, nothing has occurred that would prevent or cause the loss of such tax-qualified status other than qualification defects that can be corrected under the Employee Plans Compliance Resolution System described in IRS Revenue Procedure 2021-30 where such correction would not reasonably be expected to result in a Material Adverse Effect.</w:t>
      </w:r>
    </w:p>
    <w:p>
      <w:pPr>
        <w:spacing w:after="0" w:line="157" w:lineRule="exact"/>
        <w:rPr>
          <w:rFonts w:ascii="Arial" w:cs="Arial" w:eastAsia="Arial" w:hAnsi="Arial"/>
          <w:sz w:val="19"/>
          <w:szCs w:val="19"/>
          <w:color w:val="auto"/>
        </w:rPr>
      </w:pPr>
    </w:p>
    <w:p>
      <w:pPr>
        <w:jc w:val="both"/>
        <w:ind w:left="740" w:firstLine="644"/>
        <w:spacing w:after="0" w:line="213" w:lineRule="auto"/>
        <w:tabs>
          <w:tab w:leader="none" w:pos="2024"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There are no pending or, to the knowledge of the Loan Parties, threatened claims, actions or lawsuits, or action by any Governmental Authority, with respect to any Plan that would reasonably be expected to have a Material Adverse Effect. There has been no non-exempt prohibited transaction or violation of the fiduciary responsibility rules with respect to any Plan that has resulted or would reasonably be expected to result in a Material Adverse Effect.</w:t>
      </w:r>
    </w:p>
    <w:p>
      <w:pPr>
        <w:spacing w:after="0" w:line="155" w:lineRule="exact"/>
        <w:rPr>
          <w:rFonts w:ascii="Arial" w:cs="Arial" w:eastAsia="Arial" w:hAnsi="Arial"/>
          <w:sz w:val="20"/>
          <w:szCs w:val="20"/>
          <w:color w:val="auto"/>
        </w:rPr>
      </w:pPr>
    </w:p>
    <w:p>
      <w:pPr>
        <w:jc w:val="both"/>
        <w:ind w:left="740" w:firstLine="644"/>
        <w:spacing w:after="0" w:line="229" w:lineRule="auto"/>
        <w:tabs>
          <w:tab w:leader="none" w:pos="202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Except as would not, either individually or in the aggregate, reasonably be expected to result in, a Material Adverse Effect: (i) no ERISA Event has occurred, and no Loan Party nor any ERISA Affiliate is aware of any fact, event or circumstance that would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(iii) no Loan Party nor any ERISA Affiliate has incurred any liability to the PBGC other than for the payment of premiums, and there are no premium payments which have become due that are unpaid; and (iv) neither the Company nor any ERISA Affiliate has engaged in a transaction that could be subject to Section 4069 or Section 4212(c)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-2958465</wp:posOffset>
            </wp:positionV>
            <wp:extent cx="12661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320"/>
          </w:cols>
          <w:pgMar w:left="240" w:top="1405" w:right="339" w:bottom="1440" w:gutter="0" w:footer="0" w:header="0"/>
        </w:sectPr>
      </w:pPr>
    </w:p>
    <w:bookmarkStart w:id="140" w:name="page141"/>
    <w:bookmarkEnd w:id="140"/>
    <w:p>
      <w:pPr>
        <w:jc w:val="both"/>
        <w:ind w:left="729" w:firstLine="644"/>
        <w:spacing w:after="0" w:line="224" w:lineRule="auto"/>
        <w:tabs>
          <w:tab w:leader="none" w:pos="201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With respect to each scheme or arrangement mandated by a government other than the United States (a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Government Scheme or Arrangement</w:t>
      </w:r>
      <w:r>
        <w:rPr>
          <w:rFonts w:ascii="Arial" w:cs="Arial" w:eastAsia="Arial" w:hAnsi="Arial"/>
          <w:sz w:val="19"/>
          <w:szCs w:val="19"/>
          <w:color w:val="auto"/>
        </w:rPr>
        <w:t>”) and with respect to each employee benefit plan maintained or contributed to by any Loan Party or any of their respective Restricted Subsidiaries that is not subject to United States Law (a “</w:t>
      </w:r>
      <w:r>
        <w:rPr>
          <w:rFonts w:ascii="Arial" w:cs="Arial" w:eastAsia="Arial" w:hAnsi="Arial"/>
          <w:sz w:val="19"/>
          <w:szCs w:val="19"/>
          <w:u w:val="single" w:color="auto"/>
          <w:color w:val="auto"/>
        </w:rPr>
        <w:t>Foreign Plan</w:t>
      </w:r>
      <w:r>
        <w:rPr>
          <w:rFonts w:ascii="Arial" w:cs="Arial" w:eastAsia="Arial" w:hAnsi="Arial"/>
          <w:sz w:val="19"/>
          <w:szCs w:val="19"/>
          <w:color w:val="auto"/>
        </w:rPr>
        <w:t>”), except as would not, individually or in the aggregate, reasonably be expected to result in a Material Adverse Effect:</w:t>
      </w:r>
    </w:p>
    <w:p>
      <w:pPr>
        <w:spacing w:after="0" w:line="156" w:lineRule="exact"/>
        <w:rPr>
          <w:rFonts w:ascii="Arial" w:cs="Arial" w:eastAsia="Arial" w:hAnsi="Arial"/>
          <w:sz w:val="19"/>
          <w:szCs w:val="19"/>
          <w:color w:val="auto"/>
        </w:rPr>
      </w:pPr>
    </w:p>
    <w:p>
      <w:pPr>
        <w:jc w:val="both"/>
        <w:ind w:left="1369" w:firstLine="652"/>
        <w:spacing w:after="0" w:line="218" w:lineRule="auto"/>
        <w:tabs>
          <w:tab w:leader="none" w:pos="2662" w:val="left"/>
        </w:tabs>
        <w:numPr>
          <w:ilvl w:val="1"/>
          <w:numId w:val="150"/>
        </w:numPr>
        <w:rPr>
          <w:rFonts w:ascii="Arial" w:cs="Arial" w:eastAsia="Arial" w:hAnsi="Arial"/>
          <w:sz w:val="20"/>
          <w:szCs w:val="20"/>
          <w:color w:val="auto"/>
        </w:rPr>
      </w:pPr>
      <w:r>
        <w:rPr>
          <w:rFonts w:ascii="Arial" w:cs="Arial" w:eastAsia="Arial" w:hAnsi="Arial"/>
          <w:sz w:val="20"/>
          <w:szCs w:val="20"/>
          <w:color w:val="auto"/>
        </w:rPr>
        <w:t>any employer and employee contributions required by law or by the terms of any Foreign Government Scheme or Arrangement or any Foreign Plan have been made, or, if applicable, accrued, in accordance with normal accounting practices of the jurisdiction in which such plan is maintained;</w:t>
      </w:r>
    </w:p>
    <w:p>
      <w:pPr>
        <w:spacing w:after="0" w:line="156" w:lineRule="exact"/>
        <w:rPr>
          <w:rFonts w:ascii="Arial" w:cs="Arial" w:eastAsia="Arial" w:hAnsi="Arial"/>
          <w:sz w:val="20"/>
          <w:szCs w:val="20"/>
          <w:color w:val="auto"/>
        </w:rPr>
      </w:pPr>
    </w:p>
    <w:p>
      <w:pPr>
        <w:jc w:val="both"/>
        <w:ind w:left="1369" w:firstLine="652"/>
        <w:spacing w:after="0" w:line="207" w:lineRule="auto"/>
        <w:tabs>
          <w:tab w:leader="none" w:pos="2663" w:val="left"/>
        </w:tabs>
        <w:numPr>
          <w:ilvl w:val="1"/>
          <w:numId w:val="150"/>
        </w:numPr>
        <w:rPr>
          <w:rFonts w:ascii="Arial" w:cs="Arial" w:eastAsia="Arial" w:hAnsi="Arial"/>
          <w:sz w:val="20"/>
          <w:szCs w:val="20"/>
          <w:color w:val="auto"/>
        </w:rPr>
      </w:pPr>
      <w:r>
        <w:rPr>
          <w:rFonts w:ascii="Arial" w:cs="Arial" w:eastAsia="Arial" w:hAnsi="Arial"/>
          <w:sz w:val="20"/>
          <w:szCs w:val="20"/>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of the jurisdiction in which such plan is maintained; and</w:t>
      </w:r>
    </w:p>
    <w:p>
      <w:pPr>
        <w:spacing w:after="0" w:line="159" w:lineRule="exact"/>
        <w:rPr>
          <w:rFonts w:ascii="Arial" w:cs="Arial" w:eastAsia="Arial" w:hAnsi="Arial"/>
          <w:sz w:val="20"/>
          <w:szCs w:val="20"/>
          <w:color w:val="auto"/>
        </w:rPr>
      </w:pPr>
    </w:p>
    <w:p>
      <w:pPr>
        <w:ind w:left="1369" w:firstLine="652"/>
        <w:spacing w:after="0" w:line="229" w:lineRule="auto"/>
        <w:tabs>
          <w:tab w:leader="none" w:pos="2664" w:val="left"/>
        </w:tabs>
        <w:numPr>
          <w:ilvl w:val="1"/>
          <w:numId w:val="150"/>
        </w:numPr>
        <w:rPr>
          <w:rFonts w:ascii="Arial" w:cs="Arial" w:eastAsia="Arial" w:hAnsi="Arial"/>
          <w:sz w:val="20"/>
          <w:szCs w:val="20"/>
          <w:color w:val="auto"/>
        </w:rPr>
      </w:pPr>
      <w:r>
        <w:rPr>
          <w:rFonts w:ascii="Arial" w:cs="Arial" w:eastAsia="Arial" w:hAnsi="Arial"/>
          <w:sz w:val="20"/>
          <w:szCs w:val="20"/>
          <w:color w:val="auto"/>
        </w:rPr>
        <w:t>each Foreign Plan required to be registered has been registered and has been maintained in good standing with applicable regulatory authorities.</w:t>
      </w:r>
    </w:p>
    <w:p>
      <w:pPr>
        <w:spacing w:after="0" w:line="149" w:lineRule="exact"/>
        <w:rPr>
          <w:sz w:val="20"/>
          <w:szCs w:val="20"/>
          <w:color w:val="auto"/>
        </w:rPr>
      </w:pPr>
    </w:p>
    <w:p>
      <w:pPr>
        <w:ind w:left="289" w:hanging="289"/>
        <w:spacing w:after="0"/>
        <w:tabs>
          <w:tab w:leader="none" w:pos="289"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Margin Regulations; Investment Company Act.</w:t>
      </w:r>
    </w:p>
    <w:p>
      <w:pPr>
        <w:spacing w:after="0" w:line="181" w:lineRule="exact"/>
        <w:rPr>
          <w:rFonts w:ascii="Arial" w:cs="Arial" w:eastAsia="Arial" w:hAnsi="Arial"/>
          <w:sz w:val="20"/>
          <w:szCs w:val="20"/>
          <w:b w:val="1"/>
          <w:bCs w:val="1"/>
          <w:color w:val="auto"/>
        </w:rPr>
      </w:pPr>
    </w:p>
    <w:p>
      <w:pPr>
        <w:jc w:val="both"/>
        <w:ind w:left="729" w:firstLine="644"/>
        <w:spacing w:after="0" w:line="213" w:lineRule="auto"/>
        <w:tabs>
          <w:tab w:leader="none" w:pos="2015" w:val="left"/>
        </w:tabs>
        <w:numPr>
          <w:ilvl w:val="1"/>
          <w:numId w:val="151"/>
        </w:numPr>
        <w:rPr>
          <w:rFonts w:ascii="Arial" w:cs="Arial" w:eastAsia="Arial" w:hAnsi="Arial"/>
          <w:sz w:val="20"/>
          <w:szCs w:val="20"/>
          <w:color w:val="auto"/>
        </w:rPr>
      </w:pPr>
      <w:r>
        <w:rPr>
          <w:rFonts w:ascii="Arial" w:cs="Arial" w:eastAsia="Arial" w:hAnsi="Arial"/>
          <w:sz w:val="20"/>
          <w:szCs w:val="20"/>
          <w:u w:val="single" w:color="auto"/>
          <w:color w:val="auto"/>
        </w:rPr>
        <w:t>Margin Regulations</w:t>
      </w:r>
      <w:r>
        <w:rPr>
          <w:rFonts w:ascii="Arial" w:cs="Arial" w:eastAsia="Arial" w:hAnsi="Arial"/>
          <w:sz w:val="20"/>
          <w:szCs w:val="20"/>
          <w:color w:val="auto"/>
        </w:rPr>
        <w:t>. None of the Borrowers is engaged, nor will it engage, principally or as one of its important activities, in the business of purchasing or carrying margin stock (within the meaning of Regulation U issued by the FRB), or extending credit for the purpose of purchasing or carrying margin stock, and the proceeds of each Credit Extension will not be used, in each case, in a manner that would violate Regulation U.</w:t>
      </w:r>
    </w:p>
    <w:p>
      <w:pPr>
        <w:spacing w:after="0" w:line="155" w:lineRule="exact"/>
        <w:rPr>
          <w:rFonts w:ascii="Arial" w:cs="Arial" w:eastAsia="Arial" w:hAnsi="Arial"/>
          <w:sz w:val="20"/>
          <w:szCs w:val="20"/>
          <w:color w:val="auto"/>
        </w:rPr>
      </w:pPr>
    </w:p>
    <w:p>
      <w:pPr>
        <w:ind w:left="729" w:firstLine="644"/>
        <w:spacing w:after="0" w:line="229" w:lineRule="auto"/>
        <w:tabs>
          <w:tab w:leader="none" w:pos="2012" w:val="left"/>
        </w:tabs>
        <w:numPr>
          <w:ilvl w:val="1"/>
          <w:numId w:val="151"/>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None of the Loan Parties is or is required to be registered as 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-1021715</wp:posOffset>
            </wp:positionV>
            <wp:extent cx="27279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27960" cy="8255"/>
                    </a:xfrm>
                    <a:prstGeom prst="rect">
                      <a:avLst/>
                    </a:prstGeom>
                    <a:noFill/>
                  </pic:spPr>
                </pic:pic>
              </a:graphicData>
            </a:graphic>
          </wp:anchor>
        </w:drawing>
      </w:r>
    </w:p>
    <w:p>
      <w:pPr>
        <w:spacing w:after="0" w:line="129" w:lineRule="exact"/>
        <w:rPr>
          <w:sz w:val="20"/>
          <w:szCs w:val="20"/>
          <w:color w:val="auto"/>
        </w:rPr>
      </w:pPr>
    </w:p>
    <w:p>
      <w:pPr>
        <w:ind w:left="289" w:hanging="289"/>
        <w:spacing w:after="0"/>
        <w:tabs>
          <w:tab w:leader="none" w:pos="289"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7645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3" w:lineRule="auto"/>
        <w:rPr>
          <w:sz w:val="20"/>
          <w:szCs w:val="20"/>
          <w:color w:val="auto"/>
        </w:rPr>
      </w:pPr>
      <w:r>
        <w:rPr>
          <w:rFonts w:ascii="Arial" w:cs="Arial" w:eastAsia="Arial" w:hAnsi="Arial"/>
          <w:sz w:val="18"/>
          <w:szCs w:val="18"/>
          <w:color w:val="auto"/>
        </w:rPr>
        <w:t>No report, financial statement, certificate or other information furnished in writing by or on behalf of any Loan Party (other than projected financial information, other forward-looking information and projections and information of a general economic or industry nature) to the Administrative Agent or any Lender in connection with the negotiation of this Agreement or any other Loan Document or the transactions contemplated hereby or thereby or delivered hereunder or thereunder (in each case as modified or supplemented by other information so furnished, the “</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when taken as a whole, together with disclosures made by the Company in filings with the SEC, contains any untrue statement of material fact or omits to state any material fact necessary to make the statements therein, in the light of the circumstances under which they were made, not materially misleading, after giving effect to any updates and/or supplements to any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Projections, each Loan Party represents only that such information was prepared in good faith based upon assumptions believed by such Loan Party to be reasonable at the time made; it being understood (a) that such Projections and forecasts are as to future events and are not to be viewed as facts, that such Projections are subject to significant uncertainties and contingencies, many of which are beyond the control of the Company and its Subsidiaries, that no assurance can be given that any particular Projection or forecast will be realized and that actual results during the period or periods covered by any such Projections or forecasts may differ significantly from the projected results and such differences may be material and that such Projections and forecast are not a guarantee of future financial performance and (b) that no representation is made with respect to information of a general economic or industry nature. As of the Closing Date the information included with respect to Vertex Europe and Vertex Ireland, as applicable, in the Beneficial Ownership Certifications delivered to the Administrative Agent (for distribution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309"/>
          </w:cols>
          <w:pgMar w:left="251" w:top="1405" w:right="339" w:bottom="1440" w:gutter="0" w:footer="0" w:header="0"/>
        </w:sectPr>
      </w:pPr>
    </w:p>
    <w:bookmarkStart w:id="141" w:name="page142"/>
    <w:bookmarkEnd w:id="141"/>
    <w:p>
      <w:pPr>
        <w:ind w:left="69"/>
        <w:spacing w:after="0"/>
        <w:rPr>
          <w:sz w:val="20"/>
          <w:szCs w:val="20"/>
          <w:color w:val="auto"/>
        </w:rPr>
      </w:pPr>
      <w:r>
        <w:rPr>
          <w:rFonts w:ascii="Arial" w:cs="Arial" w:eastAsia="Arial" w:hAnsi="Arial"/>
          <w:sz w:val="20"/>
          <w:szCs w:val="20"/>
          <w:color w:val="auto"/>
        </w:rPr>
        <w:t xml:space="preserve">Lender) prior to or on the Closing Date in satisfaction of </w:t>
      </w:r>
      <w:r>
        <w:rPr>
          <w:rFonts w:ascii="Arial" w:cs="Arial" w:eastAsia="Arial" w:hAnsi="Arial"/>
          <w:sz w:val="20"/>
          <w:szCs w:val="20"/>
          <w:u w:val="single" w:color="auto"/>
          <w:color w:val="auto"/>
        </w:rPr>
        <w:t>Section 4.01(h)</w:t>
      </w:r>
      <w:r>
        <w:rPr>
          <w:rFonts w:ascii="Arial" w:cs="Arial" w:eastAsia="Arial" w:hAnsi="Arial"/>
          <w:sz w:val="20"/>
          <w:szCs w:val="20"/>
          <w:color w:val="auto"/>
        </w:rPr>
        <w:t>, is true and correct in all respects.</w:t>
      </w:r>
    </w:p>
    <w:p>
      <w:pPr>
        <w:spacing w:after="0" w:line="169" w:lineRule="exact"/>
        <w:rPr>
          <w:sz w:val="20"/>
          <w:szCs w:val="20"/>
          <w:color w:val="auto"/>
        </w:rPr>
      </w:pPr>
    </w:p>
    <w:p>
      <w:pPr>
        <w:ind w:left="289" w:hanging="289"/>
        <w:spacing w:after="0"/>
        <w:tabs>
          <w:tab w:leader="none" w:pos="289"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4370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4" w:lineRule="auto"/>
        <w:rPr>
          <w:sz w:val="20"/>
          <w:szCs w:val="20"/>
          <w:color w:val="auto"/>
        </w:rPr>
      </w:pPr>
      <w:r>
        <w:rPr>
          <w:rFonts w:ascii="Arial" w:cs="Arial" w:eastAsia="Arial" w:hAnsi="Arial"/>
          <w:sz w:val="19"/>
          <w:szCs w:val="19"/>
          <w:color w:val="auto"/>
        </w:rPr>
        <w:t>Each Loan Party and each Restricted Subsidiary thereof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50" w:lineRule="exact"/>
        <w:rPr>
          <w:sz w:val="20"/>
          <w:szCs w:val="20"/>
          <w:color w:val="auto"/>
        </w:rPr>
      </w:pPr>
    </w:p>
    <w:p>
      <w:pPr>
        <w:ind w:left="289" w:hanging="289"/>
        <w:spacing w:after="0"/>
        <w:tabs>
          <w:tab w:leader="none" w:pos="289" w:val="left"/>
        </w:tabs>
        <w:numPr>
          <w:ilvl w:val="0"/>
          <w:numId w:val="154"/>
        </w:numPr>
        <w:rPr>
          <w:rFonts w:ascii="Arial" w:cs="Arial" w:eastAsia="Arial" w:hAnsi="Arial"/>
          <w:sz w:val="20"/>
          <w:szCs w:val="20"/>
          <w:b w:val="1"/>
          <w:bCs w:val="1"/>
          <w:color w:val="auto"/>
        </w:rPr>
      </w:pPr>
      <w:r>
        <w:rPr>
          <w:rFonts w:ascii="Arial" w:cs="Arial" w:eastAsia="Arial" w:hAnsi="Arial"/>
          <w:sz w:val="20"/>
          <w:szCs w:val="20"/>
          <w:b w:val="1"/>
          <w:bCs w:val="1"/>
          <w:color w:val="auto"/>
        </w:rPr>
        <w:t>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6832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61" w:lineRule="exact"/>
        <w:rPr>
          <w:sz w:val="20"/>
          <w:szCs w:val="20"/>
          <w:color w:val="auto"/>
        </w:rPr>
      </w:pPr>
    </w:p>
    <w:p>
      <w:pPr>
        <w:ind w:left="729"/>
        <w:spacing w:after="0"/>
        <w:rPr>
          <w:sz w:val="20"/>
          <w:szCs w:val="20"/>
          <w:color w:val="auto"/>
        </w:rPr>
      </w:pPr>
      <w:r>
        <w:rPr>
          <w:rFonts w:ascii="Arial" w:cs="Arial" w:eastAsia="Arial" w:hAnsi="Arial"/>
          <w:sz w:val="20"/>
          <w:szCs w:val="20"/>
          <w:color w:val="auto"/>
        </w:rPr>
        <w:t>The Company, together with its Restricted Subsidiaries, on a Consolidated basis are Solvent.</w:t>
      </w:r>
    </w:p>
    <w:p>
      <w:pPr>
        <w:spacing w:after="0" w:line="169" w:lineRule="exact"/>
        <w:rPr>
          <w:sz w:val="20"/>
          <w:szCs w:val="20"/>
          <w:color w:val="auto"/>
        </w:rPr>
      </w:pPr>
    </w:p>
    <w:p>
      <w:pPr>
        <w:ind w:left="289" w:hanging="289"/>
        <w:spacing w:after="0"/>
        <w:tabs>
          <w:tab w:leader="none" w:pos="289"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Sanctions Concerns and Anti-Corruption Laws.</w:t>
      </w:r>
    </w:p>
    <w:p>
      <w:pPr>
        <w:spacing w:after="0" w:line="181" w:lineRule="exact"/>
        <w:rPr>
          <w:rFonts w:ascii="Arial" w:cs="Arial" w:eastAsia="Arial" w:hAnsi="Arial"/>
          <w:sz w:val="20"/>
          <w:szCs w:val="20"/>
          <w:b w:val="1"/>
          <w:bCs w:val="1"/>
          <w:color w:val="auto"/>
        </w:rPr>
      </w:pPr>
    </w:p>
    <w:p>
      <w:pPr>
        <w:jc w:val="both"/>
        <w:ind w:left="729" w:firstLine="644"/>
        <w:spacing w:after="0" w:line="210" w:lineRule="auto"/>
        <w:tabs>
          <w:tab w:leader="none" w:pos="2015" w:val="left"/>
        </w:tabs>
        <w:numPr>
          <w:ilvl w:val="1"/>
          <w:numId w:val="155"/>
        </w:numPr>
        <w:rPr>
          <w:rFonts w:ascii="Arial" w:cs="Arial" w:eastAsia="Arial" w:hAnsi="Arial"/>
          <w:sz w:val="20"/>
          <w:szCs w:val="20"/>
          <w:color w:val="auto"/>
        </w:rPr>
      </w:pPr>
      <w:r>
        <w:rPr>
          <w:rFonts w:ascii="Arial" w:cs="Arial" w:eastAsia="Arial" w:hAnsi="Arial"/>
          <w:sz w:val="20"/>
          <w:szCs w:val="20"/>
          <w:u w:val="single" w:color="auto"/>
          <w:color w:val="auto"/>
        </w:rPr>
        <w:t>Sanctions Concerns</w:t>
      </w:r>
      <w:r>
        <w:rPr>
          <w:rFonts w:ascii="Arial" w:cs="Arial" w:eastAsia="Arial" w:hAnsi="Arial"/>
          <w:sz w:val="20"/>
          <w:szCs w:val="20"/>
          <w:color w:val="auto"/>
        </w:rPr>
        <w:t>. No Loan Party, nor any Subsidiary, nor, to the knowledge of the Company and its Subsidiaries, any director, officer, employee, agent, or affiliate thereof, is an individual or entity that is, or is owned or controlled by one or more individuals or entities that is (i) included on OFAC’s List of Specially Designated Nationals or HMT’s Consolidated List of Financial Sanctions Targets, or (ii) located, organized or resident in a Designated Jurisdiction (such Persons referred to herein as “</w:t>
      </w:r>
      <w:r>
        <w:rPr>
          <w:rFonts w:ascii="Arial" w:cs="Arial" w:eastAsia="Arial" w:hAnsi="Arial"/>
          <w:sz w:val="20"/>
          <w:szCs w:val="20"/>
          <w:u w:val="single" w:color="auto"/>
          <w:color w:val="auto"/>
        </w:rPr>
        <w:t>Sanctioned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Persons</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jc w:val="both"/>
        <w:ind w:left="729" w:firstLine="644"/>
        <w:spacing w:after="0" w:line="213" w:lineRule="auto"/>
        <w:tabs>
          <w:tab w:leader="none" w:pos="2012" w:val="left"/>
        </w:tabs>
        <w:numPr>
          <w:ilvl w:val="1"/>
          <w:numId w:val="155"/>
        </w:numPr>
        <w:rPr>
          <w:rFonts w:ascii="Arial" w:cs="Arial" w:eastAsia="Arial" w:hAnsi="Arial"/>
          <w:sz w:val="20"/>
          <w:szCs w:val="20"/>
          <w:color w:val="auto"/>
        </w:rPr>
      </w:pPr>
      <w:r>
        <w:rPr>
          <w:rFonts w:ascii="Arial" w:cs="Arial" w:eastAsia="Arial" w:hAnsi="Arial"/>
          <w:sz w:val="20"/>
          <w:szCs w:val="20"/>
          <w:u w:val="single" w:color="auto"/>
          <w:color w:val="auto"/>
        </w:rPr>
        <w:t>Anti-Corruption Laws; Sanctions</w:t>
      </w:r>
      <w:r>
        <w:rPr>
          <w:rFonts w:ascii="Arial" w:cs="Arial" w:eastAsia="Arial" w:hAnsi="Arial"/>
          <w:sz w:val="20"/>
          <w:szCs w:val="20"/>
          <w:color w:val="auto"/>
        </w:rPr>
        <w:t>. The Loan Parties and their Subsidiaries have conducted their business in compliance in all material respects with the FCPA, the UK Bribery Act 2010, other similar anti-corruption legislation in other jurisdictions and applicable Sanctions, and have instituted and maintained policies and procedures reasonably designed to promote and achieve compliance in all material respects with such laws and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-1381760</wp:posOffset>
            </wp:positionV>
            <wp:extent cx="27425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2565" cy="8890"/>
                    </a:xfrm>
                    <a:prstGeom prst="rect">
                      <a:avLst/>
                    </a:prstGeom>
                    <a:noFill/>
                  </pic:spPr>
                </pic:pic>
              </a:graphicData>
            </a:graphic>
          </wp:anchor>
        </w:drawing>
      </w:r>
    </w:p>
    <w:p>
      <w:pPr>
        <w:spacing w:after="0" w:line="130" w:lineRule="exact"/>
        <w:rPr>
          <w:sz w:val="20"/>
          <w:szCs w:val="20"/>
          <w:color w:val="auto"/>
        </w:rPr>
      </w:pPr>
    </w:p>
    <w:p>
      <w:pPr>
        <w:ind w:left="289" w:hanging="289"/>
        <w:spacing w:after="0"/>
        <w:tabs>
          <w:tab w:leader="none" w:pos="28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787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87400" cy="8255"/>
                    </a:xfrm>
                    <a:prstGeom prst="rect">
                      <a:avLst/>
                    </a:prstGeom>
                    <a:noFill/>
                  </pic:spPr>
                </pic:pic>
              </a:graphicData>
            </a:graphic>
          </wp:anchor>
        </w:drawing>
      </w:r>
    </w:p>
    <w:p>
      <w:pPr>
        <w:spacing w:after="0" w:line="155" w:lineRule="exact"/>
        <w:rPr>
          <w:sz w:val="20"/>
          <w:szCs w:val="20"/>
          <w:color w:val="auto"/>
        </w:rPr>
      </w:pPr>
    </w:p>
    <w:p>
      <w:pPr>
        <w:ind w:left="289" w:hanging="289"/>
        <w:spacing w:after="0"/>
        <w:tabs>
          <w:tab w:leader="none" w:pos="289"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Covered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1029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61" w:lineRule="exact"/>
        <w:rPr>
          <w:sz w:val="20"/>
          <w:szCs w:val="20"/>
          <w:color w:val="auto"/>
        </w:rPr>
      </w:pPr>
    </w:p>
    <w:p>
      <w:pPr>
        <w:ind w:left="729"/>
        <w:spacing w:after="0"/>
        <w:rPr>
          <w:sz w:val="20"/>
          <w:szCs w:val="20"/>
          <w:color w:val="auto"/>
        </w:rPr>
      </w:pPr>
      <w:r>
        <w:rPr>
          <w:rFonts w:ascii="Arial" w:cs="Arial" w:eastAsia="Arial" w:hAnsi="Arial"/>
          <w:sz w:val="20"/>
          <w:szCs w:val="20"/>
          <w:color w:val="auto"/>
        </w:rPr>
        <w:t>No Loan Party is a Covered Entity.</w:t>
      </w:r>
    </w:p>
    <w:p>
      <w:pPr>
        <w:spacing w:after="0" w:line="169" w:lineRule="exact"/>
        <w:rPr>
          <w:sz w:val="20"/>
          <w:szCs w:val="20"/>
          <w:color w:val="auto"/>
        </w:rPr>
      </w:pPr>
    </w:p>
    <w:p>
      <w:pPr>
        <w:ind w:left="289" w:hanging="289"/>
        <w:spacing w:after="0"/>
        <w:tabs>
          <w:tab w:leader="none" w:pos="289"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p>
    <w:p>
      <w:pPr>
        <w:spacing w:after="0" w:line="175" w:lineRule="exact"/>
        <w:rPr>
          <w:rFonts w:ascii="Arial" w:cs="Arial" w:eastAsia="Arial" w:hAnsi="Arial"/>
          <w:sz w:val="20"/>
          <w:szCs w:val="20"/>
          <w:b w:val="1"/>
          <w:bCs w:val="1"/>
          <w:color w:val="auto"/>
        </w:rPr>
      </w:pPr>
    </w:p>
    <w:p>
      <w:pPr>
        <w:ind w:left="9"/>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  [Reserved].</w:t>
      </w:r>
    </w:p>
    <w:p>
      <w:pPr>
        <w:spacing w:after="0" w:line="175" w:lineRule="exact"/>
        <w:rPr>
          <w:rFonts w:ascii="Arial" w:cs="Arial" w:eastAsia="Arial" w:hAnsi="Arial"/>
          <w:sz w:val="20"/>
          <w:szCs w:val="20"/>
          <w:b w:val="1"/>
          <w:bCs w:val="1"/>
          <w:color w:val="auto"/>
        </w:rPr>
      </w:pPr>
    </w:p>
    <w:p>
      <w:pPr>
        <w:ind w:left="9"/>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  Affected Financial Institutions.</w:t>
      </w:r>
    </w:p>
    <w:p>
      <w:pPr>
        <w:spacing w:after="0" w:line="181" w:lineRule="exact"/>
        <w:rPr>
          <w:rFonts w:ascii="Arial" w:cs="Arial" w:eastAsia="Arial" w:hAnsi="Arial"/>
          <w:sz w:val="20"/>
          <w:szCs w:val="20"/>
          <w:b w:val="1"/>
          <w:bCs w:val="1"/>
          <w:color w:val="auto"/>
        </w:rPr>
      </w:pPr>
    </w:p>
    <w:p>
      <w:pPr>
        <w:ind w:left="729"/>
        <w:spacing w:after="0"/>
        <w:rPr>
          <w:rFonts w:ascii="Arial" w:cs="Arial" w:eastAsia="Arial" w:hAnsi="Arial"/>
          <w:sz w:val="20"/>
          <w:szCs w:val="20"/>
          <w:b w:val="1"/>
          <w:bCs w:val="1"/>
          <w:color w:val="auto"/>
        </w:rPr>
      </w:pPr>
      <w:r>
        <w:rPr>
          <w:rFonts w:ascii="Arial" w:cs="Arial" w:eastAsia="Arial" w:hAnsi="Arial"/>
          <w:sz w:val="20"/>
          <w:szCs w:val="20"/>
          <w:color w:val="auto"/>
        </w:rPr>
        <w:t>No Loan Party is an Affected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-528955</wp:posOffset>
            </wp:positionV>
            <wp:extent cx="7874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87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-271780</wp:posOffset>
            </wp:positionV>
            <wp:extent cx="18345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49" w:lineRule="exact"/>
        <w:rPr>
          <w:sz w:val="20"/>
          <w:szCs w:val="20"/>
          <w:color w:val="auto"/>
        </w:rPr>
      </w:pPr>
    </w:p>
    <w:p>
      <w:pPr>
        <w:ind w:left="289" w:hanging="289"/>
        <w:spacing w:after="0"/>
        <w:tabs>
          <w:tab w:leader="none" w:pos="289"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as to Designated Foreign Borrowers.</w:t>
      </w:r>
    </w:p>
    <w:p>
      <w:pPr>
        <w:spacing w:after="0" w:line="181" w:lineRule="exact"/>
        <w:rPr>
          <w:rFonts w:ascii="Arial" w:cs="Arial" w:eastAsia="Arial" w:hAnsi="Arial"/>
          <w:sz w:val="20"/>
          <w:szCs w:val="20"/>
          <w:b w:val="1"/>
          <w:bCs w:val="1"/>
          <w:color w:val="auto"/>
        </w:rPr>
      </w:pPr>
    </w:p>
    <w:p>
      <w:pPr>
        <w:jc w:val="both"/>
        <w:ind w:left="729" w:firstLine="644"/>
        <w:spacing w:after="0" w:line="228" w:lineRule="auto"/>
        <w:tabs>
          <w:tab w:leader="none" w:pos="201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Each Designated Foreign Borrower is subject to civil and commercial Laws with respect to its obligations under this Agreement and the other Loan Documents to which it is a party (collectively as to such Designated Foreign Borrower, the “</w:t>
      </w:r>
      <w:r>
        <w:rPr>
          <w:rFonts w:ascii="Arial" w:cs="Arial" w:eastAsia="Arial" w:hAnsi="Arial"/>
          <w:sz w:val="18"/>
          <w:szCs w:val="18"/>
          <w:u w:val="single" w:color="auto"/>
          <w:color w:val="auto"/>
        </w:rPr>
        <w:t>Applicable Designated Foreign Borrower Documents</w:t>
      </w:r>
      <w:r>
        <w:rPr>
          <w:rFonts w:ascii="Arial" w:cs="Arial" w:eastAsia="Arial" w:hAnsi="Arial"/>
          <w:sz w:val="18"/>
          <w:szCs w:val="18"/>
          <w:color w:val="auto"/>
        </w:rPr>
        <w:t>”), and the execution, delivery and performance by such Designated Foreign Borrower of the Applicable Designated Foreign Borrower Documents constitute and will constitute private and commercial acts and not public or governmental acts. Neither such Designated Foreign Borrower nor any of its property has any immunity from jurisdiction of any court or from any legal process (whether through service or notice, attachment prior to judgment, attachment in aid of execution, execution or otherwise) under the Laws of the jurisdiction in which such Designated Foreign Borrower is organized and existing in respect of its obligations under the Applicable Designated Foreign Borrower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-1124585</wp:posOffset>
            </wp:positionV>
            <wp:extent cx="30245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245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309"/>
          </w:cols>
          <w:pgMar w:left="251" w:top="1405" w:right="339" w:bottom="1440" w:gutter="0" w:footer="0" w:header="0"/>
        </w:sectPr>
      </w:pPr>
    </w:p>
    <w:bookmarkStart w:id="142" w:name="page143"/>
    <w:bookmarkEnd w:id="142"/>
    <w:p>
      <w:pPr>
        <w:jc w:val="both"/>
        <w:ind w:left="729" w:firstLine="644"/>
        <w:spacing w:after="0" w:line="213" w:lineRule="auto"/>
        <w:tabs>
          <w:tab w:leader="none" w:pos="201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Applicable Designated Foreign Borrower Documents are in proper legal form under the Laws of the jurisdiction in which such Designated Foreign Borrower is organized and existing for the enforcement thereof against such Designated Foreign Borrower under the Laws of such jurisdiction, and to ensure the legality, validity, enforceability, priority or admissibility in evidence of the Applicable Designated Foreign Borrower Documents. It is not necessary to ensure the legality, validity, enforceability, priority or admissibility in evidence of the Applicable Designated Foreign Borrower Documents that the Applicable Designated Foreign Borrower Documents be filed, registered or recorded with, or executed or notarized before, any court or other authority in the jurisdiction in which such Designated Foreign Borrower is organized and existing or that any registration charge or stamp or similar tax be paid on or in respect of the Applicable Designated Foreign Borrower Documents or any other document, except for (i) any such filing, registration, recording, execution or notarization as has been made or is not required to be made until the Applicable Designated Foreign Borrower Document or any other document is sought to be enforced and (ii) any charge or tax as has been timely paid.</w:t>
      </w:r>
    </w:p>
    <w:p>
      <w:pPr>
        <w:spacing w:after="0" w:line="162" w:lineRule="exact"/>
        <w:rPr>
          <w:rFonts w:ascii="Arial" w:cs="Arial" w:eastAsia="Arial" w:hAnsi="Arial"/>
          <w:sz w:val="19"/>
          <w:szCs w:val="19"/>
          <w:color w:val="auto"/>
        </w:rPr>
      </w:pPr>
    </w:p>
    <w:p>
      <w:pPr>
        <w:jc w:val="both"/>
        <w:ind w:left="729" w:firstLine="644"/>
        <w:spacing w:after="0" w:line="236" w:lineRule="auto"/>
        <w:tabs>
          <w:tab w:leader="none" w:pos="20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purposes of Regulation (EU) 2015/848 of the European Parliament and of the Council of 20 May 2015 on insolvency proceedings (recast) (the “</w:t>
      </w:r>
      <w:r>
        <w:rPr>
          <w:rFonts w:ascii="Arial" w:cs="Arial" w:eastAsia="Arial" w:hAnsi="Arial"/>
          <w:sz w:val="18"/>
          <w:szCs w:val="18"/>
          <w:u w:val="single" w:color="auto"/>
          <w:color w:val="auto"/>
        </w:rPr>
        <w:t>Regulation</w:t>
      </w:r>
      <w:r>
        <w:rPr>
          <w:rFonts w:ascii="Arial" w:cs="Arial" w:eastAsia="Arial" w:hAnsi="Arial"/>
          <w:sz w:val="18"/>
          <w:szCs w:val="18"/>
          <w:color w:val="auto"/>
        </w:rPr>
        <w:t>”), the centre of main interest (as that term is used in Article 3(1) of the Regulation) for Vertex Europe and Vertex Ireland is situated in its jurisdiction of incorporation and, in each case, neither Vertex Europe nor Vertex Ireland has any “establishment” (as that term is used in Article 2(10) of the Regulation) in any other jurisdiction.</w:t>
      </w:r>
    </w:p>
    <w:p>
      <w:pPr>
        <w:spacing w:after="0" w:line="133" w:lineRule="exact"/>
        <w:rPr>
          <w:sz w:val="20"/>
          <w:szCs w:val="20"/>
          <w:color w:val="auto"/>
        </w:rPr>
      </w:pPr>
    </w:p>
    <w:p>
      <w:pPr>
        <w:ind w:left="5049"/>
        <w:spacing w:after="0"/>
        <w:rPr>
          <w:sz w:val="20"/>
          <w:szCs w:val="20"/>
          <w:color w:val="auto"/>
        </w:rPr>
      </w:pPr>
      <w:r>
        <w:rPr>
          <w:rFonts w:ascii="Arial" w:cs="Arial" w:eastAsia="Arial" w:hAnsi="Arial"/>
          <w:sz w:val="20"/>
          <w:szCs w:val="20"/>
          <w:b w:val="1"/>
          <w:bCs w:val="1"/>
          <w:color w:val="auto"/>
        </w:rPr>
        <w:t>ARTICLE VI</w:t>
      </w:r>
    </w:p>
    <w:p>
      <w:pPr>
        <w:ind w:left="4349"/>
        <w:spacing w:after="0"/>
        <w:rPr>
          <w:sz w:val="20"/>
          <w:szCs w:val="20"/>
          <w:color w:val="auto"/>
        </w:rPr>
      </w:pPr>
      <w:r>
        <w:rPr>
          <w:rFonts w:ascii="Arial" w:cs="Arial" w:eastAsia="Arial" w:hAnsi="Arial"/>
          <w:sz w:val="20"/>
          <w:szCs w:val="20"/>
          <w:b w:val="1"/>
          <w:bCs w:val="1"/>
          <w:color w:val="auto"/>
        </w:rPr>
        <w:t>AFFIRMATIVE COVENANTS</w:t>
      </w:r>
    </w:p>
    <w:p>
      <w:pPr>
        <w:spacing w:after="0" w:line="159"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20"/>
          <w:szCs w:val="20"/>
          <w:color w:val="auto"/>
        </w:rPr>
        <w:t xml:space="preserve">Each of the Loan Parties hereby covenants and agrees that on the Closing Date and thereafter until the Facility Termination Date, such Loan Party shall, and shall cause each of its Restricted Subsidiaries (or, in the case of </w:t>
      </w:r>
      <w:r>
        <w:rPr>
          <w:rFonts w:ascii="Arial" w:cs="Arial" w:eastAsia="Arial" w:hAnsi="Arial"/>
          <w:sz w:val="20"/>
          <w:szCs w:val="20"/>
          <w:u w:val="single" w:color="auto"/>
          <w:color w:val="auto"/>
        </w:rPr>
        <w:t>Section 6.16</w:t>
      </w:r>
      <w:r>
        <w:rPr>
          <w:rFonts w:ascii="Arial" w:cs="Arial" w:eastAsia="Arial" w:hAnsi="Arial"/>
          <w:sz w:val="20"/>
          <w:szCs w:val="20"/>
          <w:color w:val="auto"/>
        </w:rPr>
        <w:t>, shall cause each of its Subsidiaries) to:</w:t>
      </w:r>
    </w:p>
    <w:p>
      <w:pPr>
        <w:spacing w:after="0" w:line="150" w:lineRule="exact"/>
        <w:rPr>
          <w:sz w:val="20"/>
          <w:szCs w:val="20"/>
          <w:color w:val="auto"/>
        </w:rPr>
      </w:pPr>
    </w:p>
    <w:p>
      <w:pPr>
        <w:ind w:left="289" w:hanging="289"/>
        <w:spacing w:after="0"/>
        <w:tabs>
          <w:tab w:leader="none" w:pos="289"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354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61" w:lineRule="exact"/>
        <w:rPr>
          <w:sz w:val="20"/>
          <w:szCs w:val="20"/>
          <w:color w:val="auto"/>
        </w:rPr>
      </w:pPr>
    </w:p>
    <w:p>
      <w:pPr>
        <w:ind w:left="729"/>
        <w:spacing w:after="0"/>
        <w:rPr>
          <w:sz w:val="20"/>
          <w:szCs w:val="20"/>
          <w:color w:val="auto"/>
        </w:rPr>
      </w:pPr>
      <w:r>
        <w:rPr>
          <w:rFonts w:ascii="Arial" w:cs="Arial" w:eastAsia="Arial" w:hAnsi="Arial"/>
          <w:sz w:val="20"/>
          <w:szCs w:val="20"/>
          <w:color w:val="auto"/>
        </w:rPr>
        <w:t>Deliver to the Administrative Agent (for further distribution to each Lender):</w:t>
      </w:r>
    </w:p>
    <w:p>
      <w:pPr>
        <w:spacing w:after="0" w:line="175" w:lineRule="exact"/>
        <w:rPr>
          <w:sz w:val="20"/>
          <w:szCs w:val="20"/>
          <w:color w:val="auto"/>
        </w:rPr>
      </w:pPr>
    </w:p>
    <w:p>
      <w:pPr>
        <w:jc w:val="both"/>
        <w:ind w:left="729" w:firstLine="644"/>
        <w:spacing w:after="0" w:line="227" w:lineRule="auto"/>
        <w:tabs>
          <w:tab w:leader="none" w:pos="201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As soon as available, but in any event within ninety (90) days after the end of each fiscal year of the Company,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Ernst &amp; Young LLP or any other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(except for any qualification pertaining to a maturity occurring under this Agreement within twelve (12) months of the relevant audit).</w:t>
      </w:r>
    </w:p>
    <w:p>
      <w:pPr>
        <w:spacing w:after="0" w:line="155" w:lineRule="exact"/>
        <w:rPr>
          <w:rFonts w:ascii="Arial" w:cs="Arial" w:eastAsia="Arial" w:hAnsi="Arial"/>
          <w:sz w:val="18"/>
          <w:szCs w:val="18"/>
          <w:color w:val="auto"/>
        </w:rPr>
      </w:pPr>
    </w:p>
    <w:p>
      <w:pPr>
        <w:jc w:val="both"/>
        <w:ind w:left="729" w:firstLine="644"/>
        <w:spacing w:after="0" w:line="204" w:lineRule="auto"/>
        <w:tabs>
          <w:tab w:leader="none" w:pos="2012"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Quarterly Financial Statements</w:t>
      </w:r>
      <w:r>
        <w:rPr>
          <w:rFonts w:ascii="Arial" w:cs="Arial" w:eastAsia="Arial" w:hAnsi="Arial"/>
          <w:sz w:val="20"/>
          <w:szCs w:val="20"/>
          <w:color w:val="auto"/>
        </w:rPr>
        <w:t>. As soon as available, but in any event within forty-five (45) days after the end of each of the first three (3) fiscal quarters of each fiscal year of the Company (commencing with the fiscal quarter ended September 30, 2022), a Consolidated balance sheet of the Company and its Subsidiaries as at the end of such fiscal quarter, and the related Consolidated statements of income or operations, changes in shareholders’ equity and cash flows for such fiscal quarter and for the portion of the Company’s fiscal year then ended, setting forth in each case in comparative form the figures for the corresponding fiscal quarter of the previous fiscal year and the corresponding portion of the previous fiscal year, all in reasonable detail and prepared in accordance with GAAP, such Consolidated statements to be certified by the chief executive officer, chief financial officer, treasurer or controller who is a Responsible Officer of the Company as fairly presenting in all material respects the financial condition,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309"/>
          </w:cols>
          <w:pgMar w:left="251" w:top="1405" w:right="339" w:bottom="1440" w:gutter="0" w:footer="0" w:header="0"/>
        </w:sectPr>
      </w:pPr>
    </w:p>
    <w:bookmarkStart w:id="143" w:name="page144"/>
    <w:bookmarkEnd w:id="143"/>
    <w:p>
      <w:pPr>
        <w:ind w:left="729"/>
        <w:spacing w:after="0" w:line="229" w:lineRule="auto"/>
        <w:rPr>
          <w:sz w:val="20"/>
          <w:szCs w:val="20"/>
          <w:color w:val="auto"/>
        </w:rPr>
      </w:pPr>
      <w:r>
        <w:rPr>
          <w:rFonts w:ascii="Arial" w:cs="Arial" w:eastAsia="Arial" w:hAnsi="Arial"/>
          <w:sz w:val="20"/>
          <w:szCs w:val="20"/>
          <w:color w:val="auto"/>
        </w:rPr>
        <w:t>of operations, shareholders’ equity and cash flows of the Company and its Subsidiaries, subject only to normal year-end audit adjustments and the absence of footnotes.</w:t>
      </w:r>
    </w:p>
    <w:p>
      <w:pPr>
        <w:spacing w:after="0" w:line="155" w:lineRule="exact"/>
        <w:rPr>
          <w:sz w:val="20"/>
          <w:szCs w:val="20"/>
          <w:color w:val="auto"/>
        </w:rPr>
      </w:pPr>
    </w:p>
    <w:p>
      <w:pPr>
        <w:jc w:val="both"/>
        <w:ind w:left="729" w:firstLine="644"/>
        <w:spacing w:after="0" w:line="213" w:lineRule="auto"/>
        <w:tabs>
          <w:tab w:leader="none" w:pos="2015"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Unrestricted Subsidiaries</w:t>
      </w:r>
      <w:r>
        <w:rPr>
          <w:rFonts w:ascii="Arial" w:cs="Arial" w:eastAsia="Arial" w:hAnsi="Arial"/>
          <w:sz w:val="20"/>
          <w:szCs w:val="20"/>
          <w:color w:val="auto"/>
        </w:rPr>
        <w:t xml:space="preserve">. Concurrently with the delivery of any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6.01(b)</w:t>
      </w:r>
      <w:r>
        <w:rPr>
          <w:rFonts w:ascii="Arial" w:cs="Arial" w:eastAsia="Arial" w:hAnsi="Arial"/>
          <w:sz w:val="20"/>
          <w:szCs w:val="20"/>
          <w:color w:val="auto"/>
        </w:rPr>
        <w:t>, an internally prepared reconciliation, in a form and with detail reasonably acceptable to the Administrative Agent, reflecting the adjustments necessary to eliminate the accounts of Unrestricted Subsidiaries (if any) from such Consolidated financial statements.</w:t>
      </w:r>
    </w:p>
    <w:p>
      <w:pPr>
        <w:spacing w:after="0" w:line="156" w:lineRule="exact"/>
        <w:rPr>
          <w:sz w:val="20"/>
          <w:szCs w:val="20"/>
          <w:color w:val="auto"/>
        </w:rPr>
      </w:pPr>
    </w:p>
    <w:p>
      <w:pPr>
        <w:jc w:val="both"/>
        <w:ind w:left="69"/>
        <w:spacing w:after="0" w:line="230"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the Company shall not be separately required to furnish such information under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(b)</w:t>
      </w:r>
      <w:r>
        <w:rPr>
          <w:rFonts w:ascii="Arial" w:cs="Arial" w:eastAsia="Arial" w:hAnsi="Arial"/>
          <w:sz w:val="19"/>
          <w:szCs w:val="19"/>
          <w:color w:val="auto"/>
        </w:rPr>
        <w:t xml:space="preserve"> above, but the foregoing shall not be in derogation of the obligation of the Company to furnish the information and materials described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at the times specified therein.</w:t>
      </w:r>
    </w:p>
    <w:p>
      <w:pPr>
        <w:spacing w:after="0" w:line="149" w:lineRule="exact"/>
        <w:rPr>
          <w:sz w:val="20"/>
          <w:szCs w:val="20"/>
          <w:color w:val="auto"/>
        </w:rPr>
      </w:pPr>
    </w:p>
    <w:p>
      <w:pPr>
        <w:ind w:left="289" w:hanging="289"/>
        <w:spacing w:after="0"/>
        <w:tabs>
          <w:tab w:leader="none" w:pos="289"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Certificates;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9107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10715" cy="8255"/>
                    </a:xfrm>
                    <a:prstGeom prst="rect">
                      <a:avLst/>
                    </a:prstGeom>
                    <a:noFill/>
                  </pic:spPr>
                </pic:pic>
              </a:graphicData>
            </a:graphic>
          </wp:anchor>
        </w:drawing>
      </w:r>
    </w:p>
    <w:p>
      <w:pPr>
        <w:spacing w:after="0" w:line="161" w:lineRule="exact"/>
        <w:rPr>
          <w:sz w:val="20"/>
          <w:szCs w:val="20"/>
          <w:color w:val="auto"/>
        </w:rPr>
      </w:pPr>
    </w:p>
    <w:p>
      <w:pPr>
        <w:ind w:left="729"/>
        <w:spacing w:after="0"/>
        <w:rPr>
          <w:sz w:val="20"/>
          <w:szCs w:val="20"/>
          <w:color w:val="auto"/>
        </w:rPr>
      </w:pPr>
      <w:r>
        <w:rPr>
          <w:rFonts w:ascii="Arial" w:cs="Arial" w:eastAsia="Arial" w:hAnsi="Arial"/>
          <w:sz w:val="20"/>
          <w:szCs w:val="20"/>
          <w:color w:val="auto"/>
        </w:rPr>
        <w:t>Deliver to the Administrative Agent (for further distribution to each Lender):</w:t>
      </w:r>
    </w:p>
    <w:p>
      <w:pPr>
        <w:spacing w:after="0" w:line="175" w:lineRule="exact"/>
        <w:rPr>
          <w:sz w:val="20"/>
          <w:szCs w:val="20"/>
          <w:color w:val="auto"/>
        </w:rPr>
      </w:pPr>
    </w:p>
    <w:p>
      <w:pPr>
        <w:jc w:val="both"/>
        <w:ind w:left="729" w:firstLine="644"/>
        <w:spacing w:after="0" w:line="218" w:lineRule="auto"/>
        <w:tabs>
          <w:tab w:leader="none" w:pos="2015"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Within five (5) Business Days of delivery of the financial statements referred to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duly completed Compliance Certificate signed by the chief executive officer, chief financial officer, treasurer or controller which is a Responsible Officer of the Company.</w:t>
      </w:r>
    </w:p>
    <w:p>
      <w:pPr>
        <w:spacing w:after="0" w:line="156" w:lineRule="exact"/>
        <w:rPr>
          <w:rFonts w:ascii="Arial" w:cs="Arial" w:eastAsia="Arial" w:hAnsi="Arial"/>
          <w:sz w:val="20"/>
          <w:szCs w:val="20"/>
          <w:color w:val="auto"/>
        </w:rPr>
      </w:pPr>
    </w:p>
    <w:p>
      <w:pPr>
        <w:ind w:left="2009" w:hanging="636"/>
        <w:spacing w:after="0"/>
        <w:tabs>
          <w:tab w:leader="none" w:pos="2009"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729" w:firstLine="644"/>
        <w:spacing w:after="0" w:line="213" w:lineRule="auto"/>
        <w:tabs>
          <w:tab w:leader="none" w:pos="2015"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Annual Reports; Etc.</w:t>
      </w:r>
      <w:r>
        <w:rPr>
          <w:rFonts w:ascii="Arial" w:cs="Arial" w:eastAsia="Arial" w:hAnsi="Arial"/>
          <w:sz w:val="20"/>
          <w:szCs w:val="20"/>
          <w:color w:val="auto"/>
        </w:rPr>
        <w:t xml:space="preserve"> Promptly after the same are publicly available, copies of all annual, regular, periodic and special reports and registration statements which the Company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55" w:lineRule="exact"/>
        <w:rPr>
          <w:rFonts w:ascii="Arial" w:cs="Arial" w:eastAsia="Arial" w:hAnsi="Arial"/>
          <w:sz w:val="20"/>
          <w:szCs w:val="20"/>
          <w:color w:val="auto"/>
        </w:rPr>
      </w:pPr>
    </w:p>
    <w:p>
      <w:pPr>
        <w:jc w:val="both"/>
        <w:ind w:left="729" w:firstLine="644"/>
        <w:spacing w:after="0" w:line="213" w:lineRule="auto"/>
        <w:tabs>
          <w:tab w:leader="none" w:pos="2012"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Anti-Money-Laundering</w:t>
      </w:r>
      <w:r>
        <w:rPr>
          <w:rFonts w:ascii="Arial" w:cs="Arial" w:eastAsia="Arial" w:hAnsi="Arial"/>
          <w:sz w:val="20"/>
          <w:szCs w:val="20"/>
          <w:color w:val="auto"/>
        </w:rPr>
        <w:t>. Promptly following any request therefor, information and documentation regarding the Loan Parties reasonably requested in writing by the Administrative Agent or any Lender (acting through the Administrative Agent) that is required by regulatory authorities in order to comply with applicable “know your customer” and anti-money-laundering rules and regulations, including the Patriot Act.</w:t>
      </w:r>
    </w:p>
    <w:p>
      <w:pPr>
        <w:spacing w:after="0" w:line="155" w:lineRule="exact"/>
        <w:rPr>
          <w:rFonts w:ascii="Arial" w:cs="Arial" w:eastAsia="Arial" w:hAnsi="Arial"/>
          <w:sz w:val="20"/>
          <w:szCs w:val="20"/>
          <w:color w:val="auto"/>
        </w:rPr>
      </w:pPr>
    </w:p>
    <w:p>
      <w:pPr>
        <w:jc w:val="both"/>
        <w:ind w:left="729" w:firstLine="644"/>
        <w:spacing w:after="0" w:line="213" w:lineRule="auto"/>
        <w:tabs>
          <w:tab w:leader="none" w:pos="2015"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Beneficial Ownership</w:t>
      </w:r>
      <w:r>
        <w:rPr>
          <w:rFonts w:ascii="Arial" w:cs="Arial" w:eastAsia="Arial" w:hAnsi="Arial"/>
          <w:sz w:val="20"/>
          <w:szCs w:val="20"/>
          <w:color w:val="auto"/>
        </w:rPr>
        <w:t>.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55" w:lineRule="exact"/>
        <w:rPr>
          <w:rFonts w:ascii="Arial" w:cs="Arial" w:eastAsia="Arial" w:hAnsi="Arial"/>
          <w:sz w:val="20"/>
          <w:szCs w:val="20"/>
          <w:color w:val="auto"/>
        </w:rPr>
      </w:pPr>
    </w:p>
    <w:p>
      <w:pPr>
        <w:jc w:val="both"/>
        <w:ind w:left="729" w:firstLine="644"/>
        <w:spacing w:after="0" w:line="244" w:lineRule="auto"/>
        <w:tabs>
          <w:tab w:leader="none" w:pos="20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Promptly, such additional information regarding the business, financial, legal or corporate affairs of the Company or any of its Restricted Subsidiaries, or compliance with the terms of the Loan Documents, as the Administrative Agent or any Lender (acting through the Administrative Agent) may from time to time reasonably request in writing.</w:t>
      </w:r>
    </w:p>
    <w:p>
      <w:pPr>
        <w:spacing w:after="0" w:line="152" w:lineRule="exact"/>
        <w:rPr>
          <w:sz w:val="20"/>
          <w:szCs w:val="20"/>
          <w:color w:val="auto"/>
        </w:rPr>
      </w:pPr>
    </w:p>
    <w:p>
      <w:pPr>
        <w:jc w:val="both"/>
        <w:ind w:left="69"/>
        <w:spacing w:after="0" w:line="216"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on which such documents are (a) available via the SEC’s Electronic Data Gathering, Analysis and Retrieval system on the internet or (b) posted on the Company’s website on the Internet at the website address listed on </w:t>
      </w:r>
      <w:r>
        <w:rPr>
          <w:rFonts w:ascii="Arial" w:cs="Arial" w:eastAsia="Arial" w:hAnsi="Arial"/>
          <w:sz w:val="19"/>
          <w:szCs w:val="19"/>
          <w:u w:val="single" w:color="auto"/>
          <w:color w:val="auto"/>
        </w:rPr>
        <w:t>Schedule 1.01(a)</w:t>
      </w:r>
      <w:r>
        <w:rPr>
          <w:rFonts w:ascii="Arial" w:cs="Arial" w:eastAsia="Arial" w:hAnsi="Arial"/>
          <w:sz w:val="19"/>
          <w:szCs w:val="19"/>
          <w:color w:val="auto"/>
        </w:rPr>
        <w:t xml:space="preserve">; or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309"/>
          </w:cols>
          <w:pgMar w:left="251" w:top="1405" w:right="339" w:bottom="1440" w:gutter="0" w:footer="0" w:header="0"/>
        </w:sectPr>
      </w:pPr>
    </w:p>
    <w:bookmarkStart w:id="144" w:name="page145"/>
    <w:bookmarkEnd w:id="144"/>
    <w:p>
      <w:pPr>
        <w:jc w:val="both"/>
        <w:ind w:left="69"/>
        <w:spacing w:after="0" w:line="233" w:lineRule="auto"/>
        <w:rPr>
          <w:sz w:val="20"/>
          <w:szCs w:val="20"/>
          <w:color w:val="auto"/>
        </w:rPr>
      </w:pPr>
      <w:r>
        <w:rPr>
          <w:rFonts w:ascii="Arial" w:cs="Arial" w:eastAsia="Arial" w:hAnsi="Arial"/>
          <w:sz w:val="18"/>
          <w:szCs w:val="18"/>
          <w:color w:val="auto"/>
        </w:rPr>
        <w:t>Agent or such Lender; and (ii) the Company shall notify the Administrative Agent (by fax transmission or e-mail transmission)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56" w:lineRule="exact"/>
        <w:rPr>
          <w:sz w:val="20"/>
          <w:szCs w:val="20"/>
          <w:color w:val="auto"/>
        </w:rPr>
      </w:pPr>
    </w:p>
    <w:p>
      <w:pPr>
        <w:jc w:val="both"/>
        <w:ind w:left="69"/>
        <w:spacing w:after="0" w:line="223" w:lineRule="auto"/>
        <w:rPr>
          <w:sz w:val="20"/>
          <w:szCs w:val="20"/>
          <w:color w:val="auto"/>
        </w:rPr>
      </w:pPr>
      <w:r>
        <w:rPr>
          <w:rFonts w:ascii="Arial" w:cs="Arial" w:eastAsia="Arial" w:hAnsi="Arial"/>
          <w:sz w:val="18"/>
          <w:szCs w:val="18"/>
          <w:color w:val="auto"/>
        </w:rPr>
        <w:t>The Borrowers hereby acknowledge that (A) the Administrative Agent and/or an Affiliate thereof may, but shall not be obligated to, make available to the Lenders and the L/C Issuers materials and/or information provided by or on behalf of the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Borrowers hereby agree that they will use commercially reasonable efforts to identify that portion of the Borrower Materials that may be distributed to the Public Lenders and that: (1) all such Borrower Materials shall be clearly and conspicuously marked “PUBLIC” which, at a minimum, shall mean that the word “PUBLIC” shall appear prominently on the first page thereof; (2) by marking Borrower Materials “PUBLIC,” the Borrowers shall be deemed to have authorized the Administrative Agent, any Affiliate thereof, the Arrangers, the L/C Issuers and the Lenders to treat such Borrower Materials as not containing any material non-public information (although it may be sensitive and proprietary) with respect to the Borrowers or their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(3) all Borrower Materials marked “PUBLIC” are permitted to be made available through a portion of the Platform designated “Public Side Information;” and (4) the Administrative Agent and any Affiliate thereof and the Arrangers shall be entitled to treat any Borrower Materials that are not marked “PUBLIC” as being suitable only for posting on a portion of the Platform not designated “Public Side Information.” Notwithstanding the foregoing, the Borrowers shall be under no obligation to mark any Borrower Materials “PUBLIC”.</w:t>
      </w:r>
    </w:p>
    <w:p>
      <w:pPr>
        <w:spacing w:after="0" w:line="160" w:lineRule="exact"/>
        <w:rPr>
          <w:sz w:val="20"/>
          <w:szCs w:val="20"/>
          <w:color w:val="auto"/>
        </w:rPr>
      </w:pPr>
    </w:p>
    <w:p>
      <w:pPr>
        <w:jc w:val="both"/>
        <w:ind w:left="69"/>
        <w:spacing w:after="0" w:line="21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neither the Company nor any Restricted Subsidiary shall be required to provide any information to the Administrative Agent, any Lender or any L/C Issuer in respect of which disclosure thereto would, or could reasonably be expected to, (a) result in a loss of attorney-client privilege or claim of attorney work product, in each case so long as the Company notifies the Administrative Agent of such limitation and the reason therefore, (b) result in the disclosure of non-financial trade secrets or non-financial proprietary information, (c) violate any Law applicable to the Company or any of its Subsidiaries, or (d) violate any confidentiality obligation (to the extent not created in contemplation of the Company’s or such Restricted Subsidiary’s obligations under this </w:t>
      </w:r>
      <w:r>
        <w:rPr>
          <w:rFonts w:ascii="Arial" w:cs="Arial" w:eastAsia="Arial" w:hAnsi="Arial"/>
          <w:sz w:val="19"/>
          <w:szCs w:val="19"/>
          <w:u w:val="single" w:color="auto"/>
          <w:color w:val="auto"/>
        </w:rPr>
        <w:t>Section 6.02</w:t>
      </w:r>
      <w:r>
        <w:rPr>
          <w:rFonts w:ascii="Arial" w:cs="Arial" w:eastAsia="Arial" w:hAnsi="Arial"/>
          <w:sz w:val="19"/>
          <w:szCs w:val="19"/>
          <w:color w:val="auto"/>
        </w:rPr>
        <w:t>) binding on the Company or any of its Subsidiaries.</w:t>
      </w:r>
    </w:p>
    <w:p>
      <w:pPr>
        <w:spacing w:after="0" w:line="150" w:lineRule="exact"/>
        <w:rPr>
          <w:sz w:val="20"/>
          <w:szCs w:val="20"/>
          <w:color w:val="auto"/>
        </w:rPr>
      </w:pPr>
    </w:p>
    <w:p>
      <w:pPr>
        <w:ind w:left="289" w:hanging="289"/>
        <w:spacing w:after="0"/>
        <w:tabs>
          <w:tab w:leader="none" w:pos="289"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5988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80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7" w:lineRule="auto"/>
        <w:rPr>
          <w:sz w:val="20"/>
          <w:szCs w:val="20"/>
          <w:color w:val="auto"/>
        </w:rPr>
      </w:pPr>
      <w:r>
        <w:rPr>
          <w:rFonts w:ascii="Arial" w:cs="Arial" w:eastAsia="Arial" w:hAnsi="Arial"/>
          <w:sz w:val="19"/>
          <w:szCs w:val="19"/>
          <w:color w:val="auto"/>
        </w:rPr>
        <w:t xml:space="preserve">Promptly, but in any event within five (5) Business Days (or three (3) Business Days, in the case of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of a Responsible Officer of the Company obtaining actual knowledge thereof, notify the Administrative Agent (which will promptly furnish such information to each Lender): (a) of the occurrence of any Default; and (b) of any matter that has resulted or would reasonably be expected to result in a Material Adverse Effect. 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shall be accompanied by a statement of a Responsible Officer of the Company setting forth details of the occurrence referred to therein and, to the extent applicable, stating what action the Company has taken and proposes to take with respect thereto. Each notice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describe with reasonable particularity any and all provisions of this Agreement and any other Loan Document that have been breached.</w:t>
      </w:r>
    </w:p>
    <w:p>
      <w:pPr>
        <w:spacing w:after="0" w:line="150" w:lineRule="exact"/>
        <w:rPr>
          <w:sz w:val="20"/>
          <w:szCs w:val="20"/>
          <w:color w:val="auto"/>
        </w:rPr>
      </w:pPr>
    </w:p>
    <w:p>
      <w:pPr>
        <w:ind w:left="289" w:hanging="289"/>
        <w:spacing w:after="0"/>
        <w:tabs>
          <w:tab w:leader="none" w:pos="289"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153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61" w:lineRule="exact"/>
        <w:rPr>
          <w:sz w:val="20"/>
          <w:szCs w:val="20"/>
          <w:color w:val="auto"/>
        </w:rPr>
      </w:pPr>
    </w:p>
    <w:p>
      <w:pPr>
        <w:ind w:left="69" w:firstLine="648"/>
        <w:spacing w:after="0" w:line="229" w:lineRule="auto"/>
        <w:rPr>
          <w:sz w:val="20"/>
          <w:szCs w:val="20"/>
          <w:color w:val="auto"/>
        </w:rPr>
      </w:pPr>
      <w:r>
        <w:rPr>
          <w:rFonts w:ascii="Arial" w:cs="Arial" w:eastAsia="Arial" w:hAnsi="Arial"/>
          <w:sz w:val="20"/>
          <w:szCs w:val="20"/>
          <w:color w:val="auto"/>
        </w:rPr>
        <w:t>Pay all material federal income Taxes and other material Taxes required to be paid by them, unless (a) the same are being contested in good faith by appropriate proceedings and adequate reserves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309"/>
          </w:cols>
          <w:pgMar w:left="251" w:top="1405" w:right="339" w:bottom="1440" w:gutter="0" w:footer="0" w:header="0"/>
        </w:sectPr>
      </w:pPr>
    </w:p>
    <w:bookmarkStart w:id="145" w:name="page146"/>
    <w:bookmarkEnd w:id="145"/>
    <w:p>
      <w:pPr>
        <w:ind w:left="69" w:right="20"/>
        <w:spacing w:after="0" w:line="242" w:lineRule="auto"/>
        <w:rPr>
          <w:sz w:val="20"/>
          <w:szCs w:val="20"/>
          <w:color w:val="auto"/>
        </w:rPr>
      </w:pPr>
      <w:r>
        <w:rPr>
          <w:rFonts w:ascii="Arial" w:cs="Arial" w:eastAsia="Arial" w:hAnsi="Arial"/>
          <w:sz w:val="19"/>
          <w:szCs w:val="19"/>
          <w:color w:val="auto"/>
        </w:rPr>
        <w:t>accordance with, and to the extent required by, GAAP are being maintained by the Company or such Restricted Subsidiary, or (b) the failure to do so would not reasonably be expected, individually or in the aggregate, to result in a Material Adverse Effect.</w:t>
      </w:r>
    </w:p>
    <w:p>
      <w:pPr>
        <w:spacing w:after="0" w:line="147" w:lineRule="exact"/>
        <w:rPr>
          <w:sz w:val="20"/>
          <w:szCs w:val="20"/>
          <w:color w:val="auto"/>
        </w:rPr>
      </w:pPr>
    </w:p>
    <w:p>
      <w:pPr>
        <w:ind w:left="289" w:hanging="289"/>
        <w:spacing w:after="0"/>
        <w:tabs>
          <w:tab w:leader="none" w:pos="289"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Preservation of Existence, Etc.</w:t>
      </w:r>
    </w:p>
    <w:p>
      <w:pPr>
        <w:spacing w:after="0" w:line="181" w:lineRule="exact"/>
        <w:rPr>
          <w:rFonts w:ascii="Arial" w:cs="Arial" w:eastAsia="Arial" w:hAnsi="Arial"/>
          <w:sz w:val="20"/>
          <w:szCs w:val="20"/>
          <w:b w:val="1"/>
          <w:bCs w:val="1"/>
          <w:color w:val="auto"/>
        </w:rPr>
      </w:pPr>
    </w:p>
    <w:p>
      <w:pPr>
        <w:jc w:val="both"/>
        <w:ind w:left="729" w:firstLine="644"/>
        <w:spacing w:after="0" w:line="236" w:lineRule="auto"/>
        <w:tabs>
          <w:tab w:leader="none" w:pos="201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Except as otherwise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preserve, renew and maintain in full force and effect its legal existence and good standing (to the extent that such concept exists in such jurisdiction) under the Laws of the jurisdiction of its organization, formation or incorporation, as applicable, except, in the case of any Restricted Subsidiary of the Company that is not a Loan Party, to the extent the failure to do so would not reasonably be expected to result in a Material Adverse Effect; and</w:t>
      </w:r>
    </w:p>
    <w:p>
      <w:pPr>
        <w:spacing w:after="0" w:line="157" w:lineRule="exact"/>
        <w:rPr>
          <w:rFonts w:ascii="Arial" w:cs="Arial" w:eastAsia="Arial" w:hAnsi="Arial"/>
          <w:sz w:val="18"/>
          <w:szCs w:val="18"/>
          <w:color w:val="auto"/>
        </w:rPr>
      </w:pPr>
    </w:p>
    <w:p>
      <w:pPr>
        <w:jc w:val="both"/>
        <w:ind w:left="729" w:firstLine="644"/>
        <w:spacing w:after="0" w:line="218" w:lineRule="auto"/>
        <w:tabs>
          <w:tab w:leader="none" w:pos="2012"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take all reasonable action to maintain all rights, privileges, permits, licenses and franchises necessary in the normal conduct of its business, except to the extent that failure to do so would not reasonably be expected to have a Material Adverse Effect, or as otherwise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-1141095</wp:posOffset>
            </wp:positionV>
            <wp:extent cx="18421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42135" cy="8255"/>
                    </a:xfrm>
                    <a:prstGeom prst="rect">
                      <a:avLst/>
                    </a:prstGeom>
                    <a:noFill/>
                  </pic:spPr>
                </pic:pic>
              </a:graphicData>
            </a:graphic>
          </wp:anchor>
        </w:drawing>
      </w:r>
    </w:p>
    <w:p>
      <w:pPr>
        <w:spacing w:after="0" w:line="130" w:lineRule="exact"/>
        <w:rPr>
          <w:sz w:val="20"/>
          <w:szCs w:val="20"/>
          <w:color w:val="auto"/>
        </w:rPr>
      </w:pPr>
    </w:p>
    <w:p>
      <w:pPr>
        <w:ind w:left="289" w:hanging="289"/>
        <w:spacing w:after="0"/>
        <w:tabs>
          <w:tab w:leader="none" w:pos="289"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Maintenance of Properties; Intellectual Property.</w:t>
      </w:r>
    </w:p>
    <w:p>
      <w:pPr>
        <w:spacing w:after="0" w:line="181" w:lineRule="exact"/>
        <w:rPr>
          <w:rFonts w:ascii="Arial" w:cs="Arial" w:eastAsia="Arial" w:hAnsi="Arial"/>
          <w:sz w:val="20"/>
          <w:szCs w:val="20"/>
          <w:b w:val="1"/>
          <w:bCs w:val="1"/>
          <w:color w:val="auto"/>
        </w:rPr>
      </w:pPr>
    </w:p>
    <w:p>
      <w:pPr>
        <w:jc w:val="both"/>
        <w:ind w:left="729" w:firstLine="644"/>
        <w:spacing w:after="0" w:line="218" w:lineRule="auto"/>
        <w:tabs>
          <w:tab w:leader="none" w:pos="2012" w:val="left"/>
        </w:tabs>
        <w:numPr>
          <w:ilvl w:val="1"/>
          <w:numId w:val="169"/>
        </w:numPr>
        <w:rPr>
          <w:rFonts w:ascii="Arial" w:cs="Arial" w:eastAsia="Arial" w:hAnsi="Arial"/>
          <w:sz w:val="20"/>
          <w:szCs w:val="20"/>
          <w:color w:val="auto"/>
        </w:rPr>
      </w:pPr>
      <w:r>
        <w:rPr>
          <w:rFonts w:ascii="Arial" w:cs="Arial" w:eastAsia="Arial" w:hAnsi="Arial"/>
          <w:sz w:val="20"/>
          <w:szCs w:val="20"/>
          <w:color w:val="auto"/>
        </w:rPr>
        <w:t>Except if the failure to do so would not reasonably be expected to have a Material Adverse Effect, maintain and preserve all of its material tangible properties and equipment necessary in the operation of its business in good working order and condition, ordinary wear and tear and casualty excepted.</w:t>
      </w:r>
    </w:p>
    <w:p>
      <w:pPr>
        <w:spacing w:after="0" w:line="156" w:lineRule="exact"/>
        <w:rPr>
          <w:rFonts w:ascii="Arial" w:cs="Arial" w:eastAsia="Arial" w:hAnsi="Arial"/>
          <w:sz w:val="20"/>
          <w:szCs w:val="20"/>
          <w:color w:val="auto"/>
        </w:rPr>
      </w:pPr>
    </w:p>
    <w:p>
      <w:pPr>
        <w:jc w:val="both"/>
        <w:ind w:left="729" w:firstLine="644"/>
        <w:spacing w:after="0" w:line="229" w:lineRule="auto"/>
        <w:tabs>
          <w:tab w:leader="none" w:pos="201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Except as may be permitted pursuant to </w:t>
      </w:r>
      <w:r>
        <w:rPr>
          <w:rFonts w:ascii="Arial" w:cs="Arial" w:eastAsia="Arial" w:hAnsi="Arial"/>
          <w:sz w:val="18"/>
          <w:szCs w:val="18"/>
          <w:u w:val="single" w:color="auto"/>
          <w:color w:val="auto"/>
        </w:rPr>
        <w:t>Section 7.04</w:t>
      </w:r>
      <w:r>
        <w:rPr>
          <w:rFonts w:ascii="Arial" w:cs="Arial" w:eastAsia="Arial" w:hAnsi="Arial"/>
          <w:sz w:val="18"/>
          <w:szCs w:val="18"/>
          <w:color w:val="auto"/>
        </w:rPr>
        <w:t>, take all reasonable actions necessary to maintain and pursue each application, to obtain the relevant registration and to maintain the registration of each of its Material Intellectual Property (now or hereafter existing) of the Loan Parties and their Restricted Subsidiaries, including, where appropriate, the filing of applications for renewal, affidavits of use, affidavits of non-contestability and opposition and interference and cancellation proceedings, in each case, other than failing to maintain, obtain or pursue (including abandoning or allowing to lapse) Intellectual Property that, in such Loan Party’s or such Restricted Subsidiary’s reasonable judgment, is not economically practicable to maintain, obtain or pursue or is otherwise not material to the conduct of their business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-1501140</wp:posOffset>
            </wp:positionV>
            <wp:extent cx="2820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131" w:lineRule="exact"/>
        <w:rPr>
          <w:sz w:val="20"/>
          <w:szCs w:val="20"/>
          <w:color w:val="auto"/>
        </w:rPr>
      </w:pPr>
    </w:p>
    <w:p>
      <w:pPr>
        <w:ind w:left="289" w:hanging="289"/>
        <w:spacing w:after="0"/>
        <w:tabs>
          <w:tab w:leader="none" w:pos="289"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Maintenance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6109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1099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4" w:lineRule="auto"/>
        <w:rPr>
          <w:sz w:val="20"/>
          <w:szCs w:val="20"/>
          <w:color w:val="auto"/>
        </w:rPr>
      </w:pPr>
      <w:r>
        <w:rPr>
          <w:rFonts w:ascii="Arial" w:cs="Arial" w:eastAsia="Arial" w:hAnsi="Arial"/>
          <w:sz w:val="19"/>
          <w:szCs w:val="19"/>
          <w:color w:val="auto"/>
        </w:rPr>
        <w:t>Maintain with financially sound and reputable insurance companies (determined at the time such insurance is obtained),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by companies of a similar size engaged in similar businesses.</w:t>
      </w:r>
    </w:p>
    <w:p>
      <w:pPr>
        <w:spacing w:after="0" w:line="150" w:lineRule="exact"/>
        <w:rPr>
          <w:sz w:val="20"/>
          <w:szCs w:val="20"/>
          <w:color w:val="auto"/>
        </w:rPr>
      </w:pPr>
    </w:p>
    <w:p>
      <w:pPr>
        <w:ind w:left="289" w:hanging="289"/>
        <w:spacing w:after="0"/>
        <w:tabs>
          <w:tab w:leader="none" w:pos="289"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4370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3" w:lineRule="auto"/>
        <w:rPr>
          <w:sz w:val="20"/>
          <w:szCs w:val="20"/>
          <w:color w:val="auto"/>
        </w:rPr>
      </w:pPr>
      <w:r>
        <w:rPr>
          <w:rFonts w:ascii="Arial" w:cs="Arial" w:eastAsia="Arial" w:hAnsi="Arial"/>
          <w:sz w:val="20"/>
          <w:szCs w:val="20"/>
          <w:color w:val="auto"/>
        </w:rPr>
        <w:t>Comply with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50" w:lineRule="exact"/>
        <w:rPr>
          <w:sz w:val="20"/>
          <w:szCs w:val="20"/>
          <w:color w:val="auto"/>
        </w:rPr>
      </w:pPr>
    </w:p>
    <w:p>
      <w:pPr>
        <w:ind w:left="289" w:hanging="289"/>
        <w:spacing w:after="0"/>
        <w:tabs>
          <w:tab w:leader="none" w:pos="289"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2414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spacing w:after="0" w:line="161" w:lineRule="exact"/>
        <w:rPr>
          <w:sz w:val="20"/>
          <w:szCs w:val="20"/>
          <w:color w:val="auto"/>
        </w:rPr>
      </w:pPr>
    </w:p>
    <w:p>
      <w:pPr>
        <w:ind w:left="69" w:right="20" w:firstLine="648"/>
        <w:spacing w:after="0" w:line="229" w:lineRule="auto"/>
        <w:rPr>
          <w:sz w:val="20"/>
          <w:szCs w:val="20"/>
          <w:color w:val="auto"/>
        </w:rPr>
      </w:pPr>
      <w:r>
        <w:rPr>
          <w:rFonts w:ascii="Arial" w:cs="Arial" w:eastAsia="Arial" w:hAnsi="Arial"/>
          <w:sz w:val="20"/>
          <w:szCs w:val="20"/>
          <w:color w:val="auto"/>
        </w:rPr>
        <w:t>Maintain proper books of record and account, in which full, true and correct entries in accordance with, and to the extent required by, GAAP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309"/>
          </w:cols>
          <w:pgMar w:left="251" w:top="1405" w:right="339" w:bottom="1440" w:gutter="0" w:footer="0" w:header="0"/>
        </w:sectPr>
      </w:pPr>
    </w:p>
    <w:bookmarkStart w:id="146" w:name="page147"/>
    <w:bookmarkEnd w:id="146"/>
    <w:p>
      <w:pPr>
        <w:ind w:left="300" w:hanging="289"/>
        <w:spacing w:after="0"/>
        <w:tabs>
          <w:tab w:leader="none" w:pos="30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Inspection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11474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50" w:lineRule="auto"/>
        <w:rPr>
          <w:sz w:val="20"/>
          <w:szCs w:val="20"/>
          <w:color w:val="auto"/>
        </w:rPr>
      </w:pPr>
      <w:r>
        <w:rPr>
          <w:rFonts w:ascii="Arial" w:cs="Arial" w:eastAsia="Arial" w:hAnsi="Arial"/>
          <w:sz w:val="16"/>
          <w:szCs w:val="16"/>
          <w:color w:val="auto"/>
        </w:rPr>
        <w:t xml:space="preserve">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officers, and independent public accountants, all at such reasonable times during normal business hours and as often as may be reasonably desired, upon reasonable advance notice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except during the occurrence and continuance of an Event of Default, the Borrowers shall not be required to reimburse the Administrative Agent for the charges, costs and expenses in connection with such visits or inspections and the Administrative Agent shall not exercise rights under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more often than one</w:t>
      </w:r>
    </w:p>
    <w:p>
      <w:pPr>
        <w:jc w:val="both"/>
        <w:ind w:left="80"/>
        <w:spacing w:after="0" w:line="211" w:lineRule="auto"/>
        <w:rPr>
          <w:sz w:val="20"/>
          <w:szCs w:val="20"/>
          <w:color w:val="auto"/>
        </w:rPr>
      </w:pPr>
      <w:r>
        <w:rPr>
          <w:rFonts w:ascii="Arial" w:cs="Arial" w:eastAsia="Arial" w:hAnsi="Arial"/>
          <w:sz w:val="19"/>
          <w:szCs w:val="19"/>
          <w:color w:val="auto"/>
        </w:rPr>
        <w:t xml:space="preserve">(1) time per year and (b) after the occurrence and during the continuance of an Event of Default, the Administrative Agent (or any of its representatives or independent contractors) may do any of the foregoing at the expense of the Borrowers at any time during normal business hours and without advance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 notwithstanding anything to the contrary in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neither the Company nor any Restricted Subsidiary shall be required to disclose, permit the inspection, examination or making of copies or abstracts from, or discuss any document, information other matter, to the extent any such action would, or could reasonably be expected to, (A) result in a loss of attorney-client privilege or claim of attorney work product, in each case so long as the Company notifies the Administrative Agent of such limitation and the reason therefore, (B) result in the disclosure of non-financial trade secrets or non-financial proprietary information, (C) violate any Law applicable to the Company or any of its Subsidiaries, or (D) violate any confidentiality obligation (to the extent not created in contemplation of the Company’s or such Restricted Subsidiary’s obligations under this </w:t>
      </w:r>
      <w:r>
        <w:rPr>
          <w:rFonts w:ascii="Arial" w:cs="Arial" w:eastAsia="Arial" w:hAnsi="Arial"/>
          <w:sz w:val="19"/>
          <w:szCs w:val="19"/>
          <w:u w:val="single" w:color="auto"/>
          <w:color w:val="auto"/>
        </w:rPr>
        <w:t>Section 6.10</w:t>
      </w:r>
      <w:r>
        <w:rPr>
          <w:rFonts w:ascii="Arial" w:cs="Arial" w:eastAsia="Arial" w:hAnsi="Arial"/>
          <w:sz w:val="19"/>
          <w:szCs w:val="19"/>
          <w:color w:val="auto"/>
        </w:rPr>
        <w:t>) binding on the Company or any of its Subsidiaries, and (ii) no discussion with any such independent accountants shall be permitted unless the Company shall have received reasonable notice thereof and a reasonable opportunity to participate therein and, if such participation is elected, the Company participated.</w:t>
      </w:r>
    </w:p>
    <w:p>
      <w:pPr>
        <w:spacing w:after="0" w:line="157" w:lineRule="exact"/>
        <w:rPr>
          <w:sz w:val="20"/>
          <w:szCs w:val="20"/>
          <w:color w:val="auto"/>
        </w:rPr>
      </w:pPr>
    </w:p>
    <w:p>
      <w:pPr>
        <w:spacing w:after="0"/>
        <w:tabs>
          <w:tab w:leader="none" w:pos="28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1043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18" w:lineRule="auto"/>
        <w:rPr>
          <w:sz w:val="20"/>
          <w:szCs w:val="20"/>
          <w:color w:val="auto"/>
        </w:rPr>
      </w:pPr>
      <w:r>
        <w:rPr>
          <w:rFonts w:ascii="Arial" w:cs="Arial" w:eastAsia="Arial" w:hAnsi="Arial"/>
          <w:sz w:val="20"/>
          <w:szCs w:val="20"/>
          <w:color w:val="auto"/>
        </w:rPr>
        <w:t>Use the proceeds of the Credit Extensions (a) to refinance on the Closing Date Indebtedness outstanding under the Existing Credit Agreement and (b) otherwise for working capital and any other general corporate purpose not in contravention of any applicable Law or of any Loan Document.</w:t>
      </w:r>
    </w:p>
    <w:p>
      <w:pPr>
        <w:spacing w:after="0" w:line="150" w:lineRule="exact"/>
        <w:rPr>
          <w:sz w:val="20"/>
          <w:szCs w:val="20"/>
          <w:color w:val="auto"/>
        </w:rPr>
      </w:pPr>
    </w:p>
    <w:p>
      <w:pPr>
        <w:ind w:left="300" w:hanging="289"/>
        <w:spacing w:after="0"/>
        <w:tabs>
          <w:tab w:leader="none" w:pos="300"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Covenant to Guarantee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21170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16" w:lineRule="auto"/>
        <w:rPr>
          <w:sz w:val="20"/>
          <w:szCs w:val="20"/>
          <w:color w:val="auto"/>
        </w:rPr>
      </w:pPr>
      <w:r>
        <w:rPr>
          <w:rFonts w:ascii="Arial" w:cs="Arial" w:eastAsia="Arial" w:hAnsi="Arial"/>
          <w:sz w:val="19"/>
          <w:szCs w:val="19"/>
          <w:color w:val="auto"/>
        </w:rPr>
        <w:t xml:space="preserve">Until the Release Date, cause each of its Restricted Subsidiaries (other than any Excluded Subsidiary) whether newly formed, after acquired or otherwise existing, to promptly (and in any event within seventy-five (75) days thereafter (or such longer period of time as agreed to by the Administrative Agent in its reasonable discretion)) become a Subsidiary Guarantor hereunder by way of execution of a Joinder Agreement and, in connection therewith, deliver to the Administrative Agent, with respect to each new Subsidiary Guarantor to the extent applicable, (a) substantially the same documentation required pursuant to </w:t>
      </w:r>
      <w:r>
        <w:rPr>
          <w:rFonts w:ascii="Arial" w:cs="Arial" w:eastAsia="Arial" w:hAnsi="Arial"/>
          <w:sz w:val="19"/>
          <w:szCs w:val="19"/>
          <w:u w:val="single" w:color="auto"/>
          <w:color w:val="auto"/>
        </w:rPr>
        <w:t>Sections 4.01(b)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(b) if reasonably requested by the Administrative Agent, customary legal opinions of counsel to the new Subsidiary Guarantor, and (c) such information necessary to complete any required “know your customer”, Patriot Act, Beneficial Ownership Regulation, Sanctions, OFAC and FCPA diligence, in scope, and with results, reasonably satisfactory to the Administrative Agent.</w:t>
      </w:r>
    </w:p>
    <w:p>
      <w:pPr>
        <w:spacing w:after="0" w:line="149" w:lineRule="exact"/>
        <w:rPr>
          <w:sz w:val="20"/>
          <w:szCs w:val="20"/>
          <w:color w:val="auto"/>
        </w:rPr>
      </w:pPr>
    </w:p>
    <w:p>
      <w:pPr>
        <w:ind w:left="300" w:hanging="289"/>
        <w:spacing w:after="0"/>
        <w:tabs>
          <w:tab w:leader="none" w:pos="300"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12973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24" w:lineRule="auto"/>
        <w:rPr>
          <w:sz w:val="20"/>
          <w:szCs w:val="20"/>
          <w:color w:val="auto"/>
        </w:rPr>
      </w:pPr>
      <w:r>
        <w:rPr>
          <w:rFonts w:ascii="Arial" w:cs="Arial" w:eastAsia="Arial" w:hAnsi="Arial"/>
          <w:sz w:val="19"/>
          <w:szCs w:val="19"/>
          <w:color w:val="auto"/>
        </w:rPr>
        <w:t>Continue to engage in (a) the business engaged in by the Company and its Restricted Subsidiaries on the Closing Date, including any medical, pharmaceutical, diagnostic, medical device, medical technology or other health or well-being oriented business and any business similar, related, ancillary or incidental thereto or a reasonable extension, development or expansion thereof, or (b) any other business acquired in connection with an Acquisition or any other investment and any business similar,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320"/>
          </w:cols>
          <w:pgMar w:left="240" w:top="1399" w:right="339" w:bottom="1440" w:gutter="0" w:footer="0" w:header="0"/>
        </w:sectPr>
      </w:pPr>
    </w:p>
    <w:bookmarkStart w:id="147" w:name="page148"/>
    <w:bookmarkEnd w:id="147"/>
    <w:p>
      <w:pPr>
        <w:ind w:left="69"/>
        <w:spacing w:after="0"/>
        <w:rPr>
          <w:sz w:val="20"/>
          <w:szCs w:val="20"/>
          <w:color w:val="auto"/>
        </w:rPr>
      </w:pPr>
      <w:r>
        <w:rPr>
          <w:rFonts w:ascii="Arial" w:cs="Arial" w:eastAsia="Arial" w:hAnsi="Arial"/>
          <w:sz w:val="20"/>
          <w:szCs w:val="20"/>
          <w:color w:val="auto"/>
        </w:rPr>
        <w:t>ancillary or incidental thereto, or that is an adjunct thereto, or a reasonable extension, development or expansion thereof.</w:t>
      </w:r>
    </w:p>
    <w:p>
      <w:pPr>
        <w:spacing w:after="0" w:line="169" w:lineRule="exact"/>
        <w:rPr>
          <w:sz w:val="20"/>
          <w:szCs w:val="20"/>
          <w:color w:val="auto"/>
        </w:rPr>
      </w:pPr>
    </w:p>
    <w:p>
      <w:pPr>
        <w:ind w:left="289" w:hanging="289"/>
        <w:spacing w:after="0"/>
        <w:tabs>
          <w:tab w:leader="none" w:pos="289"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7874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87400" cy="8890"/>
                    </a:xfrm>
                    <a:prstGeom prst="rect">
                      <a:avLst/>
                    </a:prstGeom>
                    <a:noFill/>
                  </pic:spPr>
                </pic:pic>
              </a:graphicData>
            </a:graphic>
          </wp:anchor>
        </w:drawing>
      </w:r>
    </w:p>
    <w:p>
      <w:pPr>
        <w:spacing w:after="0" w:line="155" w:lineRule="exact"/>
        <w:rPr>
          <w:sz w:val="20"/>
          <w:szCs w:val="20"/>
          <w:color w:val="auto"/>
        </w:rPr>
      </w:pPr>
    </w:p>
    <w:p>
      <w:pPr>
        <w:ind w:left="9"/>
        <w:spacing w:after="0"/>
        <w:tabs>
          <w:tab w:leader="none" w:pos="268"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Approvals and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8256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4" w:lineRule="auto"/>
        <w:rPr>
          <w:sz w:val="20"/>
          <w:szCs w:val="20"/>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6.08</w:t>
      </w:r>
      <w:r>
        <w:rPr>
          <w:rFonts w:ascii="Arial" w:cs="Arial" w:eastAsia="Arial" w:hAnsi="Arial"/>
          <w:sz w:val="19"/>
          <w:szCs w:val="19"/>
          <w:color w:val="auto"/>
        </w:rPr>
        <w:t>, maintain all authorizations, consents, approvals and licenses from, exemptions of, and filings and registrations with, each Governmental Authority of the jurisdiction in which each Loan Party is organized and existing, and all approvals and consents of each other Person in such jurisdiction, in each case that are required in connection with the Loan Documents, unless the failure to do so would not reasonably be expected to have a Material Adverse Effect.</w:t>
      </w:r>
    </w:p>
    <w:p>
      <w:pPr>
        <w:spacing w:after="0" w:line="150" w:lineRule="exact"/>
        <w:rPr>
          <w:sz w:val="20"/>
          <w:szCs w:val="20"/>
          <w:color w:val="auto"/>
        </w:rPr>
      </w:pPr>
    </w:p>
    <w:p>
      <w:pPr>
        <w:ind w:left="9"/>
        <w:spacing w:after="0"/>
        <w:tabs>
          <w:tab w:leader="none" w:pos="268"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Anti-Corruption Laws;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20021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3" w:lineRule="auto"/>
        <w:rPr>
          <w:sz w:val="20"/>
          <w:szCs w:val="20"/>
          <w:color w:val="auto"/>
        </w:rPr>
      </w:pPr>
      <w:r>
        <w:rPr>
          <w:rFonts w:ascii="Arial" w:cs="Arial" w:eastAsia="Arial" w:hAnsi="Arial"/>
          <w:sz w:val="20"/>
          <w:szCs w:val="20"/>
          <w:color w:val="auto"/>
        </w:rPr>
        <w:t>Conduct its business in material compliance with (a)(i) the FCPA, the UK Bribery Act 2010 and other similar applicable anti-corruption legislation in other jurisdictions and (ii) maintain policies and procedures reasonably designed to promote and achieve such compliance with such laws, and (b)(i) all applicable Sanctions and (ii) maintain policies and procedures reasonably designed to promote and achieve such compliance with such Sanctions.</w:t>
      </w:r>
    </w:p>
    <w:p>
      <w:pPr>
        <w:spacing w:after="0" w:line="131" w:lineRule="exact"/>
        <w:rPr>
          <w:sz w:val="20"/>
          <w:szCs w:val="20"/>
          <w:color w:val="auto"/>
        </w:rPr>
      </w:pPr>
    </w:p>
    <w:p>
      <w:pPr>
        <w:jc w:val="center"/>
        <w:ind w:right="-28"/>
        <w:spacing w:after="0"/>
        <w:rPr>
          <w:sz w:val="20"/>
          <w:szCs w:val="20"/>
          <w:color w:val="auto"/>
        </w:rPr>
      </w:pPr>
      <w:r>
        <w:rPr>
          <w:rFonts w:ascii="Arial" w:cs="Arial" w:eastAsia="Arial" w:hAnsi="Arial"/>
          <w:sz w:val="20"/>
          <w:szCs w:val="20"/>
          <w:b w:val="1"/>
          <w:bCs w:val="1"/>
          <w:color w:val="auto"/>
        </w:rPr>
        <w:t>ARTICLE VII</w:t>
      </w:r>
    </w:p>
    <w:p>
      <w:pPr>
        <w:jc w:val="center"/>
        <w:ind w:right="-68"/>
        <w:spacing w:after="0"/>
        <w:rPr>
          <w:sz w:val="20"/>
          <w:szCs w:val="20"/>
          <w:color w:val="auto"/>
        </w:rPr>
      </w:pPr>
      <w:r>
        <w:rPr>
          <w:rFonts w:ascii="Arial" w:cs="Arial" w:eastAsia="Arial" w:hAnsi="Arial"/>
          <w:sz w:val="20"/>
          <w:szCs w:val="20"/>
          <w:b w:val="1"/>
          <w:bCs w:val="1"/>
          <w:color w:val="auto"/>
        </w:rPr>
        <w:t>NEGATIVE COVENANTS</w:t>
      </w:r>
    </w:p>
    <w:p>
      <w:pPr>
        <w:spacing w:after="0" w:line="159"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20"/>
          <w:szCs w:val="20"/>
          <w:color w:val="auto"/>
        </w:rPr>
        <w:t xml:space="preserve">Each of the Loan Parties hereby covenants and agrees that on the Closing Date and thereafter until the Facility Termination Date, no Loan Party shall, nor shall it permit any of its Restricted Subsidiaries (or, in the case of </w:t>
      </w:r>
      <w:r>
        <w:rPr>
          <w:rFonts w:ascii="Arial" w:cs="Arial" w:eastAsia="Arial" w:hAnsi="Arial"/>
          <w:sz w:val="20"/>
          <w:szCs w:val="20"/>
          <w:u w:val="single" w:color="auto"/>
          <w:color w:val="auto"/>
        </w:rPr>
        <w:t>Sections 7.16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7.17</w:t>
      </w:r>
      <w:r>
        <w:rPr>
          <w:rFonts w:ascii="Arial" w:cs="Arial" w:eastAsia="Arial" w:hAnsi="Arial"/>
          <w:sz w:val="20"/>
          <w:szCs w:val="20"/>
          <w:color w:val="auto"/>
        </w:rPr>
        <w:t>, permit any of its Subsidiaries) to, directly or indirectly:</w:t>
      </w:r>
    </w:p>
    <w:p>
      <w:pPr>
        <w:spacing w:after="0" w:line="150" w:lineRule="exact"/>
        <w:rPr>
          <w:sz w:val="20"/>
          <w:szCs w:val="20"/>
          <w:color w:val="auto"/>
        </w:rPr>
      </w:pPr>
    </w:p>
    <w:p>
      <w:pPr>
        <w:ind w:left="289" w:hanging="289"/>
        <w:spacing w:after="0"/>
        <w:tabs>
          <w:tab w:leader="none" w:pos="289"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5016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61" w:lineRule="exact"/>
        <w:rPr>
          <w:sz w:val="20"/>
          <w:szCs w:val="20"/>
          <w:color w:val="auto"/>
        </w:rPr>
      </w:pPr>
    </w:p>
    <w:p>
      <w:pPr>
        <w:ind w:left="69" w:right="20" w:firstLine="648"/>
        <w:spacing w:after="0" w:line="229" w:lineRule="auto"/>
        <w:rPr>
          <w:sz w:val="20"/>
          <w:szCs w:val="20"/>
          <w:color w:val="auto"/>
        </w:rPr>
      </w:pPr>
      <w:r>
        <w:rPr>
          <w:rFonts w:ascii="Arial" w:cs="Arial" w:eastAsia="Arial" w:hAnsi="Arial"/>
          <w:sz w:val="20"/>
          <w:szCs w:val="20"/>
          <w:color w:val="auto"/>
        </w:rPr>
        <w:t>Create, incur, assume or suffer to exist any Lien upon any of its property, assets or revenues, whether now owned or hereafter acquired, except for the following (the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53" w:lineRule="exact"/>
        <w:rPr>
          <w:sz w:val="20"/>
          <w:szCs w:val="20"/>
          <w:color w:val="auto"/>
        </w:rPr>
      </w:pPr>
    </w:p>
    <w:p>
      <w:pPr>
        <w:ind w:left="2009" w:hanging="636"/>
        <w:spacing w:after="0"/>
        <w:tabs>
          <w:tab w:leader="none" w:pos="200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(if any) pursuant to any Loan Document (including Liens on Cash Collateral granted pursuant to any Loan</w:t>
      </w:r>
    </w:p>
    <w:p>
      <w:pPr>
        <w:ind w:left="729"/>
        <w:spacing w:after="0"/>
        <w:rPr>
          <w:rFonts w:ascii="Arial" w:cs="Arial" w:eastAsia="Arial" w:hAnsi="Arial"/>
          <w:sz w:val="18"/>
          <w:szCs w:val="18"/>
          <w:color w:val="auto"/>
        </w:rPr>
      </w:pPr>
      <w:r>
        <w:rPr>
          <w:rFonts w:ascii="Arial" w:cs="Arial" w:eastAsia="Arial" w:hAnsi="Arial"/>
          <w:sz w:val="20"/>
          <w:szCs w:val="20"/>
          <w:color w:val="auto"/>
        </w:rPr>
        <w:t>Document);</w:t>
      </w:r>
    </w:p>
    <w:p>
      <w:pPr>
        <w:spacing w:after="0" w:line="159" w:lineRule="exact"/>
        <w:rPr>
          <w:rFonts w:ascii="Arial" w:cs="Arial" w:eastAsia="Arial" w:hAnsi="Arial"/>
          <w:sz w:val="18"/>
          <w:szCs w:val="18"/>
          <w:color w:val="auto"/>
        </w:rPr>
      </w:pPr>
    </w:p>
    <w:p>
      <w:pPr>
        <w:jc w:val="both"/>
        <w:ind w:left="729" w:firstLine="644"/>
        <w:spacing w:after="0" w:line="206" w:lineRule="auto"/>
        <w:tabs>
          <w:tab w:leader="none" w:pos="201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Liens existing on the Closing Date and listed on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and any amendments, modifications, replacements,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Lien does not encumber any property other than (A) property encumbered on the Closing Date, (B) after-acquired property that is affixed or incorporated into the property encumbered by such Lien on the Closing Date, (C) proceeds and products thereof, (ii) the replacement, renewal, extension or refinancing of the obligations secured or benefited by such Liens, to the extent constituting Indebtedness, is permitted by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(or, to the extent constituting Indebtedness of the Company, is otherwise permitted by this Agreement), and (iii) the direct or any contingent obligor with respect thereto is not changed;</w:t>
      </w:r>
    </w:p>
    <w:p>
      <w:pPr>
        <w:spacing w:after="0" w:line="157" w:lineRule="exact"/>
        <w:rPr>
          <w:rFonts w:ascii="Arial" w:cs="Arial" w:eastAsia="Arial" w:hAnsi="Arial"/>
          <w:sz w:val="20"/>
          <w:szCs w:val="20"/>
          <w:color w:val="auto"/>
        </w:rPr>
      </w:pPr>
    </w:p>
    <w:p>
      <w:pPr>
        <w:jc w:val="both"/>
        <w:ind w:left="729" w:firstLine="644"/>
        <w:spacing w:after="0" w:line="207" w:lineRule="auto"/>
        <w:tabs>
          <w:tab w:leader="none" w:pos="2015"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 Liens for Taxes which are not yet due or which are being contested in good faith and by appropriate proceedings diligently conducted, if adequate reserves with respect thereto are maintained on the books of the applicable Person in accordance with, and to the extent required by, GAAP (or, for Foreign Subsidiaries, in conformity with, and to the extent required by, generally accepted accounting principles that are applicable in their respective jurisdiction of organization) and (ii) other Liens for Taxes (securing Tax liabilities in an aggregate amount not in excess of $2,500,000 at any time outstanding) which are not yet delinquent for a period of more than forty-five (45)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309"/>
          </w:cols>
          <w:pgMar w:left="251" w:top="1405" w:right="339" w:bottom="1440" w:gutter="0" w:footer="0" w:header="0"/>
        </w:sectPr>
      </w:pPr>
    </w:p>
    <w:bookmarkStart w:id="148" w:name="page149"/>
    <w:bookmarkEnd w:id="148"/>
    <w:p>
      <w:pPr>
        <w:jc w:val="both"/>
        <w:ind w:left="660" w:firstLine="644"/>
        <w:spacing w:after="0" w:line="213" w:lineRule="auto"/>
        <w:tabs>
          <w:tab w:leader="none" w:pos="1944" w:val="left"/>
        </w:tabs>
        <w:numPr>
          <w:ilvl w:val="1"/>
          <w:numId w:val="179"/>
        </w:numPr>
        <w:rPr>
          <w:rFonts w:ascii="Arial" w:cs="Arial" w:eastAsia="Arial" w:hAnsi="Arial"/>
          <w:sz w:val="20"/>
          <w:szCs w:val="20"/>
          <w:color w:val="auto"/>
        </w:rPr>
      </w:pPr>
      <w:r>
        <w:rPr>
          <w:rFonts w:ascii="Arial" w:cs="Arial" w:eastAsia="Arial" w:hAnsi="Arial"/>
          <w:sz w:val="20"/>
          <w:szCs w:val="20"/>
          <w:color w:val="auto"/>
        </w:rPr>
        <w:t>Liens imposed by law such as carriers’, landlords’, warehousemen’s, mechanics’, materialmen’s, repairmen’s construction, or other like Liens arising in the ordinary course of business which are not overdue for a period of more than sixty (60) days or which are being contested in good faith and by appropriate proceedings, if adequate reserves with respect thereto are maintained on the books of the applicable Person;</w:t>
      </w:r>
    </w:p>
    <w:p>
      <w:pPr>
        <w:spacing w:after="0" w:line="155" w:lineRule="exact"/>
        <w:rPr>
          <w:rFonts w:ascii="Arial" w:cs="Arial" w:eastAsia="Arial" w:hAnsi="Arial"/>
          <w:sz w:val="20"/>
          <w:szCs w:val="20"/>
          <w:color w:val="auto"/>
        </w:rPr>
      </w:pPr>
    </w:p>
    <w:p>
      <w:pPr>
        <w:jc w:val="both"/>
        <w:ind w:left="660" w:firstLine="644"/>
        <w:spacing w:after="0" w:line="210" w:lineRule="auto"/>
        <w:tabs>
          <w:tab w:leader="none" w:pos="194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(i) pledges or deposits in the ordinary course of business in connection with workers’ compensation, unemployment insurance and other social security legislation, other than any Lien imposed by ERISA; (ii) pledges and deposits to secure insurance premiums or reimbursement obligations under insurance policies; or (iii) obligations in respect of letters of credit or bank guarantees that have been posted by the Company or any of its Restricted Subsidiaries to support the payments of the items set forth in the foregoing clauses (i) and (ii);</w:t>
      </w:r>
    </w:p>
    <w:p>
      <w:pPr>
        <w:spacing w:after="0" w:line="154" w:lineRule="exact"/>
        <w:rPr>
          <w:rFonts w:ascii="Arial" w:cs="Arial" w:eastAsia="Arial" w:hAnsi="Arial"/>
          <w:sz w:val="20"/>
          <w:szCs w:val="20"/>
          <w:color w:val="auto"/>
        </w:rPr>
      </w:pPr>
    </w:p>
    <w:p>
      <w:pPr>
        <w:jc w:val="both"/>
        <w:ind w:left="660" w:firstLine="644"/>
        <w:spacing w:after="0" w:line="213" w:lineRule="auto"/>
        <w:tabs>
          <w:tab w:leader="none" w:pos="1951" w:val="left"/>
        </w:tabs>
        <w:numPr>
          <w:ilvl w:val="1"/>
          <w:numId w:val="179"/>
        </w:numPr>
        <w:rPr>
          <w:rFonts w:ascii="Arial" w:cs="Arial" w:eastAsia="Arial" w:hAnsi="Arial"/>
          <w:sz w:val="20"/>
          <w:szCs w:val="20"/>
          <w:color w:val="auto"/>
        </w:rPr>
      </w:pPr>
      <w:r>
        <w:rPr>
          <w:rFonts w:ascii="Arial" w:cs="Arial" w:eastAsia="Arial" w:hAnsi="Arial"/>
          <w:sz w:val="20"/>
          <w:szCs w:val="20"/>
          <w:color w:val="auto"/>
        </w:rPr>
        <w:t>(i) deposits to secure the performance of bids, trade contracts and leases (other than Indebtedness), statutory obligations, surety and appeal bonds, performance bonds and other obligations of a like nature incurred in the ordinary course of business and (ii) obligations in respect of letters of credit or bank guarantees that have been posted to support payment of the items set forth in the foregoing clause (i);</w:t>
      </w:r>
    </w:p>
    <w:p>
      <w:pPr>
        <w:spacing w:after="0" w:line="155" w:lineRule="exact"/>
        <w:rPr>
          <w:rFonts w:ascii="Arial" w:cs="Arial" w:eastAsia="Arial" w:hAnsi="Arial"/>
          <w:sz w:val="20"/>
          <w:szCs w:val="20"/>
          <w:color w:val="auto"/>
        </w:rPr>
      </w:pPr>
    </w:p>
    <w:p>
      <w:pPr>
        <w:jc w:val="both"/>
        <w:ind w:left="660" w:firstLine="644"/>
        <w:spacing w:after="0" w:line="218" w:lineRule="auto"/>
        <w:tabs>
          <w:tab w:leader="none" w:pos="1944" w:val="left"/>
        </w:tabs>
        <w:numPr>
          <w:ilvl w:val="1"/>
          <w:numId w:val="179"/>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affecting real property which, in the aggregate do not in any case materially detract from the value of the property subject thereto or materially interfere with the ordinary conduct of the business of the applicable Person;</w:t>
      </w:r>
    </w:p>
    <w:p>
      <w:pPr>
        <w:spacing w:after="0" w:line="156" w:lineRule="exact"/>
        <w:rPr>
          <w:rFonts w:ascii="Arial" w:cs="Arial" w:eastAsia="Arial" w:hAnsi="Arial"/>
          <w:sz w:val="20"/>
          <w:szCs w:val="20"/>
          <w:color w:val="auto"/>
        </w:rPr>
      </w:pPr>
    </w:p>
    <w:p>
      <w:pPr>
        <w:ind w:left="660" w:firstLine="644"/>
        <w:spacing w:after="0" w:line="229" w:lineRule="auto"/>
        <w:tabs>
          <w:tab w:leader="none" w:pos="1944" w:val="left"/>
        </w:tabs>
        <w:numPr>
          <w:ilvl w:val="1"/>
          <w:numId w:val="179"/>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(or securing appeal or other surety bonds relating to such judgments)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left="660" w:firstLine="644"/>
        <w:spacing w:after="0" w:line="210" w:lineRule="auto"/>
        <w:tabs>
          <w:tab w:leader="none" w:pos="1954" w:val="left"/>
        </w:tabs>
        <w:numPr>
          <w:ilvl w:val="1"/>
          <w:numId w:val="179"/>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7.02(c)</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do not at any time encumber any property other than the property financed by such Indebtedness except for accessions to such property and the proceeds and the products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individual financings of equipment permitted to be secured hereunder provided by one Person (or its Affiliates) may be cross collateralized to other financings of equipment under </w:t>
      </w:r>
      <w:r>
        <w:rPr>
          <w:rFonts w:ascii="Arial" w:cs="Arial" w:eastAsia="Arial" w:hAnsi="Arial"/>
          <w:sz w:val="20"/>
          <w:szCs w:val="20"/>
          <w:u w:val="single" w:color="auto"/>
          <w:color w:val="auto"/>
        </w:rPr>
        <w:t>Section 7.02(c)</w:t>
      </w:r>
      <w:r>
        <w:rPr>
          <w:rFonts w:ascii="Arial" w:cs="Arial" w:eastAsia="Arial" w:hAnsi="Arial"/>
          <w:sz w:val="20"/>
          <w:szCs w:val="20"/>
          <w:color w:val="auto"/>
        </w:rPr>
        <w:t xml:space="preserve"> provided by such Person (or its Affiliates);</w:t>
      </w:r>
    </w:p>
    <w:p>
      <w:pPr>
        <w:spacing w:after="0" w:line="154" w:lineRule="exact"/>
        <w:rPr>
          <w:rFonts w:ascii="Arial" w:cs="Arial" w:eastAsia="Arial" w:hAnsi="Arial"/>
          <w:sz w:val="20"/>
          <w:szCs w:val="20"/>
          <w:color w:val="auto"/>
        </w:rPr>
      </w:pPr>
    </w:p>
    <w:p>
      <w:pPr>
        <w:jc w:val="both"/>
        <w:ind w:left="660" w:firstLine="644"/>
        <w:spacing w:after="0" w:line="231" w:lineRule="auto"/>
        <w:tabs>
          <w:tab w:leader="none" w:pos="195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(i) bankers’ Liens, rights of setoff and other similar Liens existing solely with respect to cash, Cash Equivalents and other investment securities on deposit in one or more accounts maintained by the Company or any of its Restricted Subsidiaries, in each case in the ordinary course of business in favor of the bank or banks with which such accounts are maintained;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case shall any such Liens secure (either directly or indirectly) the repayment of any Indebtedness for borrowed money; and (ii) Liens relating to pooled deposit or sweep accounts of the Company or any of its Restricted Subsidiaries to permit satisfaction of overdraft of similar obligations incurred in the ordinary course of business of the Company and its Restricted Subsidiaries;</w:t>
      </w:r>
    </w:p>
    <w:p>
      <w:pPr>
        <w:spacing w:after="0" w:line="154" w:lineRule="exact"/>
        <w:rPr>
          <w:rFonts w:ascii="Arial" w:cs="Arial" w:eastAsia="Arial" w:hAnsi="Arial"/>
          <w:sz w:val="18"/>
          <w:szCs w:val="18"/>
          <w:color w:val="auto"/>
        </w:rPr>
      </w:pPr>
    </w:p>
    <w:p>
      <w:pPr>
        <w:jc w:val="both"/>
        <w:ind w:left="660" w:firstLine="644"/>
        <w:spacing w:after="0" w:line="250" w:lineRule="auto"/>
        <w:tabs>
          <w:tab w:leader="none" w:pos="194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 any interest or title of a lessor, licensor, sublicensor, or sublessor under any lease, license, sublicense or sublease entered into by any Loan Party or any Restricted Subsidiary thereof in the ordinary course of business and covering only the assets so leased, licensed, sublicensed or subleased, and (ii) leases, licenses, subleases, or sublicenses (A) existing as of the date hereof, (B) between or among any Loan Parties and Restricted Subsidiaries, or (C) granted to others in the ordinary course of business and which do not (x) interfere in any material respect with the business of the Loan Parties and the Restricted Subsidiaries, taken as a whole, or</w:t>
      </w:r>
    </w:p>
    <w:p>
      <w:pPr>
        <w:spacing w:after="0" w:line="2" w:lineRule="exact"/>
        <w:rPr>
          <w:rFonts w:ascii="Arial" w:cs="Arial" w:eastAsia="Arial" w:hAnsi="Arial"/>
          <w:sz w:val="16"/>
          <w:szCs w:val="16"/>
          <w:color w:val="auto"/>
        </w:rPr>
      </w:pPr>
    </w:p>
    <w:p>
      <w:pPr>
        <w:ind w:left="940" w:hanging="284"/>
        <w:spacing w:after="0"/>
        <w:tabs>
          <w:tab w:leader="none" w:pos="9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secure any Indebtedness;</w:t>
      </w:r>
    </w:p>
    <w:p>
      <w:pPr>
        <w:spacing w:after="0" w:line="157" w:lineRule="exact"/>
        <w:rPr>
          <w:rFonts w:ascii="Arial" w:cs="Arial" w:eastAsia="Arial" w:hAnsi="Arial"/>
          <w:sz w:val="20"/>
          <w:szCs w:val="20"/>
          <w:color w:val="auto"/>
        </w:rPr>
      </w:pPr>
    </w:p>
    <w:p>
      <w:pPr>
        <w:ind w:left="1940" w:hanging="636"/>
        <w:spacing w:after="0"/>
        <w:tabs>
          <w:tab w:leader="none" w:pos="19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4-208 or 4-210 of the UCC on items in the course of collection,</w:t>
      </w:r>
    </w:p>
    <w:p>
      <w:pPr>
        <w:ind w:left="660" w:hanging="4"/>
        <w:spacing w:after="0" w:line="232" w:lineRule="auto"/>
        <w:tabs>
          <w:tab w:leader="none" w:pos="95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attaching to commodities trading accounts or other commodities brokerage accounts in the ordinary course of business or (iii) in favor of a banking institution or securities intermediary arising as a matter of law or under the banking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40"/>
          </w:cols>
          <w:pgMar w:left="320" w:top="1405" w:right="339" w:bottom="1440" w:gutter="0" w:footer="0" w:header="0"/>
        </w:sectPr>
      </w:pPr>
    </w:p>
    <w:bookmarkStart w:id="149" w:name="page150"/>
    <w:bookmarkEnd w:id="149"/>
    <w:p>
      <w:pPr>
        <w:ind w:left="660" w:right="20"/>
        <w:spacing w:after="0" w:line="229" w:lineRule="auto"/>
        <w:rPr>
          <w:sz w:val="20"/>
          <w:szCs w:val="20"/>
          <w:color w:val="auto"/>
        </w:rPr>
      </w:pPr>
      <w:r>
        <w:rPr>
          <w:rFonts w:ascii="Arial" w:cs="Arial" w:eastAsia="Arial" w:hAnsi="Arial"/>
          <w:sz w:val="20"/>
          <w:szCs w:val="20"/>
          <w:color w:val="auto"/>
        </w:rPr>
        <w:t xml:space="preserve">general terms of business encumbering deposits (including the right of set-off);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case shall any such Liens secure (either directly or indirectly) the repayment of any Indebtedness for borrowed money;</w:t>
      </w:r>
    </w:p>
    <w:p>
      <w:pPr>
        <w:spacing w:after="0" w:line="155" w:lineRule="exact"/>
        <w:rPr>
          <w:sz w:val="20"/>
          <w:szCs w:val="20"/>
          <w:color w:val="auto"/>
        </w:rPr>
      </w:pPr>
    </w:p>
    <w:p>
      <w:pPr>
        <w:ind w:left="1940" w:hanging="636"/>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zoning, building or similar laws or rights reserved to or vested in any Governmental Authority;</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660" w:firstLine="644"/>
        <w:spacing w:after="0" w:line="229" w:lineRule="auto"/>
        <w:tabs>
          <w:tab w:leader="none" w:pos="1944"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55" w:lineRule="exact"/>
        <w:rPr>
          <w:rFonts w:ascii="Arial" w:cs="Arial" w:eastAsia="Arial" w:hAnsi="Arial"/>
          <w:sz w:val="20"/>
          <w:szCs w:val="20"/>
          <w:color w:val="auto"/>
        </w:rPr>
      </w:pPr>
    </w:p>
    <w:p>
      <w:pPr>
        <w:jc w:val="both"/>
        <w:ind w:left="660" w:firstLine="644"/>
        <w:spacing w:after="0" w:line="218" w:lineRule="auto"/>
        <w:tabs>
          <w:tab w:leader="none" w:pos="19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Liens (i) on cash or Cash Equivalent advances or escrow deposits in favor of the seller of any property to be acquired in an Investment to be applied against the purchase price for such Investment or otherwise in connection with any escrow arrangements with respect to any such Investment or any Disposition not prohibited by this Agreement (including any letter of intent or purchase agreement with respect to such Investment or Disposition), or (ii) consisting of an agreement to dispose of any property in a Disposition not prohibited by this Agreement, in each case, solely to the extent such Investment or Disposition, as the case may be, would have been permitted on the date of the creation of such Lien;</w:t>
      </w:r>
    </w:p>
    <w:p>
      <w:pPr>
        <w:spacing w:after="0" w:line="159" w:lineRule="exact"/>
        <w:rPr>
          <w:rFonts w:ascii="Arial" w:cs="Arial" w:eastAsia="Arial" w:hAnsi="Arial"/>
          <w:sz w:val="19"/>
          <w:szCs w:val="19"/>
          <w:color w:val="auto"/>
        </w:rPr>
      </w:pPr>
    </w:p>
    <w:p>
      <w:pPr>
        <w:ind w:left="660" w:firstLine="644"/>
        <w:spacing w:after="0" w:line="229" w:lineRule="auto"/>
        <w:tabs>
          <w:tab w:leader="none" w:pos="195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Liens on assets of the Company or any of its Restricted Subsidiaries securing obligations owed to the Company and/or any of its Restricted Subsidiaries;</w:t>
      </w:r>
    </w:p>
    <w:p>
      <w:pPr>
        <w:spacing w:after="0" w:line="155" w:lineRule="exact"/>
        <w:rPr>
          <w:rFonts w:ascii="Arial" w:cs="Arial" w:eastAsia="Arial" w:hAnsi="Arial"/>
          <w:sz w:val="20"/>
          <w:szCs w:val="20"/>
          <w:color w:val="auto"/>
        </w:rPr>
      </w:pPr>
    </w:p>
    <w:p>
      <w:pPr>
        <w:jc w:val="both"/>
        <w:ind w:left="660" w:firstLine="644"/>
        <w:spacing w:after="0" w:line="224" w:lineRule="auto"/>
        <w:tabs>
          <w:tab w:leader="none" w:pos="194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 Liens existing on assets or property of any Person that becomes a Restricted Subsidiary (or of any Person not previously a Restricted Subsidiary that is merged, amalgamated or consolidated with or into the Company or a Restricted Subsidiary) at the time such Person becomes a Restricted Subsidiary (other than as a result of a Subsidiary Redesignation);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not created in contemplation of such Person becoming a Restricted Subsidiary, (B) such Lien does not extend to or cover any other assets or property of such Person (other than improvements thereon, replacements and products thereof, additions and accessions thereto or proceeds thereof and other after-acquired property subjected to a Lien securing Indebtedness and other obligations incurred prior to such time and which Indebtedness and other obligations are not prohibited hereunder that require, pursuant to their terms at such time, a pledge of after-acquired property), and (C) such Lien shall secure only those obligations which it secures on the date such Person becomes a Restricted Subsidiary; and (ii) amendments, modifications, extensions, refinancings, renewals and replacements of Liens of the type set forth in </w:t>
      </w:r>
      <w:r>
        <w:rPr>
          <w:rFonts w:ascii="Arial" w:cs="Arial" w:eastAsia="Arial" w:hAnsi="Arial"/>
          <w:sz w:val="18"/>
          <w:szCs w:val="18"/>
          <w:u w:val="single" w:color="auto"/>
          <w:color w:val="auto"/>
        </w:rPr>
        <w:t>Section 7.01(s)(i)</w:t>
      </w:r>
      <w:r>
        <w:rPr>
          <w:rFonts w:ascii="Arial" w:cs="Arial" w:eastAsia="Arial" w:hAnsi="Arial"/>
          <w:sz w:val="18"/>
          <w:szCs w:val="18"/>
          <w:color w:val="auto"/>
        </w:rPr>
        <w:t xml:space="preserve"> that do not increase the outstanding principal amount of the obligations secured thereby (other than by an amount equal to a reasonable premium or other reasonable amount paid, and fees and expenses reasonably incurred, in connection with such amendment, modification, extension, refinancing, renewal or replacement, and by an amount equal to any accrued interest on the underlying obligation relating thereto);</w:t>
      </w:r>
    </w:p>
    <w:p>
      <w:pPr>
        <w:spacing w:after="0" w:line="161" w:lineRule="exact"/>
        <w:rPr>
          <w:rFonts w:ascii="Arial" w:cs="Arial" w:eastAsia="Arial" w:hAnsi="Arial"/>
          <w:sz w:val="18"/>
          <w:szCs w:val="18"/>
          <w:color w:val="auto"/>
        </w:rPr>
      </w:pPr>
    </w:p>
    <w:p>
      <w:pPr>
        <w:ind w:left="1940" w:hanging="636"/>
        <w:spacing w:after="0"/>
        <w:tabs>
          <w:tab w:leader="none" w:pos="194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Liens deemed to exist in connection with Investments in repurchase agreements related to Cash Equivalents;</w:t>
      </w:r>
    </w:p>
    <w:p>
      <w:pPr>
        <w:spacing w:after="0" w:line="186" w:lineRule="exact"/>
        <w:rPr>
          <w:rFonts w:ascii="Arial" w:cs="Arial" w:eastAsia="Arial" w:hAnsi="Arial"/>
          <w:sz w:val="19"/>
          <w:szCs w:val="19"/>
          <w:color w:val="auto"/>
        </w:rPr>
      </w:pPr>
    </w:p>
    <w:p>
      <w:pPr>
        <w:jc w:val="both"/>
        <w:ind w:left="660" w:firstLine="644"/>
        <w:spacing w:after="0" w:line="217" w:lineRule="auto"/>
        <w:tabs>
          <w:tab w:leader="none" w:pos="19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(i) Liens existing on assets or property at the time such assets or property is acquired by the Company or any of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Lien was not created in contemplation of such acquisition, (B) such Lien does not extend to or cover any other assets or property not covered at the time of such acquisition (other than improvements thereon, replacements and products thereof, additions and accessions thereto or proceeds thereof and other after-acquired property subjected to a Lien securing Indebtedness and other obligations incurred prior to such time and which Indebtedness and other obligations are not prohibited hereunder that require, pursuant to their terms at such time, a pledge of after-acquired property), and (C) such Lien shall secure only those obligations which it secures on the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40"/>
          </w:cols>
          <w:pgMar w:left="320" w:top="1405" w:right="339" w:bottom="1440" w:gutter="0" w:footer="0" w:header="0"/>
        </w:sectPr>
      </w:pPr>
    </w:p>
    <w:bookmarkStart w:id="150" w:name="page151"/>
    <w:bookmarkEnd w:id="150"/>
    <w:p>
      <w:pPr>
        <w:jc w:val="both"/>
        <w:ind w:left="660"/>
        <w:spacing w:after="0" w:line="210" w:lineRule="auto"/>
        <w:rPr>
          <w:sz w:val="20"/>
          <w:szCs w:val="20"/>
          <w:color w:val="auto"/>
        </w:rPr>
      </w:pPr>
      <w:r>
        <w:rPr>
          <w:rFonts w:ascii="Arial" w:cs="Arial" w:eastAsia="Arial" w:hAnsi="Arial"/>
          <w:sz w:val="20"/>
          <w:szCs w:val="20"/>
          <w:color w:val="auto"/>
        </w:rPr>
        <w:t xml:space="preserve">acquisition; and (ii) amendments, modifications, extensions, refinancings, renewals and replacements of Liens of the type set forth in </w:t>
      </w:r>
      <w:r>
        <w:rPr>
          <w:rFonts w:ascii="Arial" w:cs="Arial" w:eastAsia="Arial" w:hAnsi="Arial"/>
          <w:sz w:val="20"/>
          <w:szCs w:val="20"/>
          <w:u w:val="single" w:color="auto"/>
          <w:color w:val="auto"/>
        </w:rPr>
        <w:t>Section 7.01(u)(i)</w:t>
      </w:r>
      <w:r>
        <w:rPr>
          <w:rFonts w:ascii="Arial" w:cs="Arial" w:eastAsia="Arial" w:hAnsi="Arial"/>
          <w:sz w:val="20"/>
          <w:szCs w:val="20"/>
          <w:color w:val="auto"/>
        </w:rPr>
        <w:t xml:space="preserve"> that do not increase the outstanding principal amount of the obligations secured thereby (other than by an amount equal to a reasonable premium or other reasonable amount paid, and fees and expenses reasonably incurred, in connection with such amendment, modification, extension, refinancing, renewal or replacement, and by an amount equal to any accrued interest on the underlying obligation relating thereto);</w:t>
      </w:r>
    </w:p>
    <w:p>
      <w:pPr>
        <w:spacing w:after="0" w:line="155" w:lineRule="exact"/>
        <w:rPr>
          <w:sz w:val="20"/>
          <w:szCs w:val="20"/>
          <w:color w:val="auto"/>
        </w:rPr>
      </w:pPr>
    </w:p>
    <w:p>
      <w:pPr>
        <w:ind w:left="660" w:right="20" w:firstLine="644"/>
        <w:spacing w:after="0" w:line="229" w:lineRule="auto"/>
        <w:tabs>
          <w:tab w:leader="none" w:pos="194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securing the financing of the premiums with respect thereto and deposits made in the ordinary course of business to secure liability to insurance carriers;</w:t>
      </w:r>
    </w:p>
    <w:p>
      <w:pPr>
        <w:spacing w:after="0" w:line="155" w:lineRule="exact"/>
        <w:rPr>
          <w:rFonts w:ascii="Arial" w:cs="Arial" w:eastAsia="Arial" w:hAnsi="Arial"/>
          <w:sz w:val="20"/>
          <w:szCs w:val="20"/>
          <w:color w:val="auto"/>
        </w:rPr>
      </w:pPr>
    </w:p>
    <w:p>
      <w:pPr>
        <w:ind w:left="660" w:firstLine="644"/>
        <w:spacing w:after="0" w:line="229" w:lineRule="auto"/>
        <w:tabs>
          <w:tab w:leader="none" w:pos="1947" w:val="left"/>
        </w:tabs>
        <w:numPr>
          <w:ilvl w:val="0"/>
          <w:numId w:val="183"/>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purchase or sale of goods entered into by the Company or any Restricted Subsidiary in the ordinary course of business;</w:t>
      </w:r>
    </w:p>
    <w:p>
      <w:pPr>
        <w:spacing w:after="0" w:line="155" w:lineRule="exact"/>
        <w:rPr>
          <w:rFonts w:ascii="Arial" w:cs="Arial" w:eastAsia="Arial" w:hAnsi="Arial"/>
          <w:sz w:val="20"/>
          <w:szCs w:val="20"/>
          <w:color w:val="auto"/>
        </w:rPr>
      </w:pPr>
    </w:p>
    <w:p>
      <w:pPr>
        <w:ind w:left="660" w:firstLine="644"/>
        <w:spacing w:after="0" w:line="242" w:lineRule="auto"/>
        <w:tabs>
          <w:tab w:leader="none" w:pos="194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that are contractual rights of set-off relating to purchase orders and other agreements entered into with customers and other counterparties of the Company or any of its Restricted Subsidiaries in the ordinary course of business;</w:t>
      </w:r>
    </w:p>
    <w:p>
      <w:pPr>
        <w:spacing w:after="0" w:line="151" w:lineRule="exact"/>
        <w:rPr>
          <w:rFonts w:ascii="Arial" w:cs="Arial" w:eastAsia="Arial" w:hAnsi="Arial"/>
          <w:sz w:val="19"/>
          <w:szCs w:val="19"/>
          <w:color w:val="auto"/>
        </w:rPr>
      </w:pPr>
    </w:p>
    <w:p>
      <w:pPr>
        <w:ind w:left="1940" w:hanging="636"/>
        <w:spacing w:after="0"/>
        <w:tabs>
          <w:tab w:leader="none" w:pos="19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prior rights of consignees and their lenders under consignment arrangements entered into in the ordinary course</w:t>
      </w:r>
    </w:p>
    <w:p>
      <w:pPr>
        <w:ind w:left="660"/>
        <w:spacing w:after="0"/>
        <w:rPr>
          <w:rFonts w:ascii="Arial" w:cs="Arial" w:eastAsia="Arial" w:hAnsi="Arial"/>
          <w:sz w:val="18"/>
          <w:szCs w:val="18"/>
          <w:color w:val="auto"/>
        </w:rPr>
      </w:pPr>
      <w:r>
        <w:rPr>
          <w:rFonts w:ascii="Arial" w:cs="Arial" w:eastAsia="Arial" w:hAnsi="Arial"/>
          <w:sz w:val="20"/>
          <w:szCs w:val="20"/>
          <w:color w:val="auto"/>
        </w:rPr>
        <w:t>of business;</w:t>
      </w:r>
    </w:p>
    <w:p>
      <w:pPr>
        <w:spacing w:after="0" w:line="159" w:lineRule="exact"/>
        <w:rPr>
          <w:rFonts w:ascii="Arial" w:cs="Arial" w:eastAsia="Arial" w:hAnsi="Arial"/>
          <w:sz w:val="18"/>
          <w:szCs w:val="18"/>
          <w:color w:val="auto"/>
        </w:rPr>
      </w:pPr>
    </w:p>
    <w:p>
      <w:pPr>
        <w:ind w:left="660" w:firstLine="644"/>
        <w:spacing w:after="0" w:line="229" w:lineRule="auto"/>
        <w:tabs>
          <w:tab w:leader="none" w:pos="194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Liens arising from precautionary UCC financing statements (or similar filings made with respect to any Foreign Subsidiary) regarding operating leases or other obligations not constituting Indebtedness;</w:t>
      </w:r>
    </w:p>
    <w:p>
      <w:pPr>
        <w:spacing w:after="0" w:line="155" w:lineRule="exact"/>
        <w:rPr>
          <w:sz w:val="20"/>
          <w:szCs w:val="20"/>
          <w:color w:val="auto"/>
        </w:rPr>
      </w:pPr>
    </w:p>
    <w:p>
      <w:pPr>
        <w:ind w:left="660" w:firstLine="644"/>
        <w:spacing w:after="0" w:line="229" w:lineRule="auto"/>
        <w:tabs>
          <w:tab w:leader="none" w:pos="1953"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Liens securing insurance premiums financing arrangements;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are limited to the applicable unearned insurance premiums;</w:t>
      </w:r>
    </w:p>
    <w:p>
      <w:pPr>
        <w:spacing w:after="0" w:line="155" w:lineRule="exact"/>
        <w:rPr>
          <w:rFonts w:ascii="Arial" w:cs="Arial" w:eastAsia="Arial" w:hAnsi="Arial"/>
          <w:sz w:val="20"/>
          <w:szCs w:val="20"/>
          <w:color w:val="auto"/>
        </w:rPr>
      </w:pPr>
    </w:p>
    <w:p>
      <w:pPr>
        <w:jc w:val="both"/>
        <w:ind w:firstLine="980"/>
        <w:spacing w:after="0" w:line="218" w:lineRule="auto"/>
        <w:tabs>
          <w:tab w:leader="none" w:pos="158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 Liens on cash and Cash Equivalents in connection with a Guaranteed Hedge Agreement securing customary initial deposits and margin deposits which are required as a matter of Law and (ii) pledges or transfers of collateral to support bilateral mark-to-market security arrangements in respect of uncleared swap or derivative transactions;</w:t>
      </w:r>
    </w:p>
    <w:p>
      <w:pPr>
        <w:spacing w:after="0" w:line="156" w:lineRule="exact"/>
        <w:rPr>
          <w:rFonts w:ascii="Arial" w:cs="Arial" w:eastAsia="Arial" w:hAnsi="Arial"/>
          <w:sz w:val="20"/>
          <w:szCs w:val="20"/>
          <w:color w:val="auto"/>
        </w:rPr>
      </w:pPr>
    </w:p>
    <w:p>
      <w:pPr>
        <w:jc w:val="both"/>
        <w:ind w:firstLine="980"/>
        <w:spacing w:after="0" w:line="224" w:lineRule="auto"/>
        <w:tabs>
          <w:tab w:leader="none" w:pos="149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Liens consisting of pledges or deposits of cash or Cash Equivalents securing obligations in respect of customary (i) letters of credit or bank guarantees permitted under </w:t>
      </w:r>
      <w:r>
        <w:rPr>
          <w:rFonts w:ascii="Arial" w:cs="Arial" w:eastAsia="Arial" w:hAnsi="Arial"/>
          <w:sz w:val="19"/>
          <w:szCs w:val="19"/>
          <w:u w:val="single" w:color="auto"/>
          <w:color w:val="auto"/>
        </w:rPr>
        <w:t>Section 7.02(m)</w:t>
      </w:r>
      <w:r>
        <w:rPr>
          <w:rFonts w:ascii="Arial" w:cs="Arial" w:eastAsia="Arial" w:hAnsi="Arial"/>
          <w:sz w:val="19"/>
          <w:szCs w:val="19"/>
          <w:color w:val="auto"/>
        </w:rPr>
        <w:t xml:space="preserve"> or (ii) warehouse receipts or similar obligations permitted hereunder and, in each case, incurred in the ordinary course of business or consistent with past practice (provided that no such letters of credit, bank guarantees, warehouse receipts or similar obligations support obligations in respect of Indebtedness);</w:t>
      </w:r>
    </w:p>
    <w:p>
      <w:pPr>
        <w:spacing w:after="0" w:line="156" w:lineRule="exact"/>
        <w:rPr>
          <w:rFonts w:ascii="Arial" w:cs="Arial" w:eastAsia="Arial" w:hAnsi="Arial"/>
          <w:sz w:val="19"/>
          <w:szCs w:val="19"/>
          <w:color w:val="auto"/>
        </w:rPr>
      </w:pPr>
    </w:p>
    <w:p>
      <w:pPr>
        <w:jc w:val="both"/>
        <w:ind w:firstLine="980"/>
        <w:spacing w:after="0" w:line="218" w:lineRule="auto"/>
        <w:tabs>
          <w:tab w:leader="none" w:pos="152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Liens of sellers of goods to any Loan Party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56" w:lineRule="exact"/>
        <w:rPr>
          <w:rFonts w:ascii="Arial" w:cs="Arial" w:eastAsia="Arial" w:hAnsi="Arial"/>
          <w:sz w:val="20"/>
          <w:szCs w:val="20"/>
          <w:color w:val="auto"/>
        </w:rPr>
      </w:pPr>
    </w:p>
    <w:p>
      <w:pPr>
        <w:ind w:firstLine="980"/>
        <w:spacing w:after="0" w:line="229" w:lineRule="auto"/>
        <w:tabs>
          <w:tab w:leader="none" w:pos="1508"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 the case of any joint venture, any put and call arrangements related to its Equity Interests set forth in its organizational documents or any related joint venture or similar agreement; and</w:t>
      </w:r>
    </w:p>
    <w:p>
      <w:pPr>
        <w:spacing w:after="0" w:line="155" w:lineRule="exact"/>
        <w:rPr>
          <w:rFonts w:ascii="Arial" w:cs="Arial" w:eastAsia="Arial" w:hAnsi="Arial"/>
          <w:sz w:val="20"/>
          <w:szCs w:val="20"/>
          <w:color w:val="auto"/>
        </w:rPr>
      </w:pPr>
    </w:p>
    <w:p>
      <w:pPr>
        <w:jc w:val="both"/>
        <w:ind w:firstLine="980"/>
        <w:spacing w:after="0" w:line="231" w:lineRule="auto"/>
        <w:tabs>
          <w:tab w:leader="none" w:pos="146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other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any Indebtedness or obligations secured by Liens in reliance on this clause (ff), the aggregate outstanding principal amount of (i) all Indebtedness and other obligations secured by Liens in reliance on this clause (ff),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all Indebtedness incurred in reliance on </w:t>
      </w:r>
      <w:r>
        <w:rPr>
          <w:rFonts w:ascii="Arial" w:cs="Arial" w:eastAsia="Arial" w:hAnsi="Arial"/>
          <w:sz w:val="18"/>
          <w:szCs w:val="18"/>
          <w:u w:val="single" w:color="auto"/>
          <w:color w:val="auto"/>
        </w:rPr>
        <w:t>Section 7.02(u)</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all Indebtedness of Unrestricted Subsidiaries Guaranteed by the Company or any Restricted Subsidiary, shall not exceed seventeen and one-half percent (17.5%) of Consolidated Net Worth (determined as of the last day of the most recent fiscal quarter for which financial statements shall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(or, prior to the delivery of any such financial statements, determined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40"/>
          </w:cols>
          <w:pgMar w:left="320" w:top="1405" w:right="339" w:bottom="1440" w:gutter="0" w:footer="0" w:header="0"/>
        </w:sectPr>
      </w:pPr>
    </w:p>
    <w:bookmarkStart w:id="151" w:name="page152"/>
    <w:bookmarkEnd w:id="151"/>
    <w:p>
      <w:pPr>
        <w:ind w:left="69"/>
        <w:spacing w:after="0"/>
        <w:rPr>
          <w:sz w:val="20"/>
          <w:szCs w:val="20"/>
          <w:color w:val="auto"/>
        </w:rPr>
      </w:pPr>
      <w:r>
        <w:rPr>
          <w:rFonts w:ascii="Arial" w:cs="Arial" w:eastAsia="Arial" w:hAnsi="Arial"/>
          <w:sz w:val="18"/>
          <w:szCs w:val="18"/>
          <w:color w:val="auto"/>
        </w:rPr>
        <w:t>March 31, 2022 (or, once financial statements for the fiscal quarter ending June 30, 2022 are available, determined as of June 30, 2022))).</w:t>
      </w:r>
    </w:p>
    <w:p>
      <w:pPr>
        <w:spacing w:after="0" w:line="198" w:lineRule="exact"/>
        <w:rPr>
          <w:sz w:val="20"/>
          <w:szCs w:val="20"/>
          <w:color w:val="auto"/>
        </w:rPr>
      </w:pPr>
    </w:p>
    <w:p>
      <w:pPr>
        <w:jc w:val="both"/>
        <w:ind w:left="69"/>
        <w:spacing w:after="0" w:line="231"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in the event that a Lien securing an item of Indebtedness (or any portion thereof) meets the criteria of one or more of the categories of Permitted Liens (or any portion thereof) described in this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the Borrowers may, in their sole discretion, classify or divide such Lien securing such item of Indebtedness (or any portion thereof) in any manner that complies with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149" w:lineRule="exact"/>
        <w:rPr>
          <w:sz w:val="20"/>
          <w:szCs w:val="20"/>
          <w:color w:val="auto"/>
        </w:rPr>
      </w:pPr>
    </w:p>
    <w:p>
      <w:pPr>
        <w:ind w:left="289" w:hanging="289"/>
        <w:spacing w:after="0"/>
        <w:tabs>
          <w:tab w:leader="none" w:pos="289" w:val="left"/>
        </w:tabs>
        <w:numPr>
          <w:ilvl w:val="0"/>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Subsidiary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5246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24635" cy="8890"/>
                    </a:xfrm>
                    <a:prstGeom prst="rect">
                      <a:avLst/>
                    </a:prstGeom>
                    <a:noFill/>
                  </pic:spPr>
                </pic:pic>
              </a:graphicData>
            </a:graphic>
          </wp:anchor>
        </w:drawing>
      </w:r>
    </w:p>
    <w:p>
      <w:pPr>
        <w:spacing w:after="0" w:line="161" w:lineRule="exact"/>
        <w:rPr>
          <w:sz w:val="20"/>
          <w:szCs w:val="20"/>
          <w:color w:val="auto"/>
        </w:rPr>
      </w:pPr>
    </w:p>
    <w:p>
      <w:pPr>
        <w:ind w:left="729"/>
        <w:spacing w:after="0"/>
        <w:rPr>
          <w:sz w:val="20"/>
          <w:szCs w:val="20"/>
          <w:color w:val="auto"/>
        </w:rPr>
      </w:pPr>
      <w:r>
        <w:rPr>
          <w:rFonts w:ascii="Arial" w:cs="Arial" w:eastAsia="Arial" w:hAnsi="Arial"/>
          <w:sz w:val="20"/>
          <w:szCs w:val="20"/>
          <w:color w:val="auto"/>
        </w:rPr>
        <w:t>Permit any Restricted Subsidiary to create, incur, assume or suffer to exist any Indebtedness, except:</w:t>
      </w:r>
    </w:p>
    <w:p>
      <w:pPr>
        <w:spacing w:after="0" w:line="175" w:lineRule="exact"/>
        <w:rPr>
          <w:sz w:val="20"/>
          <w:szCs w:val="20"/>
          <w:color w:val="auto"/>
        </w:rPr>
      </w:pPr>
    </w:p>
    <w:p>
      <w:pPr>
        <w:ind w:left="2009" w:hanging="636"/>
        <w:spacing w:after="0"/>
        <w:tabs>
          <w:tab w:leader="none" w:pos="200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175" w:lineRule="exact"/>
        <w:rPr>
          <w:rFonts w:ascii="Arial" w:cs="Arial" w:eastAsia="Arial" w:hAnsi="Arial"/>
          <w:sz w:val="20"/>
          <w:szCs w:val="20"/>
          <w:color w:val="auto"/>
        </w:rPr>
      </w:pPr>
    </w:p>
    <w:p>
      <w:pPr>
        <w:jc w:val="both"/>
        <w:ind w:left="729" w:firstLine="644"/>
        <w:spacing w:after="0" w:line="216" w:lineRule="auto"/>
        <w:tabs>
          <w:tab w:leader="none" w:pos="201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Indebtedness outstanding on the Closing Date and listed on </w:t>
      </w:r>
      <w:r>
        <w:rPr>
          <w:rFonts w:ascii="Arial" w:cs="Arial" w:eastAsia="Arial" w:hAnsi="Arial"/>
          <w:sz w:val="19"/>
          <w:szCs w:val="19"/>
          <w:u w:val="single" w:color="auto"/>
          <w:color w:val="auto"/>
        </w:rPr>
        <w:t>Schedule 7.02</w:t>
      </w:r>
      <w:r>
        <w:rPr>
          <w:rFonts w:ascii="Arial" w:cs="Arial" w:eastAsia="Arial" w:hAnsi="Arial"/>
          <w:sz w:val="19"/>
          <w:szCs w:val="19"/>
          <w:color w:val="auto"/>
        </w:rPr>
        <w:t xml:space="preserve"> and any amendments, modification, refinancings, refundings,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amount of such Indebtedness is not increased at the time of such amendment, modification, refinancing, refunding, renewal or extension except by an amount equal to a reasonable premium or other reasonable amount paid, and fees and expenses reasonably incurred, in connection with such amendment, modification, refinancing, refunding, refinancing or extension (including upfront fees and original issue discount thereon) and by an amount equal to any accrued interest and existing commitments unutilized thereunder and (ii) the direct or any contingent obligor with respect thereto is not changed, as a result of or in connection with such amendment, modification, refinancing, refunding, renewal or extension;</w:t>
      </w:r>
    </w:p>
    <w:p>
      <w:pPr>
        <w:spacing w:after="0" w:line="154" w:lineRule="exact"/>
        <w:rPr>
          <w:rFonts w:ascii="Arial" w:cs="Arial" w:eastAsia="Arial" w:hAnsi="Arial"/>
          <w:sz w:val="19"/>
          <w:szCs w:val="19"/>
          <w:color w:val="auto"/>
        </w:rPr>
      </w:pPr>
    </w:p>
    <w:p>
      <w:pPr>
        <w:jc w:val="both"/>
        <w:ind w:left="729" w:firstLine="644"/>
        <w:spacing w:after="0" w:line="205" w:lineRule="auto"/>
        <w:tabs>
          <w:tab w:leader="none" w:pos="201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(i) Indebtedness in respect of Capitalized Leases, Synthetic Lease Obligations and purchase money obligations for fixed or capital assets within the limitations set forth in </w:t>
      </w:r>
      <w:r>
        <w:rPr>
          <w:rFonts w:ascii="Arial" w:cs="Arial" w:eastAsia="Arial" w:hAnsi="Arial"/>
          <w:sz w:val="20"/>
          <w:szCs w:val="20"/>
          <w:u w:val="single" w:color="auto"/>
          <w:color w:val="auto"/>
        </w:rPr>
        <w:t>Section 7.01(i)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such Indebtedness shall not exceed $100,000,000 in any fiscal year; and (ii) any renewal, refinancing or extension of Indebtedness permitted pursuant to </w:t>
      </w:r>
      <w:r>
        <w:rPr>
          <w:rFonts w:ascii="Arial" w:cs="Arial" w:eastAsia="Arial" w:hAnsi="Arial"/>
          <w:sz w:val="20"/>
          <w:szCs w:val="20"/>
          <w:u w:val="single" w:color="auto"/>
          <w:color w:val="auto"/>
        </w:rPr>
        <w:t>Section 7.02(c)(i)</w:t>
      </w:r>
      <w:r>
        <w:rPr>
          <w:rFonts w:ascii="Arial" w:cs="Arial" w:eastAsia="Arial" w:hAnsi="Arial"/>
          <w:sz w:val="20"/>
          <w:szCs w:val="20"/>
          <w:color w:val="auto"/>
        </w:rPr>
        <w:t>, so long as, after giving effect to such renewal, refinancing or extension, the principal amount of the renewed, refinanced or extended Indebtedness does not exceed the outstanding principal balance of the Indebtedness being renewed, refinanced or extended (except by an amount equal to a reasonable premium or other reasonable amount paid, and fees and expenses reasonably incurred, in connection with such renewal, refinancing or extension, and by an amount equal to any accrued interest thereon);</w:t>
      </w:r>
    </w:p>
    <w:p>
      <w:pPr>
        <w:spacing w:after="0" w:line="156" w:lineRule="exact"/>
        <w:rPr>
          <w:rFonts w:ascii="Arial" w:cs="Arial" w:eastAsia="Arial" w:hAnsi="Arial"/>
          <w:sz w:val="20"/>
          <w:szCs w:val="20"/>
          <w:color w:val="auto"/>
        </w:rPr>
      </w:pPr>
    </w:p>
    <w:p>
      <w:pPr>
        <w:jc w:val="both"/>
        <w:ind w:left="729" w:firstLine="644"/>
        <w:spacing w:after="0" w:line="218" w:lineRule="auto"/>
        <w:tabs>
          <w:tab w:leader="none" w:pos="201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Indebtedness owed to the Company or any Restricted Subsidiary (“</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Intercompany Debt shall be assigned to, or subjected to any Lien in favor of, a Person other than the Company and/or any Restricted Subsidiary;</w:t>
      </w:r>
    </w:p>
    <w:p>
      <w:pPr>
        <w:spacing w:after="0" w:line="156" w:lineRule="exact"/>
        <w:rPr>
          <w:rFonts w:ascii="Arial" w:cs="Arial" w:eastAsia="Arial" w:hAnsi="Arial"/>
          <w:sz w:val="20"/>
          <w:szCs w:val="20"/>
          <w:color w:val="auto"/>
        </w:rPr>
      </w:pPr>
    </w:p>
    <w:p>
      <w:pPr>
        <w:ind w:left="729" w:firstLine="644"/>
        <w:spacing w:after="0" w:line="229" w:lineRule="auto"/>
        <w:tabs>
          <w:tab w:leader="none" w:pos="201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Guarantees provided by any Restricted Subsidiary in respect of Indebtedness of (i) the Company, (ii) any other Restricted Subsidiary, to the extent such Indebtedness is permitted pursuant to this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729" w:firstLine="644"/>
        <w:spacing w:after="0" w:line="229" w:lineRule="auto"/>
        <w:tabs>
          <w:tab w:leader="none" w:pos="20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obligations (contingent or otherwise) existing or arising under any Swap Contract, provided that such obligations are (or were) entered into by such Person in the ordinary course of business;</w:t>
      </w:r>
    </w:p>
    <w:p>
      <w:pPr>
        <w:spacing w:after="0" w:line="155" w:lineRule="exact"/>
        <w:rPr>
          <w:rFonts w:ascii="Arial" w:cs="Arial" w:eastAsia="Arial" w:hAnsi="Arial"/>
          <w:sz w:val="20"/>
          <w:szCs w:val="20"/>
          <w:color w:val="auto"/>
        </w:rPr>
      </w:pPr>
    </w:p>
    <w:p>
      <w:pPr>
        <w:ind w:left="2009" w:hanging="636"/>
        <w:spacing w:after="0"/>
        <w:tabs>
          <w:tab w:leader="none" w:pos="200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Defeased Debt;</w:t>
      </w:r>
    </w:p>
    <w:p>
      <w:pPr>
        <w:spacing w:after="0" w:line="175" w:lineRule="exact"/>
        <w:rPr>
          <w:rFonts w:ascii="Arial" w:cs="Arial" w:eastAsia="Arial" w:hAnsi="Arial"/>
          <w:sz w:val="20"/>
          <w:szCs w:val="20"/>
          <w:color w:val="auto"/>
        </w:rPr>
      </w:pPr>
    </w:p>
    <w:p>
      <w:pPr>
        <w:ind w:left="2009" w:hanging="636"/>
        <w:spacing w:after="0"/>
        <w:tabs>
          <w:tab w:leader="none" w:pos="200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to the extent constituting Indebtedness, Warrant Transactions not otherwise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9"/>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309"/>
          </w:cols>
          <w:pgMar w:left="251" w:top="1405" w:right="339" w:bottom="1440" w:gutter="0" w:footer="0" w:header="0"/>
        </w:sectPr>
      </w:pPr>
    </w:p>
    <w:bookmarkStart w:id="152" w:name="page153"/>
    <w:bookmarkEnd w:id="152"/>
    <w:p>
      <w:pPr>
        <w:jc w:val="both"/>
        <w:ind w:left="660" w:firstLine="644"/>
        <w:spacing w:after="0" w:line="222" w:lineRule="auto"/>
        <w:tabs>
          <w:tab w:leader="none" w:pos="195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(i) Indebtedness of any Person that becomes a Restricted Subsidiary of the Company (or of any Person not previously a Subsidiary that is merged, amalgamated or consolidated with or into a Restricted Subsidiary)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Indebtedness is not incurred in contemplation of such Person becoming a Restricted Subsidiary, and (B) after giving effect to the incurrence of such Indebtedness the Loan Parties are in Pro Forma Compliance; and (ii) any amendments, modification, refinancings, refundings, renewals or extensions of Indebtedness permitted pursuant to </w:t>
      </w:r>
      <w:r>
        <w:rPr>
          <w:rFonts w:ascii="Arial" w:cs="Arial" w:eastAsia="Arial" w:hAnsi="Arial"/>
          <w:sz w:val="18"/>
          <w:szCs w:val="18"/>
          <w:u w:val="single" w:color="auto"/>
          <w:color w:val="auto"/>
        </w:rPr>
        <w:t>Section 7.02(i)(i)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 w:lineRule="exact"/>
        <w:rPr>
          <w:rFonts w:ascii="Arial" w:cs="Arial" w:eastAsia="Arial" w:hAnsi="Arial"/>
          <w:sz w:val="18"/>
          <w:szCs w:val="18"/>
          <w:color w:val="auto"/>
        </w:rPr>
      </w:pPr>
    </w:p>
    <w:p>
      <w:pPr>
        <w:jc w:val="both"/>
        <w:ind w:left="660" w:hanging="4"/>
        <w:spacing w:after="0" w:line="215" w:lineRule="auto"/>
        <w:tabs>
          <w:tab w:leader="none" w:pos="995"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amount of such Indebtedness is not increased at the time of such amendment, modification, refinancing, refunding, renewal or extension except by an amount equal to a reasonable premium or other reasonable amount paid, and fees and expenses reasonably incurred, in connection with such amendment, modification, refinancing, refunding, refinancing or extension (including upfront fees and original issue discount thereon) and by an amount equal to any accrued interest and existing commitments unutilized thereunder and (B) the direct or any contingent obligor with respect thereto is not changed, as a result of or in connection with such amendment, modification, refinancing, refunding, renewal or extension;</w:t>
      </w:r>
    </w:p>
    <w:p>
      <w:pPr>
        <w:spacing w:after="0" w:line="159" w:lineRule="exact"/>
        <w:rPr>
          <w:rFonts w:ascii="Arial" w:cs="Arial" w:eastAsia="Arial" w:hAnsi="Arial"/>
          <w:sz w:val="19"/>
          <w:szCs w:val="19"/>
          <w:color w:val="auto"/>
        </w:rPr>
      </w:pPr>
    </w:p>
    <w:p>
      <w:pPr>
        <w:ind w:left="1940" w:hanging="636"/>
        <w:spacing w:after="0"/>
        <w:tabs>
          <w:tab w:leader="none" w:pos="19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left="660" w:firstLine="644"/>
        <w:spacing w:after="0" w:line="224" w:lineRule="auto"/>
        <w:tabs>
          <w:tab w:leader="none" w:pos="1944" w:val="left"/>
        </w:tabs>
        <w:numPr>
          <w:ilvl w:val="1"/>
          <w:numId w:val="189"/>
        </w:numPr>
        <w:rPr>
          <w:rFonts w:ascii="Arial" w:cs="Arial" w:eastAsia="Arial" w:hAnsi="Arial"/>
          <w:sz w:val="19"/>
          <w:szCs w:val="19"/>
          <w:color w:val="auto"/>
        </w:rPr>
      </w:pPr>
      <w:r>
        <w:rPr>
          <w:rFonts w:ascii="Arial" w:cs="Arial" w:eastAsia="Arial" w:hAnsi="Arial"/>
          <w:sz w:val="19"/>
          <w:szCs w:val="19"/>
          <w:color w:val="auto"/>
        </w:rPr>
        <w:t>obligations of any Restricted Subsidiary in respect of any overdraft and related liabilities arising from treasury, depository, credit card, purchasing card and cash management services or any automated clearing house transfers of funds and other Indebtedness in respect of netting services, overdraft protections, cash pooling, employee credit cards and similar arrangements, in each case, in connection with deposit accounts in the ordinary course of business;</w:t>
      </w:r>
    </w:p>
    <w:p>
      <w:pPr>
        <w:spacing w:after="0" w:line="156" w:lineRule="exact"/>
        <w:rPr>
          <w:rFonts w:ascii="Arial" w:cs="Arial" w:eastAsia="Arial" w:hAnsi="Arial"/>
          <w:sz w:val="19"/>
          <w:szCs w:val="19"/>
          <w:color w:val="auto"/>
        </w:rPr>
      </w:pPr>
    </w:p>
    <w:p>
      <w:pPr>
        <w:jc w:val="both"/>
        <w:ind w:left="660" w:firstLine="644"/>
        <w:spacing w:after="0" w:line="230" w:lineRule="auto"/>
        <w:tabs>
          <w:tab w:leader="none" w:pos="1954" w:val="left"/>
        </w:tabs>
        <w:numPr>
          <w:ilvl w:val="1"/>
          <w:numId w:val="189"/>
        </w:numPr>
        <w:rPr>
          <w:rFonts w:ascii="Arial" w:cs="Arial" w:eastAsia="Arial" w:hAnsi="Arial"/>
          <w:sz w:val="19"/>
          <w:szCs w:val="19"/>
          <w:color w:val="auto"/>
        </w:rPr>
      </w:pPr>
      <w:r>
        <w:rPr>
          <w:rFonts w:ascii="Arial" w:cs="Arial" w:eastAsia="Arial" w:hAnsi="Arial"/>
          <w:sz w:val="19"/>
          <w:szCs w:val="19"/>
          <w:color w:val="auto"/>
        </w:rPr>
        <w:t>Indebtedness consisting of obligations in respect of surety, stay, customs and appeal bonds, performance bonds, performance and completion guarantees provided by any Restricted Subsidiary, and bank guarantees issued on behalf of Domestic Subsidiaries, in each case in the ordinary course of business or consistent with past practice;</w:t>
      </w:r>
    </w:p>
    <w:p>
      <w:pPr>
        <w:spacing w:after="0" w:line="154" w:lineRule="exact"/>
        <w:rPr>
          <w:rFonts w:ascii="Arial" w:cs="Arial" w:eastAsia="Arial" w:hAnsi="Arial"/>
          <w:sz w:val="19"/>
          <w:szCs w:val="19"/>
          <w:color w:val="auto"/>
        </w:rPr>
      </w:pPr>
    </w:p>
    <w:p>
      <w:pPr>
        <w:ind w:left="660" w:right="20" w:firstLine="644"/>
        <w:spacing w:after="0" w:line="229" w:lineRule="auto"/>
        <w:tabs>
          <w:tab w:leader="none" w:pos="1945"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Indebtedness under letters of credit or bank guarantees issued on behalf of Foreign Subsidiaries (and not issued under this Agreement) in an aggregate amount not to exceed $100,000,000 at any one time outstanding;</w:t>
      </w:r>
    </w:p>
    <w:p>
      <w:pPr>
        <w:spacing w:after="0" w:line="155" w:lineRule="exact"/>
        <w:rPr>
          <w:rFonts w:ascii="Arial" w:cs="Arial" w:eastAsia="Arial" w:hAnsi="Arial"/>
          <w:sz w:val="20"/>
          <w:szCs w:val="20"/>
          <w:color w:val="auto"/>
        </w:rPr>
      </w:pPr>
    </w:p>
    <w:p>
      <w:pPr>
        <w:jc w:val="both"/>
        <w:ind w:left="660" w:firstLine="644"/>
        <w:spacing w:after="0" w:line="218" w:lineRule="auto"/>
        <w:tabs>
          <w:tab w:leader="none" w:pos="1944"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Indebtedness representing deferred compensation or stock-based compensation or severance, pension and health and welfare benefits to employees and former employees, as applicable, of the Restricted Subsidiaries incurred in the ordinary course of business;</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944"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Indebtedness constituting indemnification obligations or obligations for the payment of the purchase price (pending the consummation of such transaction) or other contingent purchase price adjustments incurred in an Investment or any Disposition not prohibited by this Agreement;</w:t>
      </w:r>
    </w:p>
    <w:p>
      <w:pPr>
        <w:spacing w:after="0" w:line="156" w:lineRule="exact"/>
        <w:rPr>
          <w:rFonts w:ascii="Arial" w:cs="Arial" w:eastAsia="Arial" w:hAnsi="Arial"/>
          <w:sz w:val="20"/>
          <w:szCs w:val="20"/>
          <w:color w:val="auto"/>
        </w:rPr>
      </w:pPr>
    </w:p>
    <w:p>
      <w:pPr>
        <w:jc w:val="both"/>
        <w:ind w:left="660" w:firstLine="644"/>
        <w:spacing w:after="0" w:line="213" w:lineRule="auto"/>
        <w:tabs>
          <w:tab w:leader="none" w:pos="1944"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Indebtedness consisting of obligations under deferred consideration (earnouts, royalty payments, indemnifications, incentive non-competes, milestone payments and other contingent obligations) incurred in connection with any Acquisition or other Investment or otherwise in connection with research and development licensing agreements, collaboration agreements or development agreements;</w:t>
      </w:r>
    </w:p>
    <w:p>
      <w:pPr>
        <w:spacing w:after="0" w:line="155" w:lineRule="exact"/>
        <w:rPr>
          <w:rFonts w:ascii="Arial" w:cs="Arial" w:eastAsia="Arial" w:hAnsi="Arial"/>
          <w:sz w:val="20"/>
          <w:szCs w:val="20"/>
          <w:color w:val="auto"/>
        </w:rPr>
      </w:pPr>
    </w:p>
    <w:p>
      <w:pPr>
        <w:ind w:left="660" w:right="20" w:firstLine="644"/>
        <w:spacing w:after="0" w:line="229" w:lineRule="auto"/>
        <w:tabs>
          <w:tab w:leader="none" w:pos="1944"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Indebtedness consisting of insurance premium financing and take or pay obligations contained in supply agreements in the ordinary course of business;</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to the extent constituting Indebtedness, obligations that are being contested in accordance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40"/>
          </w:cols>
          <w:pgMar w:left="320" w:top="1405" w:right="339" w:bottom="1440" w:gutter="0" w:footer="0" w:header="0"/>
        </w:sectPr>
      </w:pPr>
    </w:p>
    <w:bookmarkStart w:id="153" w:name="page154"/>
    <w:bookmarkEnd w:id="153"/>
    <w:p>
      <w:pPr>
        <w:ind w:left="729" w:right="20" w:firstLine="644"/>
        <w:spacing w:after="0" w:line="229" w:lineRule="auto"/>
        <w:tabs>
          <w:tab w:leader="none" w:pos="202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customer advances or deposits or other endorsements for collection, deposit or negotiation and warranties of products or services, in each case received or incurred in the ordinary course of business; and</w:t>
      </w:r>
    </w:p>
    <w:p>
      <w:pPr>
        <w:spacing w:after="0" w:line="155" w:lineRule="exact"/>
        <w:rPr>
          <w:rFonts w:ascii="Arial" w:cs="Arial" w:eastAsia="Arial" w:hAnsi="Arial"/>
          <w:sz w:val="20"/>
          <w:szCs w:val="20"/>
          <w:color w:val="auto"/>
        </w:rPr>
      </w:pPr>
    </w:p>
    <w:p>
      <w:pPr>
        <w:jc w:val="both"/>
        <w:ind w:left="729" w:firstLine="644"/>
        <w:spacing w:after="0" w:line="228" w:lineRule="auto"/>
        <w:tabs>
          <w:tab w:leader="none" w:pos="201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other Indebtedness of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any Indebtedness in reliance on this clause (u), (i) the aggregate outstanding principal amount of (A) all Indebtedness incurred in reliance on this clause (u),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all Indebtedness and other obligations secured by Liens in reliance on </w:t>
      </w:r>
      <w:r>
        <w:rPr>
          <w:rFonts w:ascii="Arial" w:cs="Arial" w:eastAsia="Arial" w:hAnsi="Arial"/>
          <w:sz w:val="18"/>
          <w:szCs w:val="18"/>
          <w:u w:val="single" w:color="auto"/>
          <w:color w:val="auto"/>
        </w:rPr>
        <w:t>Section 7.01(ff</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all Indebtedness of Unrestricted Subsidiaries Guaranteed by the Company or any Restricted Subsidiary, shall not exceed seventeen and one-half percent (17.5%) of Consolidated Net Worth (determined as of the last day of the most recent fiscal quarter for which financial statements shall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(or, prior to the delivery of any such financial statements, determined as of March 31, 2022 (or, once financial statements for the fiscal quarter ending June 30, 2022 are available, determined as of June 30, 2022))) and (ii) the Loan Parties are in Pro Forma Compliance.</w:t>
      </w:r>
    </w:p>
    <w:p>
      <w:pPr>
        <w:spacing w:after="0" w:line="155" w:lineRule="exact"/>
        <w:rPr>
          <w:sz w:val="20"/>
          <w:szCs w:val="20"/>
          <w:color w:val="auto"/>
        </w:rPr>
      </w:pPr>
    </w:p>
    <w:p>
      <w:pPr>
        <w:jc w:val="both"/>
        <w:ind w:left="69" w:firstLine="648"/>
        <w:spacing w:after="0" w:line="229"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in the event that an item of Indebtedness (or any portion thereof) meets the criteria of one or more of the categories of permitted Indebtedness (or any portion thereof) described in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the Borrowers may, in their sole discretion, classify or divide such item of Indebtedness (or any portion thereof) in any manner that complies with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outstanding under this Agreement shall at all times be deemed to have been incurred pursuant to clause (a) of this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51" w:lineRule="exact"/>
        <w:rPr>
          <w:sz w:val="20"/>
          <w:szCs w:val="20"/>
          <w:color w:val="auto"/>
        </w:rPr>
      </w:pPr>
    </w:p>
    <w:p>
      <w:pPr>
        <w:ind w:left="289" w:hanging="289"/>
        <w:spacing w:after="0"/>
        <w:tabs>
          <w:tab w:leader="none" w:pos="289"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7874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87400" cy="8890"/>
                    </a:xfrm>
                    <a:prstGeom prst="rect">
                      <a:avLst/>
                    </a:prstGeom>
                    <a:noFill/>
                  </pic:spPr>
                </pic:pic>
              </a:graphicData>
            </a:graphic>
          </wp:anchor>
        </w:drawing>
      </w:r>
    </w:p>
    <w:p>
      <w:pPr>
        <w:spacing w:after="0" w:line="155" w:lineRule="exact"/>
        <w:rPr>
          <w:sz w:val="20"/>
          <w:szCs w:val="20"/>
          <w:color w:val="auto"/>
        </w:rPr>
      </w:pPr>
    </w:p>
    <w:p>
      <w:pPr>
        <w:ind w:left="289" w:hanging="289"/>
        <w:spacing w:after="0"/>
        <w:tabs>
          <w:tab w:leader="none" w:pos="289"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Fundamental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4198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19860" cy="8890"/>
                    </a:xfrm>
                    <a:prstGeom prst="rect">
                      <a:avLst/>
                    </a:prstGeom>
                    <a:noFill/>
                  </pic:spPr>
                </pic:pic>
              </a:graphicData>
            </a:graphic>
          </wp:anchor>
        </w:drawing>
      </w:r>
    </w:p>
    <w:p>
      <w:pPr>
        <w:spacing w:after="0" w:line="161" w:lineRule="exact"/>
        <w:rPr>
          <w:sz w:val="20"/>
          <w:szCs w:val="20"/>
          <w:color w:val="auto"/>
        </w:rPr>
      </w:pPr>
    </w:p>
    <w:p>
      <w:pPr>
        <w:ind w:left="69" w:right="20" w:firstLine="648"/>
        <w:spacing w:after="0" w:line="242" w:lineRule="auto"/>
        <w:rPr>
          <w:sz w:val="20"/>
          <w:szCs w:val="20"/>
          <w:color w:val="auto"/>
        </w:rPr>
      </w:pPr>
      <w:r>
        <w:rPr>
          <w:rFonts w:ascii="Arial" w:cs="Arial" w:eastAsia="Arial" w:hAnsi="Arial"/>
          <w:sz w:val="19"/>
          <w:szCs w:val="19"/>
          <w:color w:val="auto"/>
        </w:rPr>
        <w:t>Merge,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153" w:lineRule="exact"/>
        <w:rPr>
          <w:sz w:val="20"/>
          <w:szCs w:val="20"/>
          <w:color w:val="auto"/>
        </w:rPr>
      </w:pPr>
    </w:p>
    <w:p>
      <w:pPr>
        <w:jc w:val="both"/>
        <w:ind w:left="729" w:firstLine="644"/>
        <w:spacing w:after="0" w:line="228" w:lineRule="auto"/>
        <w:tabs>
          <w:tab w:leader="none" w:pos="201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or consolidate with or dissolve or liquidate into: (A)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the continuing or surviving Person; or (B) so long as no Event of Default would result therefrom, any one or more other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in any such transaction involving a Subsidiary Guarantor, (x) such Subsidiary Guarantor shall be the continuing or surviving Person, and (y) no such transaction shall cause any then-existing Subsidiary Guarantor to become a Subsidiary that would not be required to be a Subsidiary Guarantor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(2) in any such transaction involving a Foreign Subsidiary Borrower, to the extent no U.S. Loan Party is a party to such transaction (it being understood and agreed, for the avoidance of doubt, that to the extent a U.S. Loan Party is a party to such transaction, the other provisions of this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shall apply), such Foreign Subsidiary Borrower shall be the continuing or surviving Person;</w:t>
      </w:r>
    </w:p>
    <w:p>
      <w:pPr>
        <w:spacing w:after="0" w:line="154" w:lineRule="exact"/>
        <w:rPr>
          <w:rFonts w:ascii="Arial" w:cs="Arial" w:eastAsia="Arial" w:hAnsi="Arial"/>
          <w:sz w:val="18"/>
          <w:szCs w:val="18"/>
          <w:color w:val="auto"/>
        </w:rPr>
      </w:pPr>
    </w:p>
    <w:p>
      <w:pPr>
        <w:jc w:val="both"/>
        <w:ind w:left="729" w:firstLine="644"/>
        <w:spacing w:after="0" w:line="233" w:lineRule="auto"/>
        <w:tabs>
          <w:tab w:leader="none" w:pos="201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any Subsidiary Guarantor may Dispose of all or substantially all of its assets (including any Disposition that is in the nature of a liquidation) to any other U.S. Loan Party, (B) any Designated Foreign Borrower may Dispose of all or substantially all of its assets (including any Disposition that is in the nature of a liquidation) to any other Loan Party, and (C) any Restricted Subsidiary that is not a Loan Party may Dispose of all or substantially all of its assets (including any Disposition that is in the nature of a liquidation) to any Loan Party or, so long as no Event of Default would result therefrom, any other Restricted Subsidiary;</w:t>
      </w:r>
    </w:p>
    <w:p>
      <w:pPr>
        <w:spacing w:after="0" w:line="156" w:lineRule="exact"/>
        <w:rPr>
          <w:rFonts w:ascii="Arial" w:cs="Arial" w:eastAsia="Arial" w:hAnsi="Arial"/>
          <w:sz w:val="18"/>
          <w:szCs w:val="18"/>
          <w:color w:val="auto"/>
        </w:rPr>
      </w:pPr>
    </w:p>
    <w:p>
      <w:pPr>
        <w:jc w:val="both"/>
        <w:ind w:left="729" w:firstLine="644"/>
        <w:spacing w:after="0" w:line="244" w:lineRule="auto"/>
        <w:tabs>
          <w:tab w:leader="none" w:pos="201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exist or would result therefrom, each of the Company and any of its Restricted Subsidiaries may merge into or consolidate with any other Person (other than the Company or any of its Subsidiaries) or permit any other Person (other than the Company or any of its Subsidiaries)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9"/>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309"/>
          </w:cols>
          <w:pgMar w:left="251" w:top="1405" w:right="339" w:bottom="1440" w:gutter="0" w:footer="0" w:header="0"/>
        </w:sectPr>
      </w:pPr>
    </w:p>
    <w:bookmarkStart w:id="154" w:name="page155"/>
    <w:bookmarkEnd w:id="154"/>
    <w:p>
      <w:pPr>
        <w:jc w:val="both"/>
        <w:ind w:left="740"/>
        <w:spacing w:after="0" w:line="221" w:lineRule="auto"/>
        <w:rPr>
          <w:sz w:val="20"/>
          <w:szCs w:val="20"/>
          <w:color w:val="auto"/>
        </w:rPr>
      </w:pPr>
      <w:r>
        <w:rPr>
          <w:rFonts w:ascii="Arial" w:cs="Arial" w:eastAsia="Arial" w:hAnsi="Arial"/>
          <w:sz w:val="18"/>
          <w:szCs w:val="18"/>
          <w:color w:val="auto"/>
        </w:rPr>
        <w:t>each case, immediately after giving effect thereto (i) in the case of any such merger or consolidation to which a Borrower is a party (the “</w:t>
      </w:r>
      <w:r>
        <w:rPr>
          <w:rFonts w:ascii="Arial" w:cs="Arial" w:eastAsia="Arial" w:hAnsi="Arial"/>
          <w:sz w:val="18"/>
          <w:szCs w:val="18"/>
          <w:u w:val="single" w:color="auto"/>
          <w:color w:val="auto"/>
        </w:rPr>
        <w:t>Existing Borrower</w:t>
      </w:r>
      <w:r>
        <w:rPr>
          <w:rFonts w:ascii="Arial" w:cs="Arial" w:eastAsia="Arial" w:hAnsi="Arial"/>
          <w:sz w:val="18"/>
          <w:szCs w:val="18"/>
          <w:color w:val="auto"/>
        </w:rPr>
        <w:t>”), (A) the Existing Borrower is the surviving Person (and if the Company is a party to such merger or consolidation, the Company is the surviving Person) or (B) if the Person formed by or surviving any such merger or consolidation is not the Existing Borrower (any such Person,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 (1)(x) if the Existing Borrower is the Company, the Successor Borrower shall be an entity organized or existing under the Laws of the United States, any state thereof or the District of Columbia, and (y) if the Existing Borrower is a Designated Foreign Borrower, the Successor Borrower shall be an entity organized or existing under the Laws of the jurisdiction in which the Existing Borrower is organized or any other Approved Foreign Jurisdiction,</w:t>
      </w:r>
    </w:p>
    <w:p>
      <w:pPr>
        <w:spacing w:after="0" w:line="5" w:lineRule="exact"/>
        <w:rPr>
          <w:sz w:val="20"/>
          <w:szCs w:val="20"/>
          <w:color w:val="auto"/>
        </w:rPr>
      </w:pPr>
    </w:p>
    <w:p>
      <w:pPr>
        <w:jc w:val="both"/>
        <w:ind w:left="740" w:hanging="4"/>
        <w:spacing w:after="0" w:line="211" w:lineRule="auto"/>
        <w:tabs>
          <w:tab w:leader="none" w:pos="103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Successor Borrower shall expressly assume all the obligations of the Existing Borrower under this Agreement and the other Loan Documents to which the Existing Borrower is a party pursuant to customary documents in form and substance reasonably satisfactory to the Administrative Agent, (3) each applicable Guarantor shall have confirmed that its Guarantee shall apply to the Successor Borrower’s obligations under the Loan Documents (to the same extent as such Guarantee applied to the Existing Borrower’s obligations under the Loan Documents) pursuant to customary documents in form and substance reasonably satisfactory to the Administrative Agent, (4) the Company shall have delivered to the Administrative Agent such supporting resolutions, incumbency certificates, opinions of counsel and other documents or information, in form, content and scope reasonably satisfactory to the Administrative Agent, as may be required by the Administrative Agent and (5) the Administrative Agent and the Lenders shall have received all information and documentation required by applicable regulatory authorities in order to comply with applicable “know your customer” laws and regulations, Patriot Act, Beneficial Ownership Regulation, Sanctions, and other similar due diligence, in each case, reasonably requested in writing by the Administrative Agent and the Lenders, (ii) in the case of any such merger or consolidation to which any Subsidiary Guarantor is a party, such Subsidiary Guarantor is the surviving Person, and (iii) in the case of any such merger or consolidation to which any Restricted Subsidiary (other than a Loan Party) is a party, such Restricted Subsidiary is the surviving Person; and</w:t>
      </w:r>
    </w:p>
    <w:p>
      <w:pPr>
        <w:spacing w:after="0" w:line="156" w:lineRule="exact"/>
        <w:rPr>
          <w:rFonts w:ascii="Arial" w:cs="Arial" w:eastAsia="Arial" w:hAnsi="Arial"/>
          <w:sz w:val="19"/>
          <w:szCs w:val="19"/>
          <w:color w:val="auto"/>
        </w:rPr>
      </w:pPr>
    </w:p>
    <w:p>
      <w:pPr>
        <w:ind w:left="740" w:right="20" w:firstLine="644"/>
        <w:spacing w:after="0" w:line="229" w:lineRule="auto"/>
        <w:tabs>
          <w:tab w:leader="none" w:pos="2024" w:val="left"/>
        </w:tabs>
        <w:numPr>
          <w:ilvl w:val="1"/>
          <w:numId w:val="194"/>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or would result therefrom, the Company and its Restricted Subsidiaries may consummate Permitted Restructurings.</w:t>
      </w:r>
    </w:p>
    <w:p>
      <w:pPr>
        <w:spacing w:after="0" w:line="149" w:lineRule="exact"/>
        <w:rPr>
          <w:sz w:val="20"/>
          <w:szCs w:val="20"/>
          <w:color w:val="auto"/>
        </w:rPr>
      </w:pPr>
    </w:p>
    <w:p>
      <w:pPr>
        <w:ind w:left="300" w:hanging="289"/>
        <w:spacing w:after="0"/>
        <w:tabs>
          <w:tab w:leader="none" w:pos="30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175" w:lineRule="exact"/>
        <w:rPr>
          <w:rFonts w:ascii="Arial" w:cs="Arial" w:eastAsia="Arial" w:hAnsi="Arial"/>
          <w:sz w:val="20"/>
          <w:szCs w:val="20"/>
          <w:b w:val="1"/>
          <w:bCs w:val="1"/>
          <w:color w:val="auto"/>
        </w:rPr>
      </w:pPr>
    </w:p>
    <w:p>
      <w:pPr>
        <w:ind w:left="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6  [Reserved].</w:t>
      </w:r>
    </w:p>
    <w:p>
      <w:pPr>
        <w:spacing w:after="0" w:line="175" w:lineRule="exact"/>
        <w:rPr>
          <w:rFonts w:ascii="Arial" w:cs="Arial" w:eastAsia="Arial" w:hAnsi="Arial"/>
          <w:sz w:val="20"/>
          <w:szCs w:val="20"/>
          <w:b w:val="1"/>
          <w:bCs w:val="1"/>
          <w:color w:val="auto"/>
        </w:rPr>
      </w:pPr>
    </w:p>
    <w:p>
      <w:pPr>
        <w:ind w:left="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7  [Reserved].</w:t>
      </w:r>
    </w:p>
    <w:p>
      <w:pPr>
        <w:spacing w:after="0" w:line="175" w:lineRule="exact"/>
        <w:rPr>
          <w:rFonts w:ascii="Arial" w:cs="Arial" w:eastAsia="Arial" w:hAnsi="Arial"/>
          <w:sz w:val="20"/>
          <w:szCs w:val="20"/>
          <w:b w:val="1"/>
          <w:bCs w:val="1"/>
          <w:color w:val="auto"/>
        </w:rPr>
      </w:pPr>
    </w:p>
    <w:p>
      <w:pPr>
        <w:ind w:left="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8  [Reserved].</w:t>
      </w:r>
    </w:p>
    <w:p>
      <w:pPr>
        <w:spacing w:after="0" w:line="175" w:lineRule="exact"/>
        <w:rPr>
          <w:rFonts w:ascii="Arial" w:cs="Arial" w:eastAsia="Arial" w:hAnsi="Arial"/>
          <w:sz w:val="20"/>
          <w:szCs w:val="20"/>
          <w:b w:val="1"/>
          <w:bCs w:val="1"/>
          <w:color w:val="auto"/>
        </w:rPr>
      </w:pPr>
    </w:p>
    <w:p>
      <w:pPr>
        <w:ind w:left="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9  [Reserved].</w:t>
      </w:r>
    </w:p>
    <w:p>
      <w:pPr>
        <w:spacing w:after="0" w:line="175" w:lineRule="exact"/>
        <w:rPr>
          <w:rFonts w:ascii="Arial" w:cs="Arial" w:eastAsia="Arial" w:hAnsi="Arial"/>
          <w:sz w:val="20"/>
          <w:szCs w:val="20"/>
          <w:b w:val="1"/>
          <w:bCs w:val="1"/>
          <w:color w:val="auto"/>
        </w:rPr>
      </w:pPr>
    </w:p>
    <w:p>
      <w:pPr>
        <w:ind w:left="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0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-1296670</wp:posOffset>
            </wp:positionV>
            <wp:extent cx="787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-1039495</wp:posOffset>
            </wp:positionV>
            <wp:extent cx="787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-782320</wp:posOffset>
            </wp:positionV>
            <wp:extent cx="787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-525145</wp:posOffset>
            </wp:positionV>
            <wp:extent cx="787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-267970</wp:posOffset>
            </wp:positionV>
            <wp:extent cx="7874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-10795</wp:posOffset>
            </wp:positionV>
            <wp:extent cx="1050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18" w:lineRule="auto"/>
        <w:rPr>
          <w:sz w:val="20"/>
          <w:szCs w:val="20"/>
          <w:color w:val="auto"/>
        </w:rPr>
      </w:pPr>
      <w:r>
        <w:rPr>
          <w:rFonts w:ascii="Arial" w:cs="Arial" w:eastAsia="Arial" w:hAnsi="Arial"/>
          <w:sz w:val="20"/>
          <w:szCs w:val="20"/>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50" w:lineRule="exact"/>
        <w:rPr>
          <w:sz w:val="20"/>
          <w:szCs w:val="20"/>
          <w:color w:val="auto"/>
        </w:rPr>
      </w:pPr>
    </w:p>
    <w:p>
      <w:pPr>
        <w:spacing w:after="0"/>
        <w:tabs>
          <w:tab w:leader="none" w:pos="28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Financial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12522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24" w:lineRule="auto"/>
        <w:rPr>
          <w:sz w:val="20"/>
          <w:szCs w:val="20"/>
          <w:color w:val="auto"/>
        </w:rPr>
      </w:pPr>
      <w:r>
        <w:rPr>
          <w:rFonts w:ascii="Arial" w:cs="Arial" w:eastAsia="Arial" w:hAnsi="Arial"/>
          <w:sz w:val="19"/>
          <w:szCs w:val="19"/>
          <w:color w:val="auto"/>
        </w:rPr>
        <w:t xml:space="preserve">Permit the Consolidated Leverage Ratio as of the end of any Measurement Period (commencing with the Measurement Period ending September 30, 2022) to be greater than 3.50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consummation of a Material Acquisition and upon the written election of the Company (which may be exercised not more than three (3) times during the term of this Agreement) to the Administrative Agent (which shall promptly notify the Lenders), the Company may increase the maximum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320"/>
          </w:cols>
          <w:pgMar w:left="240" w:top="1405" w:right="339" w:bottom="1440" w:gutter="0" w:footer="0" w:header="0"/>
        </w:sectPr>
      </w:pPr>
    </w:p>
    <w:bookmarkStart w:id="155" w:name="page156"/>
    <w:bookmarkEnd w:id="155"/>
    <w:p>
      <w:pPr>
        <w:jc w:val="both"/>
        <w:ind w:left="69"/>
        <w:spacing w:after="0" w:line="210" w:lineRule="auto"/>
        <w:rPr>
          <w:sz w:val="20"/>
          <w:szCs w:val="20"/>
          <w:color w:val="auto"/>
        </w:rPr>
      </w:pPr>
      <w:r>
        <w:rPr>
          <w:rFonts w:ascii="Arial" w:cs="Arial" w:eastAsia="Arial" w:hAnsi="Arial"/>
          <w:sz w:val="20"/>
          <w:szCs w:val="20"/>
          <w:color w:val="auto"/>
        </w:rPr>
        <w:t>Leverage Ratio to 4.00 to 1.00 (the “</w:t>
      </w:r>
      <w:r>
        <w:rPr>
          <w:rFonts w:ascii="Arial" w:cs="Arial" w:eastAsia="Arial" w:hAnsi="Arial"/>
          <w:sz w:val="20"/>
          <w:szCs w:val="20"/>
          <w:u w:val="single" w:color="auto"/>
          <w:color w:val="auto"/>
        </w:rPr>
        <w:t>Adjusted Consolidated Leverage Ratio</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Adjusted Consolidated Leverage Ratio shall be effective as of the date of consummation of the Material Acquisition (including for determining Pro Forma Compliance with the requirements of this Agreement for such Material Acquisition) and shall apply for each of the four (4) fiscal quarters immediately following the consummation of such Material Acquisition (including, for the avoidance of doubt, the fiscal quarter in which such Material Acquisition was consummated).</w:t>
      </w:r>
    </w:p>
    <w:p>
      <w:pPr>
        <w:spacing w:after="0" w:line="149" w:lineRule="exact"/>
        <w:rPr>
          <w:sz w:val="20"/>
          <w:szCs w:val="20"/>
          <w:color w:val="auto"/>
        </w:rPr>
      </w:pPr>
    </w:p>
    <w:p>
      <w:pPr>
        <w:ind w:left="289" w:hanging="289"/>
        <w:spacing w:after="0"/>
        <w:tabs>
          <w:tab w:leader="none" w:pos="289"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175" w:lineRule="exact"/>
        <w:rPr>
          <w:rFonts w:ascii="Arial" w:cs="Arial" w:eastAsia="Arial" w:hAnsi="Arial"/>
          <w:sz w:val="20"/>
          <w:szCs w:val="20"/>
          <w:b w:val="1"/>
          <w:bCs w:val="1"/>
          <w:color w:val="auto"/>
        </w:rPr>
      </w:pPr>
    </w:p>
    <w:p>
      <w:pPr>
        <w:ind w:left="9"/>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3  [Reserved].</w:t>
      </w:r>
    </w:p>
    <w:p>
      <w:pPr>
        <w:spacing w:after="0" w:line="175" w:lineRule="exact"/>
        <w:rPr>
          <w:rFonts w:ascii="Arial" w:cs="Arial" w:eastAsia="Arial" w:hAnsi="Arial"/>
          <w:sz w:val="20"/>
          <w:szCs w:val="20"/>
          <w:b w:val="1"/>
          <w:bCs w:val="1"/>
          <w:color w:val="auto"/>
        </w:rPr>
      </w:pPr>
    </w:p>
    <w:p>
      <w:pPr>
        <w:ind w:left="9"/>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  [Reserved].</w:t>
      </w:r>
    </w:p>
    <w:p>
      <w:pPr>
        <w:spacing w:after="0" w:line="175" w:lineRule="exact"/>
        <w:rPr>
          <w:rFonts w:ascii="Arial" w:cs="Arial" w:eastAsia="Arial" w:hAnsi="Arial"/>
          <w:sz w:val="20"/>
          <w:szCs w:val="20"/>
          <w:b w:val="1"/>
          <w:bCs w:val="1"/>
          <w:color w:val="auto"/>
        </w:rPr>
      </w:pPr>
    </w:p>
    <w:p>
      <w:pPr>
        <w:ind w:left="9"/>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5  [Reserved].</w:t>
      </w:r>
    </w:p>
    <w:p>
      <w:pPr>
        <w:spacing w:after="0" w:line="175" w:lineRule="exact"/>
        <w:rPr>
          <w:rFonts w:ascii="Arial" w:cs="Arial" w:eastAsia="Arial" w:hAnsi="Arial"/>
          <w:sz w:val="20"/>
          <w:szCs w:val="20"/>
          <w:b w:val="1"/>
          <w:bCs w:val="1"/>
          <w:color w:val="auto"/>
        </w:rPr>
      </w:pPr>
    </w:p>
    <w:p>
      <w:pPr>
        <w:ind w:left="9"/>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6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-1039495</wp:posOffset>
            </wp:positionV>
            <wp:extent cx="787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-782320</wp:posOffset>
            </wp:positionV>
            <wp:extent cx="787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-525145</wp:posOffset>
            </wp:positionV>
            <wp:extent cx="787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-267970</wp:posOffset>
            </wp:positionV>
            <wp:extent cx="787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7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-10795</wp:posOffset>
            </wp:positionV>
            <wp:extent cx="7251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0" w:lineRule="auto"/>
        <w:rPr>
          <w:sz w:val="20"/>
          <w:szCs w:val="20"/>
          <w:color w:val="auto"/>
        </w:rPr>
      </w:pPr>
      <w:r>
        <w:rPr>
          <w:rFonts w:ascii="Arial" w:cs="Arial" w:eastAsia="Arial" w:hAnsi="Arial"/>
          <w:sz w:val="20"/>
          <w:szCs w:val="20"/>
          <w:color w:val="auto"/>
        </w:rPr>
        <w:t>Use any Credit Extension or the proceeds of any Credit Extension, or lend, contribute or otherwise make available such Credit Extension or the proceeds of any Credit Extension to any Person, to fund any activities of or business with any Sanctioned Person, or in any Designated Jurisdiction, in each case, in violation of applicable Sanctions, or in any other manner that will result in a violation by any Person party hereto (including any Person participating in the transaction, whether as Lender, as Arranger, Administrative Agent, L/C Issuer, Swingline Lender, or otherwise) of Sanctions.</w:t>
      </w:r>
    </w:p>
    <w:p>
      <w:pPr>
        <w:spacing w:after="0" w:line="149" w:lineRule="exact"/>
        <w:rPr>
          <w:sz w:val="20"/>
          <w:szCs w:val="20"/>
          <w:color w:val="auto"/>
        </w:rPr>
      </w:pPr>
    </w:p>
    <w:p>
      <w:pPr>
        <w:ind w:left="9"/>
        <w:spacing w:after="0"/>
        <w:tabs>
          <w:tab w:leader="none" w:pos="268"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8"/>
          <w:szCs w:val="18"/>
          <w:b w:val="1"/>
          <w:bCs w:val="1"/>
          <w:color w:val="auto"/>
        </w:rPr>
        <w:t>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4122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9" w:lineRule="auto"/>
        <w:rPr>
          <w:sz w:val="20"/>
          <w:szCs w:val="20"/>
          <w:color w:val="auto"/>
        </w:rPr>
      </w:pPr>
      <w:r>
        <w:rPr>
          <w:rFonts w:ascii="Arial" w:cs="Arial" w:eastAsia="Arial" w:hAnsi="Arial"/>
          <w:sz w:val="20"/>
          <w:szCs w:val="20"/>
          <w:color w:val="auto"/>
        </w:rPr>
        <w:t>Use any Credit Extension or the proceeds of any Credit Extension for any purpose which would breach the FCPA, the UK Bribery Act 2010 and other similar anti-corruption legislation in other jurisdictions.</w:t>
      </w:r>
    </w:p>
    <w:p>
      <w:pPr>
        <w:spacing w:after="0" w:line="149" w:lineRule="exact"/>
        <w:rPr>
          <w:sz w:val="20"/>
          <w:szCs w:val="20"/>
          <w:color w:val="auto"/>
        </w:rPr>
      </w:pPr>
    </w:p>
    <w:p>
      <w:pPr>
        <w:ind w:left="289" w:hanging="289"/>
        <w:spacing w:after="0"/>
        <w:tabs>
          <w:tab w:leader="none" w:pos="289"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Massachusetts Security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21628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20"/>
          <w:szCs w:val="20"/>
          <w:color w:val="auto"/>
        </w:rPr>
        <w:t>With regard to any Restricted Subsidiary that is a Massachusetts Security Corporation, conduct, transact or otherwise engage in any material operating or business activities other than investment activities that would not reasonably be expected to result in the loss of such Person’s qualification as a Massachusetts “security corporation” under Mass. Gen. L. c. 63, §38B.</w:t>
      </w:r>
    </w:p>
    <w:p>
      <w:pPr>
        <w:spacing w:after="0" w:line="150" w:lineRule="exact"/>
        <w:rPr>
          <w:sz w:val="20"/>
          <w:szCs w:val="20"/>
          <w:color w:val="auto"/>
        </w:rPr>
      </w:pPr>
    </w:p>
    <w:p>
      <w:pPr>
        <w:ind w:left="289" w:hanging="289"/>
        <w:spacing w:after="0"/>
        <w:tabs>
          <w:tab w:leader="none" w:pos="289" w:val="left"/>
        </w:tabs>
        <w:numPr>
          <w:ilvl w:val="0"/>
          <w:numId w:val="198"/>
        </w:numPr>
        <w:rPr>
          <w:rFonts w:ascii="Arial" w:cs="Arial" w:eastAsia="Arial" w:hAnsi="Arial"/>
          <w:sz w:val="20"/>
          <w:szCs w:val="20"/>
          <w:b w:val="1"/>
          <w:bCs w:val="1"/>
          <w:color w:val="auto"/>
        </w:rPr>
      </w:pPr>
      <w:r>
        <w:rPr>
          <w:rFonts w:ascii="Arial" w:cs="Arial" w:eastAsia="Arial" w:hAnsi="Arial"/>
          <w:sz w:val="20"/>
          <w:szCs w:val="20"/>
          <w:b w:val="1"/>
          <w:bCs w:val="1"/>
          <w:color w:val="auto"/>
        </w:rPr>
        <w:t>Unrestricted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5703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70355"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20"/>
          <w:szCs w:val="20"/>
          <w:color w:val="auto"/>
        </w:rPr>
        <w:t>Permit any Unrestricted Subsidiary to (a) own, or possess the right to use, any Material Intellectual Property, or (b) own any of the material economic rights derived from any Intellectual Property, in each case with respect to clause (a) or clause (b), covering the Cystic Fibrosis Drug Franchise Assets.</w:t>
      </w:r>
    </w:p>
    <w:p>
      <w:pPr>
        <w:spacing w:after="0" w:line="150" w:lineRule="exact"/>
        <w:rPr>
          <w:sz w:val="20"/>
          <w:szCs w:val="20"/>
          <w:color w:val="auto"/>
        </w:rPr>
      </w:pPr>
    </w:p>
    <w:p>
      <w:pPr>
        <w:ind w:left="4729"/>
        <w:spacing w:after="0"/>
        <w:rPr>
          <w:sz w:val="20"/>
          <w:szCs w:val="20"/>
          <w:color w:val="auto"/>
        </w:rPr>
      </w:pPr>
      <w:r>
        <w:rPr>
          <w:rFonts w:ascii="Arial" w:cs="Arial" w:eastAsia="Arial" w:hAnsi="Arial"/>
          <w:sz w:val="20"/>
          <w:szCs w:val="20"/>
          <w:b w:val="1"/>
          <w:bCs w:val="1"/>
          <w:color w:val="auto"/>
        </w:rPr>
        <w:t>ARTICLE VIII</w:t>
      </w:r>
    </w:p>
    <w:p>
      <w:pPr>
        <w:spacing w:after="0" w:line="148" w:lineRule="exact"/>
        <w:rPr>
          <w:sz w:val="20"/>
          <w:szCs w:val="20"/>
          <w:color w:val="auto"/>
        </w:rPr>
      </w:pPr>
    </w:p>
    <w:p>
      <w:pPr>
        <w:ind w:left="3869"/>
        <w:spacing w:after="0"/>
        <w:rPr>
          <w:sz w:val="20"/>
          <w:szCs w:val="20"/>
          <w:color w:val="auto"/>
        </w:rPr>
      </w:pPr>
      <w:r>
        <w:rPr>
          <w:rFonts w:ascii="Arial" w:cs="Arial" w:eastAsia="Arial" w:hAnsi="Arial"/>
          <w:sz w:val="20"/>
          <w:szCs w:val="20"/>
          <w:b w:val="1"/>
          <w:bCs w:val="1"/>
          <w:color w:val="auto"/>
        </w:rPr>
        <w:t>EVENTS OF DEFAULT AND REMEDIES</w:t>
      </w:r>
    </w:p>
    <w:p>
      <w:pPr>
        <w:spacing w:after="0" w:line="175" w:lineRule="exact"/>
        <w:rPr>
          <w:sz w:val="20"/>
          <w:szCs w:val="20"/>
          <w:color w:val="auto"/>
        </w:rPr>
      </w:pPr>
    </w:p>
    <w:p>
      <w:pPr>
        <w:ind w:left="289" w:hanging="289"/>
        <w:spacing w:after="0"/>
        <w:tabs>
          <w:tab w:leader="none" w:pos="289" w:val="left"/>
        </w:tabs>
        <w:numPr>
          <w:ilvl w:val="0"/>
          <w:numId w:val="199"/>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1366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61" w:lineRule="exact"/>
        <w:rPr>
          <w:sz w:val="20"/>
          <w:szCs w:val="20"/>
          <w:color w:val="auto"/>
        </w:rPr>
      </w:pPr>
    </w:p>
    <w:p>
      <w:pPr>
        <w:ind w:left="729"/>
        <w:spacing w:after="0"/>
        <w:rPr>
          <w:sz w:val="20"/>
          <w:szCs w:val="20"/>
          <w:color w:val="auto"/>
        </w:rPr>
      </w:pPr>
      <w:r>
        <w:rPr>
          <w:rFonts w:ascii="Arial" w:cs="Arial" w:eastAsia="Arial" w:hAnsi="Arial"/>
          <w:sz w:val="20"/>
          <w:szCs w:val="20"/>
          <w:color w:val="auto"/>
        </w:rPr>
        <w:t>Any of the following shall constitute an event of default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175" w:lineRule="exact"/>
        <w:rPr>
          <w:sz w:val="20"/>
          <w:szCs w:val="20"/>
          <w:color w:val="auto"/>
        </w:rPr>
      </w:pPr>
    </w:p>
    <w:p>
      <w:pPr>
        <w:jc w:val="both"/>
        <w:ind w:left="729" w:firstLine="644"/>
        <w:spacing w:after="0" w:line="213" w:lineRule="auto"/>
        <w:tabs>
          <w:tab w:leader="none" w:pos="2015"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Any Borrower or any other Loan Party fails to pay, in the currency required hereunder, (i) when and as required to be paid herein, any amount of principal of any Loan or any L/C Obligation or deposit any funds as Cash Collateral in respect of L/C Obligations, (ii) within three (3) Business Days after the same becomes due, any interest on any Loan or on any L/C Obligation, or any fee due hereunder, or (iii) within five (5)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309"/>
          </w:cols>
          <w:pgMar w:left="251" w:top="1405"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20"/>
          <w:szCs w:val="20"/>
          <w:color w:val="auto"/>
        </w:rPr>
        <w:t>after the same becomes due, any other amount payable hereunder or under any other Loan Document; or</w:t>
      </w:r>
    </w:p>
    <w:p>
      <w:pPr>
        <w:spacing w:after="0" w:line="175" w:lineRule="exact"/>
        <w:rPr>
          <w:sz w:val="20"/>
          <w:szCs w:val="20"/>
          <w:color w:val="auto"/>
        </w:rPr>
      </w:pPr>
    </w:p>
    <w:p>
      <w:pPr>
        <w:ind w:left="660" w:right="20" w:firstLine="644"/>
        <w:spacing w:after="0" w:line="242" w:lineRule="auto"/>
        <w:tabs>
          <w:tab w:leader="none" w:pos="1944"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Any Loan Party fails to perform or observe any term, covenant or agreement contained in any of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6.05(a)</w:t>
      </w:r>
      <w:r>
        <w:rPr>
          <w:rFonts w:ascii="Arial" w:cs="Arial" w:eastAsia="Arial" w:hAnsi="Arial"/>
          <w:sz w:val="19"/>
          <w:szCs w:val="19"/>
          <w:color w:val="auto"/>
        </w:rPr>
        <w:t xml:space="preserve"> (solely with respect to the existence of the Company),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w:t>
      </w:r>
      <w:r>
        <w:rPr>
          <w:rFonts w:ascii="Arial" w:cs="Arial" w:eastAsia="Arial" w:hAnsi="Arial"/>
          <w:sz w:val="19"/>
          <w:szCs w:val="19"/>
          <w:color w:val="auto"/>
        </w:rPr>
        <w:t>; or</w:t>
      </w:r>
    </w:p>
    <w:p>
      <w:pPr>
        <w:spacing w:after="0" w:line="153" w:lineRule="exact"/>
        <w:rPr>
          <w:rFonts w:ascii="Arial" w:cs="Arial" w:eastAsia="Arial" w:hAnsi="Arial"/>
          <w:sz w:val="19"/>
          <w:szCs w:val="19"/>
          <w:color w:val="auto"/>
        </w:rPr>
      </w:pPr>
    </w:p>
    <w:p>
      <w:pPr>
        <w:jc w:val="both"/>
        <w:ind w:left="660" w:firstLine="644"/>
        <w:spacing w:after="0" w:line="213" w:lineRule="auto"/>
        <w:tabs>
          <w:tab w:leader="none" w:pos="1946"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8.01(b)</w:t>
      </w:r>
      <w:r>
        <w:rPr>
          <w:rFonts w:ascii="Arial" w:cs="Arial" w:eastAsia="Arial" w:hAnsi="Arial"/>
          <w:sz w:val="20"/>
          <w:szCs w:val="20"/>
          <w:color w:val="auto"/>
        </w:rPr>
        <w:t>) contained in any Loan Document on its part to be performed or observed and such failure continues for thirty (30) days after the earlier of (i) any Responsible Officer of the Company obtaining knowledge thereof and (ii) the Administrative Agent providing the Company written notice thereof; or</w:t>
      </w:r>
    </w:p>
    <w:p>
      <w:pPr>
        <w:spacing w:after="0" w:line="155" w:lineRule="exact"/>
        <w:rPr>
          <w:rFonts w:ascii="Arial" w:cs="Arial" w:eastAsia="Arial" w:hAnsi="Arial"/>
          <w:sz w:val="20"/>
          <w:szCs w:val="20"/>
          <w:color w:val="auto"/>
        </w:rPr>
      </w:pPr>
    </w:p>
    <w:p>
      <w:pPr>
        <w:jc w:val="both"/>
        <w:ind w:left="660" w:firstLine="644"/>
        <w:spacing w:after="0" w:line="233" w:lineRule="auto"/>
        <w:tabs>
          <w:tab w:leader="none" w:pos="1944"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any Borrower or any other Loan Party herein, in any other Loan Document, or in any Compliance Certificate delivered pursuant to or in connection with this Agreement or any other Loan Document shall be incorrect or misleading in any material respect (except that such materiality qualifier shall not be applicable to any representations, warranties, certificates or statement of fact that already are qualified or modified by materiality in the text thereof) when made or deemed made; or</w:t>
      </w:r>
    </w:p>
    <w:p>
      <w:pPr>
        <w:spacing w:after="0" w:line="156" w:lineRule="exact"/>
        <w:rPr>
          <w:rFonts w:ascii="Arial" w:cs="Arial" w:eastAsia="Arial" w:hAnsi="Arial"/>
          <w:sz w:val="18"/>
          <w:szCs w:val="18"/>
          <w:color w:val="auto"/>
        </w:rPr>
      </w:pPr>
    </w:p>
    <w:p>
      <w:pPr>
        <w:jc w:val="both"/>
        <w:ind w:left="660" w:firstLine="644"/>
        <w:spacing w:after="0" w:line="249" w:lineRule="auto"/>
        <w:tabs>
          <w:tab w:leader="none" w:pos="1946"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Loan Party or any Restricted Subsidiary (other than an Immaterial Subsidiary) (A) fails to make any payment when due (whether by scheduled maturity, required prepayment, acceleration, demand, or otherwise), beyond any applicable grace period, in respect of any Indebtedness or Guarantee (other than Indebtedness hereunder, Intercompany Debt owing to a Loan Party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(beyond any applicable grace period) any other agreement or condition relating to any such Indebtedness or Guarantee or contained in any instrument or agreement evidencing, securing or relating thereto, or any other event occurs, the effect of which default or other event is to require, or to permit the holder or holders of such Indebtedness or the beneficiary or beneficiaries of such Guarantee (or a trustee or agent on behalf of such holder or holders or beneficiary or beneficiaries) to require,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(it being understood and agreed that this clause (e)(i)(B) shall not apply to (1) the occurrence of events causing Convertible Bond Indebtedness to become convertible, or conversions of Convertible Bond Indebtedness in accordance with its terms and the satisfaction by the Company of its obligations in connection with conversions of Convertible Bond Indebtedness through (x) the issuance of Qualified Stock and (y) cash payments in lieu of fractional shares required to be paid upon such conversions, (2) any secured Indebtedness that becomes due or is required to be repaid, repurchased, redeemed or defeased as a result of the voluntary sale or transfer of the property or assets securing such Indebtedness (to the extent such sale or transfer is not prohibited by this Agreement), (3) any Indebtedness that is voluntarily prepaid in connection with the refinancing thereof, or (4) any event requiring the repurchase, repayment or redemption (automatically or otherwise), or an offer to repurchase, prepay or redeem, any Indebtedness, or the delivery of any notice with respect thereto, solely as a result of the Company’s or any of its Restricted Subsidiaries’ failure to consummate a merger or other acquisition contemplated to be funded in whole or in part with the proceeds of such Indebtedness); or (ii) there occurs under any Swap Contract an Early Termination Date (as defined in such Swap Contract) resulting from (A) any event of default under such Swap Contract as to which a Loan Party or any Restricted Subsidiary thereof is the Defaulting Party (as defined in such Swap Contract) or (B) any Termination Event (as so defined) under such Swap Contract as to which a Loan Party or any Restricted Subsidiary thereof is an Affected Party (as so defined) and, in either event, the Swap Termination Value owed by such Loan Party or such Restricted Subsidiary as a result thereof is greater than the Threshold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40"/>
          </w:cols>
          <w:pgMar w:left="320" w:top="1405" w:right="339" w:bottom="1440" w:gutter="0" w:footer="0" w:header="0"/>
        </w:sectPr>
      </w:pPr>
    </w:p>
    <w:bookmarkStart w:id="157" w:name="page158"/>
    <w:bookmarkEnd w:id="157"/>
    <w:p>
      <w:pPr>
        <w:jc w:val="both"/>
        <w:ind w:left="660"/>
        <w:spacing w:after="0" w:line="213" w:lineRule="auto"/>
        <w:rPr>
          <w:sz w:val="20"/>
          <w:szCs w:val="20"/>
          <w:color w:val="auto"/>
        </w:rPr>
      </w:pPr>
      <w:r>
        <w:rPr>
          <w:rFonts w:ascii="Arial" w:cs="Arial" w:eastAsia="Arial" w:hAnsi="Arial"/>
          <w:sz w:val="20"/>
          <w:szCs w:val="20"/>
          <w:color w:val="auto"/>
        </w:rPr>
        <w:t>or (iii) any Loan Party or any Restricted Subsidiary thereof fails to make any payment beyond the applicable grace period with respect thereto under any lease for the Specified Leased Locations (or contained in any instrument or agreement evidencing or relating thereto), the effect of which payment default is to cause, or to permit the landlord under such lease to cause, with the giving of notice if required, such lease to be terminated; or</w:t>
      </w:r>
    </w:p>
    <w:p>
      <w:pPr>
        <w:spacing w:after="0" w:line="156" w:lineRule="exact"/>
        <w:rPr>
          <w:sz w:val="20"/>
          <w:szCs w:val="20"/>
          <w:color w:val="auto"/>
        </w:rPr>
      </w:pPr>
    </w:p>
    <w:p>
      <w:pPr>
        <w:jc w:val="both"/>
        <w:ind w:left="660" w:firstLine="644"/>
        <w:spacing w:after="0" w:line="215" w:lineRule="auto"/>
        <w:tabs>
          <w:tab w:leader="none" w:pos="1951"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xml:space="preserve"> Any Loan Party or any Restricted Subsidiary (other than an Immaterial Subsidiary) institutes or consents to the institution of any proceeding under any Debtor Relief Law, or makes an assignment for the benefit of creditors; or applies for or consents to the appointment of any receiver, examiner, process adviser, trustee, custodian, conservator, liquidator, rehabilitator or similar officer for it or for all or any material part of its property; or any receiver, trustee, custodian, conservator, liquidator, administrator, administrative receiver, compulsory manager,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55" w:lineRule="exact"/>
        <w:rPr>
          <w:rFonts w:ascii="Arial" w:cs="Arial" w:eastAsia="Arial" w:hAnsi="Arial"/>
          <w:sz w:val="19"/>
          <w:szCs w:val="19"/>
          <w:color w:val="auto"/>
        </w:rPr>
      </w:pPr>
    </w:p>
    <w:p>
      <w:pPr>
        <w:jc w:val="both"/>
        <w:ind w:left="660" w:firstLine="644"/>
        <w:spacing w:after="0" w:line="224" w:lineRule="auto"/>
        <w:tabs>
          <w:tab w:leader="none" w:pos="1944"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(i) Any Loan Party or any Restricted Subsidiary (other than an Immaterial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forty-five (45) days after its issue or levy; or</w:t>
      </w:r>
    </w:p>
    <w:p>
      <w:pPr>
        <w:spacing w:after="0" w:line="156" w:lineRule="exact"/>
        <w:rPr>
          <w:rFonts w:ascii="Arial" w:cs="Arial" w:eastAsia="Arial" w:hAnsi="Arial"/>
          <w:sz w:val="19"/>
          <w:szCs w:val="19"/>
          <w:color w:val="auto"/>
        </w:rPr>
      </w:pPr>
    </w:p>
    <w:p>
      <w:pPr>
        <w:jc w:val="both"/>
        <w:ind w:left="660" w:firstLine="644"/>
        <w:spacing w:after="0" w:line="231" w:lineRule="auto"/>
        <w:tabs>
          <w:tab w:leader="none" w:pos="194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Restricted Subsidiary (other than an Immaterial Subsidiary) one or more final judgments or orders for the payment of money in an aggregate amount (as to all such judgments and orders) exceeding the Threshold Amount (to the extent not paid, fully bonded or covered by independent third-party insurance as to which the insurer has been notified of the potential claim and has not denied coverage) and (i) enforcement proceedings are commenced by any creditor upon such judgment or order or (ii) there is a period of sixty (60) consecutive days during which a stay of enforcement of such judgment, by reason of a pending appeal or otherwise, is not in effect; or</w:t>
      </w:r>
    </w:p>
    <w:p>
      <w:pPr>
        <w:spacing w:after="0" w:line="154" w:lineRule="exact"/>
        <w:rPr>
          <w:rFonts w:ascii="Arial" w:cs="Arial" w:eastAsia="Arial" w:hAnsi="Arial"/>
          <w:sz w:val="18"/>
          <w:szCs w:val="18"/>
          <w:color w:val="auto"/>
        </w:rPr>
      </w:pPr>
    </w:p>
    <w:p>
      <w:pPr>
        <w:jc w:val="both"/>
        <w:ind w:left="660" w:firstLine="644"/>
        <w:spacing w:after="0" w:line="207" w:lineRule="auto"/>
        <w:tabs>
          <w:tab w:leader="none" w:pos="1954"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would reasonably be expected to result in liability of a Loan Party or an ERISA Affiliate in an aggregate amount which exceeds the Threshold Amount, or (ii) a Loan Party or any ERISA Affiliate fails to pay when due, after the expiration of any applicable grace period, any installment payment with respect to its withdrawal liability under Section 4201 of ERISA which has resulted or would reasonably be expected to result in liability of a Loan Party or an ERISA Affiliate in an aggregate amount which exceeds the Threshold Amount; or</w:t>
      </w:r>
    </w:p>
    <w:p>
      <w:pPr>
        <w:spacing w:after="0" w:line="159" w:lineRule="exact"/>
        <w:rPr>
          <w:rFonts w:ascii="Arial" w:cs="Arial" w:eastAsia="Arial" w:hAnsi="Arial"/>
          <w:sz w:val="20"/>
          <w:szCs w:val="20"/>
          <w:color w:val="auto"/>
        </w:rPr>
      </w:pPr>
    </w:p>
    <w:p>
      <w:pPr>
        <w:jc w:val="both"/>
        <w:ind w:left="660" w:firstLine="644"/>
        <w:spacing w:after="0" w:line="231" w:lineRule="auto"/>
        <w:tabs>
          <w:tab w:leader="none" w:pos="195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material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or any other Person contests in any manner the validity or enforceability of any provision of any Loan Document other than in connection with the release of a Subsidiary Guarantor in accordance with the terms hereof; or any Loan Party denies that it has any or further liability or obligation under any provision of any Loan Document, or purports to revoke, terminate or rescind any provision of any Loan Document; or</w:t>
      </w:r>
    </w:p>
    <w:p>
      <w:pPr>
        <w:spacing w:after="0" w:line="154" w:lineRule="exact"/>
        <w:rPr>
          <w:rFonts w:ascii="Arial" w:cs="Arial" w:eastAsia="Arial" w:hAnsi="Arial"/>
          <w:sz w:val="18"/>
          <w:szCs w:val="18"/>
          <w:color w:val="auto"/>
        </w:rPr>
      </w:pPr>
    </w:p>
    <w:p>
      <w:pPr>
        <w:ind w:left="1940" w:hanging="636"/>
        <w:spacing w:after="0"/>
        <w:tabs>
          <w:tab w:leader="none" w:pos="1940"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40"/>
          </w:cols>
          <w:pgMar w:left="320" w:top="1405" w:right="339" w:bottom="1440" w:gutter="0" w:footer="0" w:header="0"/>
        </w:sectPr>
      </w:pPr>
    </w:p>
    <w:bookmarkStart w:id="158" w:name="page159"/>
    <w:bookmarkEnd w:id="158"/>
    <w:p>
      <w:pPr>
        <w:ind w:left="289" w:hanging="289"/>
        <w:spacing w:after="0"/>
        <w:tabs>
          <w:tab w:leader="none" w:pos="289" w:val="left"/>
        </w:tabs>
        <w:numPr>
          <w:ilvl w:val="0"/>
          <w:numId w:val="203"/>
        </w:numPr>
        <w:rPr>
          <w:rFonts w:ascii="Arial" w:cs="Arial" w:eastAsia="Arial" w:hAnsi="Arial"/>
          <w:sz w:val="20"/>
          <w:szCs w:val="20"/>
          <w:b w:val="1"/>
          <w:bCs w:val="1"/>
          <w:color w:val="auto"/>
        </w:rPr>
      </w:pPr>
      <w:r>
        <w:rPr>
          <w:rFonts w:ascii="Arial" w:cs="Arial" w:eastAsia="Arial" w:hAnsi="Arial"/>
          <w:sz w:val="20"/>
          <w:szCs w:val="20"/>
          <w:b w:val="1"/>
          <w:bCs w:val="1"/>
          <w:color w:val="auto"/>
        </w:rPr>
        <w:t>Remedies upon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939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39290" cy="8255"/>
                    </a:xfrm>
                    <a:prstGeom prst="rect">
                      <a:avLst/>
                    </a:prstGeom>
                    <a:noFill/>
                  </pic:spPr>
                </pic:pic>
              </a:graphicData>
            </a:graphic>
          </wp:anchor>
        </w:drawing>
      </w:r>
    </w:p>
    <w:p>
      <w:pPr>
        <w:spacing w:after="0" w:line="159" w:lineRule="exact"/>
        <w:rPr>
          <w:sz w:val="20"/>
          <w:szCs w:val="20"/>
          <w:color w:val="auto"/>
        </w:rPr>
      </w:pPr>
    </w:p>
    <w:p>
      <w:pPr>
        <w:ind w:left="729"/>
        <w:spacing w:after="0"/>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w:t>
      </w:r>
    </w:p>
    <w:p>
      <w:pPr>
        <w:ind w:left="69"/>
        <w:spacing w:after="0"/>
        <w:rPr>
          <w:sz w:val="20"/>
          <w:szCs w:val="20"/>
          <w:color w:val="auto"/>
        </w:rPr>
      </w:pPr>
      <w:r>
        <w:rPr>
          <w:rFonts w:ascii="Arial" w:cs="Arial" w:eastAsia="Arial" w:hAnsi="Arial"/>
          <w:sz w:val="20"/>
          <w:szCs w:val="20"/>
          <w:color w:val="auto"/>
        </w:rPr>
        <w:t>Required Lenders, take any or all of the following actions:</w:t>
      </w:r>
    </w:p>
    <w:p>
      <w:pPr>
        <w:spacing w:after="0" w:line="159" w:lineRule="exact"/>
        <w:rPr>
          <w:sz w:val="20"/>
          <w:szCs w:val="20"/>
          <w:color w:val="auto"/>
        </w:rPr>
      </w:pPr>
    </w:p>
    <w:p>
      <w:pPr>
        <w:ind w:left="729" w:right="20" w:firstLine="644"/>
        <w:spacing w:after="0" w:line="229" w:lineRule="auto"/>
        <w:tabs>
          <w:tab w:leader="none" w:pos="201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declare the Revolving Commitment of each Lender to make Loans and any obligation of each L/C Issuer to make L/C Credit Extensions to be terminated, whereupon such commitments and obligation shall be terminated;</w:t>
      </w:r>
    </w:p>
    <w:p>
      <w:pPr>
        <w:spacing w:after="0" w:line="155" w:lineRule="exact"/>
        <w:rPr>
          <w:rFonts w:ascii="Arial" w:cs="Arial" w:eastAsia="Arial" w:hAnsi="Arial"/>
          <w:sz w:val="20"/>
          <w:szCs w:val="20"/>
          <w:color w:val="auto"/>
        </w:rPr>
      </w:pPr>
    </w:p>
    <w:p>
      <w:pPr>
        <w:jc w:val="both"/>
        <w:ind w:left="729" w:firstLine="644"/>
        <w:spacing w:after="0" w:line="230" w:lineRule="auto"/>
        <w:tabs>
          <w:tab w:leader="none" w:pos="2012" w:val="left"/>
        </w:tabs>
        <w:numPr>
          <w:ilvl w:val="0"/>
          <w:numId w:val="204"/>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54" w:lineRule="exact"/>
        <w:rPr>
          <w:rFonts w:ascii="Arial" w:cs="Arial" w:eastAsia="Arial" w:hAnsi="Arial"/>
          <w:sz w:val="19"/>
          <w:szCs w:val="19"/>
          <w:color w:val="auto"/>
        </w:rPr>
      </w:pPr>
    </w:p>
    <w:p>
      <w:pPr>
        <w:ind w:left="729" w:firstLine="644"/>
        <w:spacing w:after="0" w:line="229" w:lineRule="auto"/>
        <w:tabs>
          <w:tab w:leader="none" w:pos="201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require that the Borrowers Cash Collateralize the L/C Obligations (in an amount equal to the Minimum Collateral Amount with respect thereto); and</w:t>
      </w:r>
    </w:p>
    <w:p>
      <w:pPr>
        <w:spacing w:after="0" w:line="155" w:lineRule="exact"/>
        <w:rPr>
          <w:rFonts w:ascii="Arial" w:cs="Arial" w:eastAsia="Arial" w:hAnsi="Arial"/>
          <w:sz w:val="20"/>
          <w:szCs w:val="20"/>
          <w:color w:val="auto"/>
        </w:rPr>
      </w:pPr>
    </w:p>
    <w:p>
      <w:pPr>
        <w:ind w:left="729" w:firstLine="644"/>
        <w:spacing w:after="0" w:line="229" w:lineRule="auto"/>
        <w:tabs>
          <w:tab w:leader="none" w:pos="2012"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Issuers all rights and remedies available to it, the Lenders and the L/C Issuers under the Loan Documents or applicable Law or equity;</w:t>
      </w:r>
    </w:p>
    <w:p>
      <w:pPr>
        <w:spacing w:after="0" w:line="155" w:lineRule="exact"/>
        <w:rPr>
          <w:sz w:val="20"/>
          <w:szCs w:val="20"/>
          <w:color w:val="auto"/>
        </w:rPr>
      </w:pPr>
    </w:p>
    <w:p>
      <w:pPr>
        <w:jc w:val="both"/>
        <w:ind w:left="69"/>
        <w:spacing w:after="0" w:line="22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occurrence of an actual or deemed entry of an order for relief with respect to the Borrowers under the Bankruptcy Code, the obligation of each Lender to make Loans and any obligation of any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49" w:lineRule="exact"/>
        <w:rPr>
          <w:sz w:val="20"/>
          <w:szCs w:val="20"/>
          <w:color w:val="auto"/>
        </w:rPr>
      </w:pPr>
    </w:p>
    <w:p>
      <w:pPr>
        <w:ind w:left="9"/>
        <w:spacing w:after="0"/>
        <w:tabs>
          <w:tab w:leader="none" w:pos="268"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Application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322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0" w:lineRule="auto"/>
        <w:rPr>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if at any time insufficient funds are received by and available to the Administrative Agent to pay fully all Guaranteed Obligations then due hereunder, any amounts received on account of the Guaranteed Obligations shall, subject to the provisions of </w:t>
      </w:r>
      <w:r>
        <w:rPr>
          <w:rFonts w:ascii="Arial" w:cs="Arial" w:eastAsia="Arial" w:hAnsi="Arial"/>
          <w:sz w:val="20"/>
          <w:szCs w:val="20"/>
          <w:u w:val="single" w:color="auto"/>
          <w:color w:val="auto"/>
        </w:rPr>
        <w:t>Sections 2.14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be applied by the Administrative Agent in the following order:</w:t>
      </w:r>
    </w:p>
    <w:p>
      <w:pPr>
        <w:spacing w:after="0" w:line="155" w:lineRule="exact"/>
        <w:rPr>
          <w:sz w:val="20"/>
          <w:szCs w:val="20"/>
          <w:color w:val="auto"/>
        </w:rPr>
      </w:pPr>
    </w:p>
    <w:p>
      <w:pPr>
        <w:jc w:val="both"/>
        <w:ind w:left="69" w:firstLine="972"/>
        <w:spacing w:after="0" w:line="218"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Guaranteed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56" w:lineRule="exact"/>
        <w:rPr>
          <w:sz w:val="20"/>
          <w:szCs w:val="20"/>
          <w:color w:val="auto"/>
        </w:rPr>
      </w:pPr>
    </w:p>
    <w:p>
      <w:pPr>
        <w:jc w:val="both"/>
        <w:ind w:left="69" w:firstLine="972"/>
        <w:spacing w:after="0" w:line="224"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Guaranteed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ratably among them in proportion to the respective amounts described in this clause Second payable to them;</w:t>
      </w:r>
    </w:p>
    <w:p>
      <w:pPr>
        <w:spacing w:after="0" w:line="156" w:lineRule="exact"/>
        <w:rPr>
          <w:sz w:val="20"/>
          <w:szCs w:val="20"/>
          <w:color w:val="auto"/>
        </w:rPr>
      </w:pPr>
    </w:p>
    <w:p>
      <w:pPr>
        <w:jc w:val="both"/>
        <w:ind w:left="69" w:firstLine="972"/>
        <w:spacing w:after="0" w:line="218"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Guaranteed Obligations constituting accrued and unpaid Letter of Credit Fees and interest on the Loans, L/C Borrowings and other Guaranteed Obligations arising under the Loan Documents, ratably among the Lenders and the L/C Issuers in proportion to the respective amounts described in this clause Third payable to them;</w:t>
      </w:r>
    </w:p>
    <w:p>
      <w:pPr>
        <w:spacing w:after="0" w:line="156" w:lineRule="exact"/>
        <w:rPr>
          <w:sz w:val="20"/>
          <w:szCs w:val="20"/>
          <w:color w:val="auto"/>
        </w:rPr>
      </w:pPr>
    </w:p>
    <w:p>
      <w:pPr>
        <w:jc w:val="both"/>
        <w:ind w:left="69" w:firstLine="972"/>
        <w:spacing w:after="0" w:line="218"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payment of that portion of the Guaranteed Obligations constituting unpaid principal of the Loans and L/C Borrowings and to the Administrative Agent for the account of the L/C Issuers, to Cash Collateralize that portion of L/C Obligations comprised of the aggregate undrawn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9"/>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309"/>
          </w:cols>
          <w:pgMar w:left="251" w:top="1399" w:right="339" w:bottom="1440" w:gutter="0" w:footer="0" w:header="0"/>
        </w:sectPr>
      </w:pPr>
    </w:p>
    <w:bookmarkStart w:id="159" w:name="page160"/>
    <w:bookmarkEnd w:id="159"/>
    <w:p>
      <w:pPr>
        <w:jc w:val="both"/>
        <w:ind w:left="69"/>
        <w:spacing w:after="0" w:line="218" w:lineRule="auto"/>
        <w:rPr>
          <w:sz w:val="20"/>
          <w:szCs w:val="20"/>
          <w:color w:val="auto"/>
        </w:rPr>
      </w:pPr>
      <w:r>
        <w:rPr>
          <w:rFonts w:ascii="Arial" w:cs="Arial" w:eastAsia="Arial" w:hAnsi="Arial"/>
          <w:sz w:val="20"/>
          <w:szCs w:val="20"/>
          <w:color w:val="auto"/>
        </w:rPr>
        <w:t xml:space="preserve">of Letters of Credit to the extent not otherwise Cash Collateralized by the Borrowers pursuant to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2.14</w:t>
      </w:r>
      <w:r>
        <w:rPr>
          <w:rFonts w:ascii="Arial" w:cs="Arial" w:eastAsia="Arial" w:hAnsi="Arial"/>
          <w:sz w:val="20"/>
          <w:szCs w:val="20"/>
          <w:color w:val="auto"/>
        </w:rPr>
        <w:t>, in each case ratably among the Administrative Agent, the Lenders and the L/C Issuers in proportion to the respective amounts described in this clause Fourth held by them;</w:t>
      </w:r>
    </w:p>
    <w:p>
      <w:pPr>
        <w:spacing w:after="0" w:line="156" w:lineRule="exact"/>
        <w:rPr>
          <w:sz w:val="20"/>
          <w:szCs w:val="20"/>
          <w:color w:val="auto"/>
        </w:rPr>
      </w:pPr>
    </w:p>
    <w:p>
      <w:pPr>
        <w:jc w:val="both"/>
        <w:ind w:left="69" w:firstLine="972"/>
        <w:spacing w:after="0" w:line="218"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payment of that portion of the Guaranteed Obligations then owing under the Guaranteed Hedge Agreements and Guaranteed Cash Management Agreements, in each case ratably among the Hedge Banks and the Cash Management Banks in proportion to the respective amounts described in this clause Fifth held by them; and</w:t>
      </w:r>
    </w:p>
    <w:p>
      <w:pPr>
        <w:spacing w:after="0" w:line="156" w:lineRule="exact"/>
        <w:rPr>
          <w:sz w:val="20"/>
          <w:szCs w:val="20"/>
          <w:color w:val="auto"/>
        </w:rPr>
      </w:pPr>
    </w:p>
    <w:p>
      <w:pPr>
        <w:ind w:left="729" w:right="20" w:firstLine="648"/>
        <w:spacing w:after="0" w:line="229"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Guaranteed Obligations have been paid in full, to the Borrowers or as otherwise required by Law.</w:t>
      </w:r>
    </w:p>
    <w:p>
      <w:pPr>
        <w:spacing w:after="0" w:line="155" w:lineRule="exact"/>
        <w:rPr>
          <w:sz w:val="20"/>
          <w:szCs w:val="20"/>
          <w:color w:val="auto"/>
        </w:rPr>
      </w:pPr>
    </w:p>
    <w:p>
      <w:pPr>
        <w:jc w:val="both"/>
        <w:ind w:left="69"/>
        <w:spacing w:after="0" w:line="23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 amounts used to Cash Collateralize the aggregate undrawn amount of Letters of Credit pursuant to clause Fourth above shall be applied to satisfy drawings under such Letters of Credit as they occur. If any amount remains on deposit as Cash Collateral after all Letters of Credit have either been fully drawn or expired, such remaining amount shall be applied to the other Guaranteed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Guaranteed Obligations otherwise set forth above in this Section.</w:t>
      </w:r>
    </w:p>
    <w:p>
      <w:pPr>
        <w:spacing w:after="0" w:line="155" w:lineRule="exact"/>
        <w:rPr>
          <w:sz w:val="20"/>
          <w:szCs w:val="20"/>
          <w:color w:val="auto"/>
        </w:rPr>
      </w:pPr>
    </w:p>
    <w:p>
      <w:pPr>
        <w:jc w:val="both"/>
        <w:ind w:left="69" w:firstLine="648"/>
        <w:spacing w:after="0" w:line="228" w:lineRule="auto"/>
        <w:rPr>
          <w:sz w:val="20"/>
          <w:szCs w:val="20"/>
          <w:color w:val="auto"/>
        </w:rPr>
      </w:pPr>
      <w:r>
        <w:rPr>
          <w:rFonts w:ascii="Arial" w:cs="Arial" w:eastAsia="Arial" w:hAnsi="Arial"/>
          <w:sz w:val="18"/>
          <w:szCs w:val="18"/>
          <w:color w:val="auto"/>
        </w:rPr>
        <w:t xml:space="preserve">Notwithstanding the foregoing, (a) Guaranteed Obligations arising under Guaranteed Cash Management Agreements and Guaranteed Hedge Agreements shall be excluded from the application described above if the Administrative Agent has not received a Guaranteed Party Designation Notice, together with such supporting documentation as the Administrative Agent may reasonably request, from the applicable Cash Management Bank or Hedge Bank, as the case may be, and (b) no amounts received from or on account of a Designated Foreign Borrower shall be used to pay or applied against any Guaranteed Obligations of or attributable to any U.S. Loan Party or any other Domestic Subsidiary.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for itself and its Affiliates as if a “Lender” party hereto.</w:t>
      </w:r>
    </w:p>
    <w:p>
      <w:pPr>
        <w:spacing w:after="0" w:line="130" w:lineRule="exact"/>
        <w:rPr>
          <w:sz w:val="20"/>
          <w:szCs w:val="20"/>
          <w:color w:val="auto"/>
        </w:rPr>
      </w:pPr>
    </w:p>
    <w:p>
      <w:pPr>
        <w:ind w:left="5049"/>
        <w:spacing w:after="0"/>
        <w:rPr>
          <w:sz w:val="20"/>
          <w:szCs w:val="20"/>
          <w:color w:val="auto"/>
        </w:rPr>
      </w:pPr>
      <w:r>
        <w:rPr>
          <w:rFonts w:ascii="Arial" w:cs="Arial" w:eastAsia="Arial" w:hAnsi="Arial"/>
          <w:sz w:val="20"/>
          <w:szCs w:val="20"/>
          <w:b w:val="1"/>
          <w:bCs w:val="1"/>
          <w:color w:val="auto"/>
        </w:rPr>
        <w:t>ARTICLE IX</w:t>
      </w:r>
    </w:p>
    <w:p>
      <w:pPr>
        <w:ind w:left="4429"/>
        <w:spacing w:after="0"/>
        <w:rPr>
          <w:sz w:val="20"/>
          <w:szCs w:val="20"/>
          <w:color w:val="auto"/>
        </w:rPr>
      </w:pPr>
      <w:r>
        <w:rPr>
          <w:rFonts w:ascii="Arial" w:cs="Arial" w:eastAsia="Arial" w:hAnsi="Arial"/>
          <w:sz w:val="20"/>
          <w:szCs w:val="20"/>
          <w:b w:val="1"/>
          <w:bCs w:val="1"/>
          <w:color w:val="auto"/>
        </w:rPr>
        <w:t>ADMINISTRATIVE AGENT</w:t>
      </w:r>
    </w:p>
    <w:p>
      <w:pPr>
        <w:spacing w:after="0" w:line="153" w:lineRule="exact"/>
        <w:rPr>
          <w:sz w:val="20"/>
          <w:szCs w:val="20"/>
          <w:color w:val="auto"/>
        </w:rPr>
      </w:pPr>
    </w:p>
    <w:p>
      <w:pPr>
        <w:ind w:left="9"/>
        <w:spacing w:after="0"/>
        <w:tabs>
          <w:tab w:leader="none" w:pos="268"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Appointment and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7094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09420"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4" w:lineRule="auto"/>
        <w:rPr>
          <w:sz w:val="20"/>
          <w:szCs w:val="20"/>
          <w:color w:val="auto"/>
        </w:rPr>
      </w:pPr>
      <w:r>
        <w:rPr>
          <w:rFonts w:ascii="Arial" w:cs="Arial" w:eastAsia="Arial" w:hAnsi="Arial"/>
          <w:sz w:val="19"/>
          <w:szCs w:val="19"/>
          <w:color w:val="auto"/>
        </w:rPr>
        <w:t xml:space="preserve">Each of the Lenders and each of the L/C Issuers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are solely for the benefit of the Administrative Agent, the Lenders and the L/C Issuers, and neither the Borrowers nor any other Loan Party shall have rights as a third party beneficiary of any of such provisions;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have the rights granted to the Company pursuant to </w:t>
      </w:r>
      <w:r>
        <w:rPr>
          <w:rFonts w:ascii="Arial" w:cs="Arial" w:eastAsia="Arial" w:hAnsi="Arial"/>
          <w:sz w:val="19"/>
          <w:szCs w:val="19"/>
          <w:u w:val="single" w:color="auto"/>
          <w:color w:val="auto"/>
        </w:rPr>
        <w:t>Section 9.06</w:t>
      </w:r>
      <w:r>
        <w:rPr>
          <w:rFonts w:ascii="Arial" w:cs="Arial" w:eastAsia="Arial" w:hAnsi="Arial"/>
          <w:sz w:val="19"/>
          <w:szCs w:val="19"/>
          <w:color w:val="auto"/>
        </w:rPr>
        <w: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2" w:lineRule="exact"/>
        <w:rPr>
          <w:sz w:val="20"/>
          <w:szCs w:val="20"/>
          <w:color w:val="auto"/>
        </w:rPr>
      </w:pPr>
    </w:p>
    <w:p>
      <w:pPr>
        <w:ind w:left="289" w:hanging="289"/>
        <w:spacing w:after="0"/>
        <w:tabs>
          <w:tab w:leader="none" w:pos="289"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Rights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2172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44"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309"/>
          </w:cols>
          <w:pgMar w:left="251" w:top="1405" w:right="339" w:bottom="1440" w:gutter="0" w:footer="0" w:header="0"/>
        </w:sectPr>
      </w:pPr>
    </w:p>
    <w:bookmarkStart w:id="160" w:name="page161"/>
    <w:bookmarkEnd w:id="160"/>
    <w:p>
      <w:pPr>
        <w:jc w:val="both"/>
        <w:ind w:left="69"/>
        <w:spacing w:after="0" w:line="236" w:lineRule="auto"/>
        <w:rPr>
          <w:sz w:val="20"/>
          <w:szCs w:val="20"/>
          <w:color w:val="auto"/>
        </w:rPr>
      </w:pPr>
      <w:r>
        <w:rPr>
          <w:rFonts w:ascii="Arial" w:cs="Arial" w:eastAsia="Arial" w:hAnsi="Arial"/>
          <w:sz w:val="18"/>
          <w:szCs w:val="18"/>
          <w:color w:val="auto"/>
        </w:rPr>
        <w:t>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52" w:lineRule="exact"/>
        <w:rPr>
          <w:sz w:val="20"/>
          <w:szCs w:val="20"/>
          <w:color w:val="auto"/>
        </w:rPr>
      </w:pPr>
    </w:p>
    <w:p>
      <w:pPr>
        <w:ind w:left="289" w:hanging="289"/>
        <w:spacing w:after="0"/>
        <w:tabs>
          <w:tab w:leader="none" w:pos="289"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Exculpatory Provisions.</w:t>
      </w:r>
    </w:p>
    <w:p>
      <w:pPr>
        <w:spacing w:after="0" w:line="181" w:lineRule="exact"/>
        <w:rPr>
          <w:rFonts w:ascii="Arial" w:cs="Arial" w:eastAsia="Arial" w:hAnsi="Arial"/>
          <w:sz w:val="20"/>
          <w:szCs w:val="20"/>
          <w:b w:val="1"/>
          <w:bCs w:val="1"/>
          <w:color w:val="auto"/>
        </w:rPr>
      </w:pPr>
    </w:p>
    <w:p>
      <w:pPr>
        <w:jc w:val="both"/>
        <w:ind w:left="729" w:firstLine="644"/>
        <w:spacing w:after="0" w:line="244" w:lineRule="auto"/>
        <w:tabs>
          <w:tab w:leader="none" w:pos="2015"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The Administrative Agent or the Arrangers, as applicable, shall not have any duties or obligations except those expressly set forth herein and in the other Loan Documents, and their respective duties hereunder shall be administrative in nature. Without limiting the generality of the foregoing, the Administrative Agent or the Arrangers, as applicable, and their Related Parties:</w:t>
      </w:r>
    </w:p>
    <w:p>
      <w:pPr>
        <w:spacing w:after="0" w:line="151" w:lineRule="exact"/>
        <w:rPr>
          <w:rFonts w:ascii="Arial" w:cs="Arial" w:eastAsia="Arial" w:hAnsi="Arial"/>
          <w:sz w:val="18"/>
          <w:szCs w:val="18"/>
          <w:color w:val="auto"/>
        </w:rPr>
      </w:pPr>
    </w:p>
    <w:p>
      <w:pPr>
        <w:ind w:left="1369" w:right="20" w:firstLine="652"/>
        <w:spacing w:after="0" w:line="229" w:lineRule="auto"/>
        <w:tabs>
          <w:tab w:leader="none" w:pos="2662" w:val="left"/>
        </w:tabs>
        <w:numPr>
          <w:ilvl w:val="3"/>
          <w:numId w:val="206"/>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has occurred and is continuing;</w:t>
      </w:r>
    </w:p>
    <w:p>
      <w:pPr>
        <w:spacing w:after="0" w:line="155" w:lineRule="exact"/>
        <w:rPr>
          <w:rFonts w:ascii="Arial" w:cs="Arial" w:eastAsia="Arial" w:hAnsi="Arial"/>
          <w:sz w:val="20"/>
          <w:szCs w:val="20"/>
          <w:color w:val="auto"/>
        </w:rPr>
      </w:pPr>
    </w:p>
    <w:p>
      <w:pPr>
        <w:jc w:val="both"/>
        <w:ind w:left="1369" w:firstLine="652"/>
        <w:spacing w:after="0" w:line="228" w:lineRule="auto"/>
        <w:tabs>
          <w:tab w:leader="none" w:pos="2663" w:val="left"/>
        </w:tabs>
        <w:numPr>
          <w:ilvl w:val="3"/>
          <w:numId w:val="206"/>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4" w:lineRule="exact"/>
        <w:rPr>
          <w:rFonts w:ascii="Arial" w:cs="Arial" w:eastAsia="Arial" w:hAnsi="Arial"/>
          <w:sz w:val="18"/>
          <w:szCs w:val="18"/>
          <w:color w:val="auto"/>
        </w:rPr>
      </w:pPr>
    </w:p>
    <w:p>
      <w:pPr>
        <w:jc w:val="both"/>
        <w:ind w:left="1369" w:firstLine="652"/>
        <w:spacing w:after="0" w:line="233" w:lineRule="auto"/>
        <w:tabs>
          <w:tab w:leader="none" w:pos="2664" w:val="left"/>
        </w:tabs>
        <w:numPr>
          <w:ilvl w:val="3"/>
          <w:numId w:val="206"/>
        </w:numPr>
        <w:rPr>
          <w:rFonts w:ascii="Arial" w:cs="Arial" w:eastAsia="Arial" w:hAnsi="Arial"/>
          <w:sz w:val="18"/>
          <w:szCs w:val="18"/>
          <w:color w:val="auto"/>
        </w:rPr>
      </w:pPr>
      <w:r>
        <w:rPr>
          <w:rFonts w:ascii="Arial" w:cs="Arial" w:eastAsia="Arial" w:hAnsi="Arial"/>
          <w:sz w:val="18"/>
          <w:szCs w:val="18"/>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spacing w:after="0" w:line="156" w:lineRule="exact"/>
        <w:rPr>
          <w:rFonts w:ascii="Arial" w:cs="Arial" w:eastAsia="Arial" w:hAnsi="Arial"/>
          <w:sz w:val="18"/>
          <w:szCs w:val="18"/>
          <w:color w:val="auto"/>
        </w:rPr>
      </w:pPr>
    </w:p>
    <w:p>
      <w:pPr>
        <w:jc w:val="both"/>
        <w:ind w:left="69" w:firstLine="980"/>
        <w:spacing w:after="0" w:line="229" w:lineRule="auto"/>
        <w:tabs>
          <w:tab w:leader="none" w:pos="155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or (ii) in the absence of its own gross negligence, willful misconduct or bad faith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w:t>
      </w:r>
    </w:p>
    <w:p>
      <w:pPr>
        <w:spacing w:after="0" w:line="156" w:lineRule="exact"/>
        <w:rPr>
          <w:rFonts w:ascii="Arial" w:cs="Arial" w:eastAsia="Arial" w:hAnsi="Arial"/>
          <w:sz w:val="18"/>
          <w:szCs w:val="18"/>
          <w:color w:val="auto"/>
        </w:rPr>
      </w:pPr>
    </w:p>
    <w:p>
      <w:pPr>
        <w:jc w:val="both"/>
        <w:ind w:left="729" w:firstLine="644"/>
        <w:spacing w:after="0" w:line="207" w:lineRule="auto"/>
        <w:tabs>
          <w:tab w:leader="none" w:pos="2015" w:val="left"/>
        </w:tabs>
        <w:numPr>
          <w:ilvl w:val="2"/>
          <w:numId w:val="207"/>
        </w:numPr>
        <w:rPr>
          <w:rFonts w:ascii="Arial" w:cs="Arial" w:eastAsia="Arial" w:hAnsi="Arial"/>
          <w:sz w:val="20"/>
          <w:szCs w:val="20"/>
          <w:color w:val="auto"/>
        </w:rPr>
      </w:pPr>
      <w:r>
        <w:rPr>
          <w:rFonts w:ascii="Arial" w:cs="Arial" w:eastAsia="Arial" w:hAnsi="Arial"/>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any Participant, any prospective Lender or any prospective Participant is a Disqualified Institution or (ii) have any liability with respect to or arising out of any assignment or participation of Loans, or disclosure of confidential information, to any Disqualified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-4567555</wp:posOffset>
            </wp:positionV>
            <wp:extent cx="14592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309"/>
          </w:cols>
          <w:pgMar w:left="251" w:top="1405" w:right="339" w:bottom="1440" w:gutter="0" w:footer="0" w:header="0"/>
        </w:sectPr>
      </w:pPr>
    </w:p>
    <w:bookmarkStart w:id="161" w:name="page162"/>
    <w:bookmarkEnd w:id="161"/>
    <w:p>
      <w:pPr>
        <w:jc w:val="both"/>
        <w:ind w:left="729" w:firstLine="644"/>
        <w:spacing w:after="0" w:line="205" w:lineRule="auto"/>
        <w:tabs>
          <w:tab w:leader="none" w:pos="2012"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50" w:lineRule="exact"/>
        <w:rPr>
          <w:sz w:val="20"/>
          <w:szCs w:val="20"/>
          <w:color w:val="auto"/>
        </w:rPr>
      </w:pPr>
    </w:p>
    <w:p>
      <w:pPr>
        <w:ind w:left="289" w:hanging="289"/>
        <w:spacing w:after="0"/>
        <w:tabs>
          <w:tab w:leader="none" w:pos="289"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color w:val="auto"/>
        </w:rPr>
        <w:t>Reliance by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20262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2628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3" w:lineRule="auto"/>
        <w:rPr>
          <w:sz w:val="20"/>
          <w:szCs w:val="20"/>
          <w:color w:val="auto"/>
        </w:rPr>
      </w:pPr>
      <w:r>
        <w:rPr>
          <w:rFonts w:ascii="Arial" w:cs="Arial" w:eastAsia="Arial" w:hAnsi="Arial"/>
          <w:sz w:val="18"/>
          <w:szCs w:val="18"/>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60" w:lineRule="exact"/>
        <w:rPr>
          <w:sz w:val="20"/>
          <w:szCs w:val="20"/>
          <w:color w:val="auto"/>
        </w:rPr>
      </w:pPr>
    </w:p>
    <w:p>
      <w:pPr>
        <w:ind w:left="289" w:hanging="289"/>
        <w:spacing w:after="0"/>
        <w:tabs>
          <w:tab w:leader="none" w:pos="289" w:val="left"/>
        </w:tabs>
        <w:numPr>
          <w:ilvl w:val="0"/>
          <w:numId w:val="210"/>
        </w:numPr>
        <w:rPr>
          <w:rFonts w:ascii="Arial" w:cs="Arial" w:eastAsia="Arial" w:hAnsi="Arial"/>
          <w:sz w:val="20"/>
          <w:szCs w:val="20"/>
          <w:b w:val="1"/>
          <w:bCs w:val="1"/>
          <w:color w:val="auto"/>
        </w:rPr>
      </w:pPr>
      <w:r>
        <w:rPr>
          <w:rFonts w:ascii="Arial" w:cs="Arial" w:eastAsia="Arial" w:hAnsi="Arial"/>
          <w:sz w:val="20"/>
          <w:szCs w:val="20"/>
          <w:b w:val="1"/>
          <w:bCs w:val="1"/>
          <w:color w:val="auto"/>
        </w:rPr>
        <w:t>Delegation of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290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90320"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8" w:lineRule="auto"/>
        <w:rPr>
          <w:sz w:val="20"/>
          <w:szCs w:val="20"/>
          <w:color w:val="auto"/>
        </w:rPr>
      </w:pPr>
      <w:r>
        <w:rPr>
          <w:rFonts w:ascii="Arial" w:cs="Arial" w:eastAsia="Arial" w:hAnsi="Arial"/>
          <w:sz w:val="18"/>
          <w:szCs w:val="18"/>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to any such sub-agent and to the Related Parties of the Administrative Agent and any such sub-agent, and shall apply to their respective activities in connection with the syndication of the Revolving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willful misconduct or bad faith in the selection of such sub-agents.</w:t>
      </w:r>
    </w:p>
    <w:p>
      <w:pPr>
        <w:spacing w:after="0" w:line="149" w:lineRule="exact"/>
        <w:rPr>
          <w:sz w:val="20"/>
          <w:szCs w:val="20"/>
          <w:color w:val="auto"/>
        </w:rPr>
      </w:pPr>
    </w:p>
    <w:p>
      <w:pPr>
        <w:ind w:left="289" w:hanging="289"/>
        <w:spacing w:after="0"/>
        <w:tabs>
          <w:tab w:leader="none" w:pos="289" w:val="left"/>
        </w:tabs>
        <w:numPr>
          <w:ilvl w:val="0"/>
          <w:numId w:val="211"/>
        </w:numPr>
        <w:rPr>
          <w:rFonts w:ascii="Arial" w:cs="Arial" w:eastAsia="Arial" w:hAnsi="Arial"/>
          <w:sz w:val="20"/>
          <w:szCs w:val="20"/>
          <w:b w:val="1"/>
          <w:bCs w:val="1"/>
          <w:color w:val="auto"/>
        </w:rPr>
      </w:pPr>
      <w:r>
        <w:rPr>
          <w:rFonts w:ascii="Arial" w:cs="Arial" w:eastAsia="Arial" w:hAnsi="Arial"/>
          <w:sz w:val="20"/>
          <w:szCs w:val="20"/>
          <w:b w:val="1"/>
          <w:bCs w:val="1"/>
          <w:color w:val="auto"/>
        </w:rPr>
        <w:t>Resignation of Administrative Agent.</w:t>
      </w:r>
    </w:p>
    <w:p>
      <w:pPr>
        <w:spacing w:after="0" w:line="181" w:lineRule="exact"/>
        <w:rPr>
          <w:rFonts w:ascii="Arial" w:cs="Arial" w:eastAsia="Arial" w:hAnsi="Arial"/>
          <w:sz w:val="20"/>
          <w:szCs w:val="20"/>
          <w:b w:val="1"/>
          <w:bCs w:val="1"/>
          <w:color w:val="auto"/>
        </w:rPr>
      </w:pPr>
    </w:p>
    <w:p>
      <w:pPr>
        <w:jc w:val="both"/>
        <w:ind w:left="729" w:firstLine="644"/>
        <w:spacing w:after="0" w:line="231" w:lineRule="auto"/>
        <w:tabs>
          <w:tab w:leader="none" w:pos="2015"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Administrative Agent may at any time give notice of its resignation to the Lenders, the L/C Issuers and the Company. Upon receipt of any such notice of resignation, the Required Lenders shall have the right, with the consent of the Company (such consent (i) not to be unreasonably withheld or delayed, and (ii) not being required to the extent an Event of Default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-884555</wp:posOffset>
            </wp:positionV>
            <wp:extent cx="21729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729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309"/>
          </w:cols>
          <w:pgMar w:left="251" w:top="1405" w:right="339" w:bottom="1440" w:gutter="0" w:footer="0" w:header="0"/>
        </w:sectPr>
      </w:pPr>
    </w:p>
    <w:bookmarkStart w:id="162" w:name="page163"/>
    <w:bookmarkEnd w:id="162"/>
    <w:p>
      <w:pPr>
        <w:jc w:val="both"/>
        <w:ind w:left="660"/>
        <w:spacing w:after="0" w:line="207" w:lineRule="auto"/>
        <w:rPr>
          <w:sz w:val="20"/>
          <w:szCs w:val="20"/>
          <w:color w:val="auto"/>
        </w:rPr>
      </w:pPr>
      <w:r>
        <w:rPr>
          <w:rFonts w:ascii="Arial" w:cs="Arial" w:eastAsia="Arial" w:hAnsi="Arial"/>
          <w:sz w:val="20"/>
          <w:szCs w:val="20"/>
          <w:color w:val="auto"/>
        </w:rPr>
        <w:t>Administrative Agent gives notice of its resignation (or such earlier day as shall be agreed by the Required Lenders) (the “</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then the retiring Administrative Agent may (but shall not be obligated to) on behalf of the Lenders and the L/C Issuers, appoint a successor Administrative Agent meeting the qualifications set forth above (including the consent of the Company, if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any successor Administrative Agent be a Defaulting Lender or a Disqualified Institution. Whether or not a successor has been appointed, such resignation shall become effective in accordance with such notice on the Resignation Effective Date.</w:t>
      </w:r>
    </w:p>
    <w:p>
      <w:pPr>
        <w:spacing w:after="0" w:line="160" w:lineRule="exact"/>
        <w:rPr>
          <w:sz w:val="20"/>
          <w:szCs w:val="20"/>
          <w:color w:val="auto"/>
        </w:rPr>
      </w:pPr>
    </w:p>
    <w:p>
      <w:pPr>
        <w:jc w:val="both"/>
        <w:ind w:left="660" w:firstLine="644"/>
        <w:spacing w:after="0" w:line="218" w:lineRule="auto"/>
        <w:tabs>
          <w:tab w:leader="none" w:pos="1944"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Defaulting Lender</w:t>
      </w:r>
      <w:r>
        <w:rPr>
          <w:rFonts w:ascii="Arial" w:cs="Arial" w:eastAsia="Arial" w:hAnsi="Arial"/>
          <w:sz w:val="19"/>
          <w:szCs w:val="19"/>
          <w:color w:val="auto"/>
        </w:rPr>
        <w:t>. 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59" w:lineRule="exact"/>
        <w:rPr>
          <w:rFonts w:ascii="Arial" w:cs="Arial" w:eastAsia="Arial" w:hAnsi="Arial"/>
          <w:sz w:val="19"/>
          <w:szCs w:val="19"/>
          <w:color w:val="auto"/>
        </w:rPr>
      </w:pPr>
    </w:p>
    <w:p>
      <w:pPr>
        <w:jc w:val="both"/>
        <w:ind w:left="660" w:firstLine="644"/>
        <w:spacing w:after="0" w:line="222" w:lineRule="auto"/>
        <w:tabs>
          <w:tab w:leader="none" w:pos="1946"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Effect of Resignation or Removal</w:t>
      </w:r>
      <w:r>
        <w:rPr>
          <w:rFonts w:ascii="Arial" w:cs="Arial" w:eastAsia="Arial" w:hAnsi="Arial"/>
          <w:sz w:val="18"/>
          <w:szCs w:val="18"/>
          <w:color w:val="auto"/>
        </w:rPr>
        <w:t xml:space="preserv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3.01(j)</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and the retiring or removed Administrative Agent shall cease to be entitled to all such fees upon the effectiveness of its resignation or removal as Administrative Agent, except to the extent it continues to act in any capacity hereunder or under the other Loan Documents after such resignation or removal. After the retiring or removed Administrative Agent’s resignation or removal hereunder and under the other Loan Documents,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(1) acting as collateral agent or otherwise holding any collateral security on behalf of any of the Credit Parties and (2) in respect of any actions taken in connection with transferring the agency to any successor Administrative Agent.</w:t>
      </w:r>
    </w:p>
    <w:p>
      <w:pPr>
        <w:spacing w:after="0" w:line="156" w:lineRule="exact"/>
        <w:rPr>
          <w:rFonts w:ascii="Arial" w:cs="Arial" w:eastAsia="Arial" w:hAnsi="Arial"/>
          <w:sz w:val="18"/>
          <w:szCs w:val="18"/>
          <w:color w:val="auto"/>
        </w:rPr>
      </w:pPr>
    </w:p>
    <w:p>
      <w:pPr>
        <w:jc w:val="both"/>
        <w:ind w:left="660" w:firstLine="644"/>
        <w:spacing w:after="0" w:line="210" w:lineRule="auto"/>
        <w:tabs>
          <w:tab w:leader="none" w:pos="1944"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L/C Issuer and Swingline Lender</w:t>
      </w:r>
      <w:r>
        <w:rPr>
          <w:rFonts w:ascii="Arial" w:cs="Arial" w:eastAsia="Arial" w:hAnsi="Arial"/>
          <w:sz w:val="20"/>
          <w:szCs w:val="20"/>
          <w:color w:val="auto"/>
        </w:rPr>
        <w:t xml:space="preserve">. Any resignation or removal by Bank of America as Administrative Agent pursuant to this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shall also constitute its resignation as an L/C Issuer and Swingline Lender. If Bank of America resigns as an L/C Issuer, it shall retain all the rights, powers, privileges and duties of the L/C Issuers hereunder with respect to all Letters of Credit issued by it outstanding as of the effective date of its resignation as an L/C Issuer and all L/C Obligations with respect thereto, including the right to require the Lenders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40"/>
          </w:cols>
          <w:pgMar w:left="320" w:top="1405" w:right="339" w:bottom="1440" w:gutter="0" w:footer="0" w:header="0"/>
        </w:sectPr>
      </w:pPr>
    </w:p>
    <w:bookmarkStart w:id="163" w:name="page164"/>
    <w:bookmarkEnd w:id="163"/>
    <w:p>
      <w:pPr>
        <w:jc w:val="both"/>
        <w:ind w:left="729"/>
        <w:spacing w:after="0" w:line="226" w:lineRule="auto"/>
        <w:rPr>
          <w:sz w:val="20"/>
          <w:szCs w:val="20"/>
          <w:color w:val="auto"/>
        </w:rPr>
      </w:pPr>
      <w:r>
        <w:rPr>
          <w:rFonts w:ascii="Arial" w:cs="Arial" w:eastAsia="Arial" w:hAnsi="Arial"/>
          <w:sz w:val="18"/>
          <w:szCs w:val="18"/>
          <w:color w:val="auto"/>
        </w:rPr>
        <w:t xml:space="preserve">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by the Company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51" w:lineRule="exact"/>
        <w:rPr>
          <w:sz w:val="20"/>
          <w:szCs w:val="20"/>
          <w:color w:val="auto"/>
        </w:rPr>
      </w:pPr>
    </w:p>
    <w:p>
      <w:pPr>
        <w:ind w:left="289" w:hanging="289"/>
        <w:spacing w:after="0"/>
        <w:tabs>
          <w:tab w:leader="none" w:pos="289" w:val="left"/>
        </w:tabs>
        <w:numPr>
          <w:ilvl w:val="0"/>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Non-Reliance on Administrative Agent, the Arrangers and the Other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43681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68165"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2" w:lineRule="auto"/>
        <w:rPr>
          <w:sz w:val="20"/>
          <w:szCs w:val="20"/>
          <w:color w:val="auto"/>
        </w:rPr>
      </w:pPr>
      <w:r>
        <w:rPr>
          <w:rFonts w:ascii="Arial" w:cs="Arial" w:eastAsia="Arial" w:hAnsi="Arial"/>
          <w:sz w:val="18"/>
          <w:szCs w:val="18"/>
          <w:color w:val="auto"/>
        </w:rPr>
        <w:t>Each Lender and each L/C Issuer expressly acknowledges that none of the Administrative Agent nor the Arrangers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each L/C Issuer as to any matter, including whether the Administrative Agent or any Arranger has disclosed material information in their (or their Related Parties’) possession. Each Lender and each L/C Issuer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51" w:lineRule="exact"/>
        <w:rPr>
          <w:sz w:val="20"/>
          <w:szCs w:val="20"/>
          <w:color w:val="auto"/>
        </w:rPr>
      </w:pPr>
    </w:p>
    <w:p>
      <w:pPr>
        <w:ind w:left="289" w:hanging="289"/>
        <w:spacing w:after="0"/>
        <w:tabs>
          <w:tab w:leader="none" w:pos="289" w:val="left"/>
        </w:tabs>
        <w:numPr>
          <w:ilvl w:val="0"/>
          <w:numId w:val="214"/>
        </w:numPr>
        <w:rPr>
          <w:rFonts w:ascii="Arial" w:cs="Arial" w:eastAsia="Arial" w:hAnsi="Arial"/>
          <w:sz w:val="20"/>
          <w:szCs w:val="20"/>
          <w:b w:val="1"/>
          <w:bCs w:val="1"/>
          <w:color w:val="auto"/>
        </w:rPr>
      </w:pPr>
      <w:r>
        <w:rPr>
          <w:rFonts w:ascii="Arial" w:cs="Arial" w:eastAsia="Arial" w:hAnsi="Arial"/>
          <w:sz w:val="20"/>
          <w:szCs w:val="20"/>
          <w:b w:val="1"/>
          <w:bCs w:val="1"/>
          <w:color w:val="auto"/>
        </w:rPr>
        <w:t>No Other Duties,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633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18" w:lineRule="auto"/>
        <w:rPr>
          <w:sz w:val="20"/>
          <w:szCs w:val="20"/>
          <w:color w:val="auto"/>
        </w:rPr>
      </w:pPr>
      <w:r>
        <w:rPr>
          <w:rFonts w:ascii="Arial" w:cs="Arial" w:eastAsia="Arial" w:hAnsi="Arial"/>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a Lender or an L/C Issuer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309"/>
          </w:cols>
          <w:pgMar w:left="251" w:top="1405" w:right="339" w:bottom="1440" w:gutter="0" w:footer="0" w:header="0"/>
        </w:sectPr>
      </w:pPr>
    </w:p>
    <w:bookmarkStart w:id="164" w:name="page165"/>
    <w:bookmarkEnd w:id="164"/>
    <w:p>
      <w:pPr>
        <w:ind w:left="289" w:hanging="289"/>
        <w:spacing w:after="0"/>
        <w:tabs>
          <w:tab w:leader="none" w:pos="289" w:val="left"/>
        </w:tabs>
        <w:numPr>
          <w:ilvl w:val="0"/>
          <w:numId w:val="215"/>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Administrative Agent May File Proofs of Claim.</w:t>
      </w:r>
    </w:p>
    <w:p>
      <w:pPr>
        <w:spacing w:after="0" w:line="181" w:lineRule="exact"/>
        <w:rPr>
          <w:rFonts w:ascii="Arial" w:cs="Arial" w:eastAsia="Arial" w:hAnsi="Arial"/>
          <w:sz w:val="20"/>
          <w:szCs w:val="20"/>
          <w:b w:val="1"/>
          <w:bCs w:val="1"/>
          <w:color w:val="auto"/>
        </w:rPr>
      </w:pPr>
    </w:p>
    <w:p>
      <w:pPr>
        <w:jc w:val="both"/>
        <w:ind w:left="729" w:firstLine="644"/>
        <w:spacing w:after="0" w:line="236" w:lineRule="auto"/>
        <w:tabs>
          <w:tab w:leader="none" w:pos="201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57" w:lineRule="exact"/>
        <w:rPr>
          <w:rFonts w:ascii="Arial" w:cs="Arial" w:eastAsia="Arial" w:hAnsi="Arial"/>
          <w:sz w:val="18"/>
          <w:szCs w:val="18"/>
          <w:color w:val="auto"/>
        </w:rPr>
      </w:pPr>
    </w:p>
    <w:p>
      <w:pPr>
        <w:jc w:val="both"/>
        <w:ind w:left="1369" w:firstLine="652"/>
        <w:spacing w:after="0" w:line="206" w:lineRule="auto"/>
        <w:tabs>
          <w:tab w:leader="none" w:pos="2662" w:val="left"/>
        </w:tabs>
        <w:numPr>
          <w:ilvl w:val="2"/>
          <w:numId w:val="215"/>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Guaranteed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157" w:lineRule="exact"/>
        <w:rPr>
          <w:rFonts w:ascii="Arial" w:cs="Arial" w:eastAsia="Arial" w:hAnsi="Arial"/>
          <w:sz w:val="20"/>
          <w:szCs w:val="20"/>
          <w:color w:val="auto"/>
        </w:rPr>
      </w:pPr>
    </w:p>
    <w:p>
      <w:pPr>
        <w:ind w:left="1369" w:firstLine="652"/>
        <w:spacing w:after="0" w:line="229" w:lineRule="auto"/>
        <w:tabs>
          <w:tab w:leader="none" w:pos="2663" w:val="left"/>
        </w:tabs>
        <w:numPr>
          <w:ilvl w:val="2"/>
          <w:numId w:val="215"/>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-1998980</wp:posOffset>
            </wp:positionV>
            <wp:extent cx="27463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135" w:lineRule="exact"/>
        <w:rPr>
          <w:sz w:val="20"/>
          <w:szCs w:val="20"/>
          <w:color w:val="auto"/>
        </w:rPr>
      </w:pPr>
    </w:p>
    <w:p>
      <w:pPr>
        <w:jc w:val="both"/>
        <w:ind w:left="729"/>
        <w:spacing w:after="0" w:line="207" w:lineRule="auto"/>
        <w:rPr>
          <w:sz w:val="20"/>
          <w:szCs w:val="20"/>
          <w:color w:val="auto"/>
        </w:rPr>
      </w:pPr>
      <w:r>
        <w:rPr>
          <w:rFonts w:ascii="Arial" w:cs="Arial" w:eastAsia="Arial" w:hAnsi="Arial"/>
          <w:sz w:val="20"/>
          <w:szCs w:val="20"/>
          <w:color w:val="auto"/>
        </w:rPr>
        <w:t xml:space="preserve">and any custodian, receiver, examiner,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w:t>
      </w:r>
    </w:p>
    <w:p>
      <w:pPr>
        <w:spacing w:after="0" w:line="160" w:lineRule="exact"/>
        <w:rPr>
          <w:sz w:val="20"/>
          <w:szCs w:val="20"/>
          <w:color w:val="auto"/>
        </w:rPr>
      </w:pPr>
    </w:p>
    <w:p>
      <w:pPr>
        <w:jc w:val="both"/>
        <w:ind w:left="69" w:firstLine="980"/>
        <w:spacing w:after="0" w:line="213" w:lineRule="auto"/>
        <w:tabs>
          <w:tab w:leader="none" w:pos="154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L/C Issuer any plan of reorganization, arrangement, adjustment or composition affecting the Guaranteed Obligations or the rights of any Lender or any L/C Issuer to authorize the Administrative Agent to vote in respect of the claim of any Lender or any L/C Issuer or in any such proceeding.</w:t>
      </w:r>
    </w:p>
    <w:p>
      <w:pPr>
        <w:spacing w:after="0" w:line="150" w:lineRule="exact"/>
        <w:rPr>
          <w:sz w:val="20"/>
          <w:szCs w:val="20"/>
          <w:color w:val="auto"/>
        </w:rPr>
      </w:pPr>
    </w:p>
    <w:p>
      <w:pPr>
        <w:ind w:left="289" w:hanging="289"/>
        <w:spacing w:after="0"/>
        <w:tabs>
          <w:tab w:leader="none" w:pos="289" w:val="left"/>
        </w:tabs>
        <w:numPr>
          <w:ilvl w:val="0"/>
          <w:numId w:val="217"/>
        </w:numPr>
        <w:rPr>
          <w:rFonts w:ascii="Arial" w:cs="Arial" w:eastAsia="Arial" w:hAnsi="Arial"/>
          <w:sz w:val="20"/>
          <w:szCs w:val="20"/>
          <w:b w:val="1"/>
          <w:bCs w:val="1"/>
          <w:color w:val="auto"/>
        </w:rPr>
      </w:pPr>
      <w:r>
        <w:rPr>
          <w:rFonts w:ascii="Arial" w:cs="Arial" w:eastAsia="Arial" w:hAnsi="Arial"/>
          <w:sz w:val="20"/>
          <w:szCs w:val="20"/>
          <w:b w:val="1"/>
          <w:bCs w:val="1"/>
          <w:color w:val="auto"/>
        </w:rPr>
        <w:t>Guaranty Matters.</w:t>
      </w:r>
    </w:p>
    <w:p>
      <w:pPr>
        <w:spacing w:after="0" w:line="181" w:lineRule="exact"/>
        <w:rPr>
          <w:rFonts w:ascii="Arial" w:cs="Arial" w:eastAsia="Arial" w:hAnsi="Arial"/>
          <w:sz w:val="20"/>
          <w:szCs w:val="20"/>
          <w:b w:val="1"/>
          <w:bCs w:val="1"/>
          <w:color w:val="auto"/>
        </w:rPr>
      </w:pPr>
    </w:p>
    <w:p>
      <w:pPr>
        <w:ind w:left="729" w:firstLine="644"/>
        <w:spacing w:after="0" w:line="242" w:lineRule="auto"/>
        <w:tabs>
          <w:tab w:leader="none" w:pos="2015"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Each of the Lenders (including in its capacities as a potential Cash Management Bank and a potential Hedge Bank) and each of the L/C Issuers irrevocably authorize the Administrative Agent, at its option and in its discretion:</w:t>
      </w:r>
    </w:p>
    <w:p>
      <w:pPr>
        <w:spacing w:after="0" w:line="153" w:lineRule="exact"/>
        <w:rPr>
          <w:rFonts w:ascii="Arial" w:cs="Arial" w:eastAsia="Arial" w:hAnsi="Arial"/>
          <w:sz w:val="19"/>
          <w:szCs w:val="19"/>
          <w:color w:val="auto"/>
        </w:rPr>
      </w:pPr>
    </w:p>
    <w:p>
      <w:pPr>
        <w:jc w:val="both"/>
        <w:ind w:left="1369" w:firstLine="652"/>
        <w:spacing w:after="0" w:line="226" w:lineRule="auto"/>
        <w:tabs>
          <w:tab w:leader="none" w:pos="2662" w:val="left"/>
        </w:tabs>
        <w:numPr>
          <w:ilvl w:val="2"/>
          <w:numId w:val="217"/>
        </w:numPr>
        <w:rPr>
          <w:rFonts w:ascii="Arial" w:cs="Arial" w:eastAsia="Arial" w:hAnsi="Arial"/>
          <w:sz w:val="18"/>
          <w:szCs w:val="18"/>
          <w:color w:val="auto"/>
        </w:rPr>
      </w:pPr>
      <w:r>
        <w:rPr>
          <w:rFonts w:ascii="Arial" w:cs="Arial" w:eastAsia="Arial" w:hAnsi="Arial"/>
          <w:sz w:val="18"/>
          <w:szCs w:val="18"/>
          <w:color w:val="auto"/>
        </w:rPr>
        <w:t xml:space="preserve">to release any Subsidiary Guarantor from its obligations under the Guaranty if (A) such Person ceases to be a Subsidiary or becomes an Excluded Subsidiary, in each case, as a result of a transaction not prohibited under the Loan Documents (including pursuant to </w:t>
      </w:r>
      <w:r>
        <w:rPr>
          <w:rFonts w:ascii="Arial" w:cs="Arial" w:eastAsia="Arial" w:hAnsi="Arial"/>
          <w:sz w:val="18"/>
          <w:szCs w:val="18"/>
          <w:u w:val="single" w:color="auto"/>
          <w:color w:val="auto"/>
        </w:rPr>
        <w:t>Section 7.04</w:t>
      </w:r>
      <w:r>
        <w:rPr>
          <w:rFonts w:ascii="Arial" w:cs="Arial" w:eastAsia="Arial" w:hAnsi="Arial"/>
          <w:sz w:val="18"/>
          <w:szCs w:val="18"/>
          <w:color w:val="auto"/>
        </w:rPr>
        <w:t>) (it being understood and agreed, for the avoidance of doubt, that no Subsidiary Guarantor shall be released from its obligations under the Loan Documents solely because such Subsidiary Guarantor ceases to be a Wholly Owned Subsidiary as a result of a transaction not prohibited under the Loan Documents, unless (A) in connection with such transaction, such Subsidiary Guarantor also ceases to be a Subsidiary, or (B) such transaction and related disposition of Equity Interest of the applicable Subsidiary Guarantor is for Fair Market Value and a bona fide business purpose (as determined by the Company in good faith), and the other Person taking an Equity Interest in such Subsidiary is not an Affiliate of the Company (other than as a result of such joint venture)), (B) the Release Date has occurred or (C) such Person is designated as an Unrestricted Subsidiary hereunder;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-1740535</wp:posOffset>
            </wp:positionV>
            <wp:extent cx="11887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309"/>
          </w:cols>
          <w:pgMar w:left="251" w:top="1399" w:right="339" w:bottom="1440" w:gutter="0" w:footer="0" w:header="0"/>
        </w:sectPr>
      </w:pPr>
    </w:p>
    <w:bookmarkStart w:id="165" w:name="page166"/>
    <w:bookmarkEnd w:id="165"/>
    <w:p>
      <w:pPr>
        <w:ind w:left="1380" w:firstLine="648"/>
        <w:spacing w:after="0" w:line="229" w:lineRule="auto"/>
        <w:rPr>
          <w:sz w:val="20"/>
          <w:szCs w:val="20"/>
          <w:color w:val="auto"/>
        </w:rPr>
      </w:pPr>
      <w:r>
        <w:rPr>
          <w:rFonts w:ascii="Arial" w:cs="Arial" w:eastAsia="Arial" w:hAnsi="Arial"/>
          <w:sz w:val="20"/>
          <w:szCs w:val="20"/>
          <w:color w:val="auto"/>
        </w:rPr>
        <w:t xml:space="preserve">(ii) to release any Designated Foreign Borrower from its obligations under each Loan Document if such Person ceases to be a Designated Foreign Borrower as provided in </w:t>
      </w:r>
      <w:r>
        <w:rPr>
          <w:rFonts w:ascii="Arial" w:cs="Arial" w:eastAsia="Arial" w:hAnsi="Arial"/>
          <w:sz w:val="20"/>
          <w:szCs w:val="20"/>
          <w:u w:val="single" w:color="auto"/>
          <w:color w:val="auto"/>
        </w:rPr>
        <w:t>Section 2.16(e)</w:t>
      </w:r>
      <w:r>
        <w:rPr>
          <w:rFonts w:ascii="Arial" w:cs="Arial" w:eastAsia="Arial" w:hAnsi="Arial"/>
          <w:sz w:val="20"/>
          <w:szCs w:val="20"/>
          <w:color w:val="auto"/>
        </w:rPr>
        <w:t>.</w:t>
      </w:r>
    </w:p>
    <w:p>
      <w:pPr>
        <w:spacing w:after="0" w:line="155" w:lineRule="exact"/>
        <w:rPr>
          <w:sz w:val="20"/>
          <w:szCs w:val="20"/>
          <w:color w:val="auto"/>
        </w:rPr>
      </w:pPr>
    </w:p>
    <w:p>
      <w:pPr>
        <w:jc w:val="both"/>
        <w:ind w:left="740" w:firstLine="648"/>
        <w:spacing w:after="0" w:line="226" w:lineRule="auto"/>
        <w:rPr>
          <w:sz w:val="20"/>
          <w:szCs w:val="20"/>
          <w:color w:val="auto"/>
        </w:rPr>
      </w:pPr>
      <w:r>
        <w:rPr>
          <w:rFonts w:ascii="Arial" w:cs="Arial" w:eastAsia="Arial" w:hAnsi="Arial"/>
          <w:sz w:val="18"/>
          <w:szCs w:val="18"/>
          <w:color w:val="auto"/>
        </w:rPr>
        <w:t xml:space="preserve">(b) Upon request by the Administrative Agent at any time, the Required Lenders will confirm in writing the Administrative Agent’s authority to release any Guarantor from its obligations under the Guaranty and/or any Designated Foreign Borrower from its obligations under the Loan Documents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the Administrative Agent will promptly, at the Borrowers’ expense, execute and deliver to the applicable Loan Party such documents as such Loan Party may reasonably request to evidence the release of such Guarantor from its obligations under the Guaranty and/or such Designated Foreign Borrower from its obligations under the Loan Documents, in each case, in accordance with the terms of the Loan Documents and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The Administrative Agent shall have no liability whatsoever to any Credit Party as the result of effectuating or executing any document evidencing any release of any Loan Party by it as permitted (or which the Administrative Agent in good faith believes to be permitted) by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and any execution and delivery of documents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shall be without recourse or warranty by the Administrative Agent.</w:t>
      </w:r>
    </w:p>
    <w:p>
      <w:pPr>
        <w:spacing w:after="0" w:line="151" w:lineRule="exact"/>
        <w:rPr>
          <w:sz w:val="20"/>
          <w:szCs w:val="20"/>
          <w:color w:val="auto"/>
        </w:rPr>
      </w:pPr>
    </w:p>
    <w:p>
      <w:pPr>
        <w:spacing w:after="0"/>
        <w:tabs>
          <w:tab w:leader="none" w:pos="28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Guaranteed Cash Management Agreements and Guaranteed Hedge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45065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06595" cy="8255"/>
                    </a:xfrm>
                    <a:prstGeom prst="rect">
                      <a:avLst/>
                    </a:prstGeom>
                    <a:noFill/>
                  </pic:spPr>
                </pic:pic>
              </a:graphicData>
            </a:graphic>
          </wp:anchor>
        </w:drawing>
      </w:r>
    </w:p>
    <w:p>
      <w:pPr>
        <w:spacing w:after="0" w:line="161" w:lineRule="exact"/>
        <w:rPr>
          <w:sz w:val="20"/>
          <w:szCs w:val="20"/>
          <w:color w:val="auto"/>
        </w:rPr>
      </w:pPr>
    </w:p>
    <w:p>
      <w:pPr>
        <w:jc w:val="both"/>
        <w:ind w:left="80" w:firstLine="648"/>
        <w:spacing w:after="0" w:line="223" w:lineRule="auto"/>
        <w:rPr>
          <w:sz w:val="20"/>
          <w:szCs w:val="20"/>
          <w:color w:val="auto"/>
        </w:rPr>
      </w:pPr>
      <w:r>
        <w:rPr>
          <w:rFonts w:ascii="Arial" w:cs="Arial" w:eastAsia="Arial" w:hAnsi="Arial"/>
          <w:sz w:val="18"/>
          <w:szCs w:val="18"/>
          <w:color w:val="auto"/>
        </w:rPr>
        <w:t xml:space="preserve">Except as otherwise expressly set forth herein, no Cash Management Bank or Hedge Bank that obtains the benefit of the provisions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the Guaranty by virtue of the provisions hereof shall have any right to notice of or to consent to any amendment, waiver or modification of the provisions hereof or of the Guaranty (or to notice of or to consent to any amendment, waiver or modification of the provisions hereof of or the Guaranty) other than in its capacity as a Lender and, in such case, only to the extent expressly provided in the Loan Documents (it being understood that Administrative Agent may take any and all action expressly specified in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Guaranteed Obligations arising under Guaranteed Cash Management Agreements and Guaranteed Hedge Agreements except to the extent expressly provided herein and unless the Administrative Agent has received a Guaranteed Party Designation Notice of such Guaranteed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Guaranteed Obligations arising under Guaranteed Cash Management Agreements and Guaranteed Hedge Agreements in the case of the Facility Termination Date. Each Lender hereby acknowledges and agrees (including on behalf of any of its Affiliates that may be a Cash Management Bank or a potential Hedge Bank) that (a) obligations of the Company or any of its Subsidiaries under any Guaranteed Cash Management Agreement or Guaranteed Hedge Agreement shall be guaranteed pursuant to the Guaranty only until such time as the Guaranty terminates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(b) any release of Guarantors and/or Designated Foreign Borrowers effected in a manner not prohibited by this Agreement and the other Loan Documents shall not require the consent of holders of obligations under Guaranteed Cash Management Agreements or Guaranteed Hedge Agreements.</w:t>
      </w:r>
    </w:p>
    <w:p>
      <w:pPr>
        <w:spacing w:after="0" w:line="150" w:lineRule="exact"/>
        <w:rPr>
          <w:sz w:val="20"/>
          <w:szCs w:val="20"/>
          <w:color w:val="auto"/>
        </w:rPr>
      </w:pPr>
    </w:p>
    <w:p>
      <w:pPr>
        <w:ind w:left="300" w:hanging="289"/>
        <w:spacing w:after="0"/>
        <w:tabs>
          <w:tab w:leader="none" w:pos="300" w:val="left"/>
        </w:tabs>
        <w:numPr>
          <w:ilvl w:val="0"/>
          <w:numId w:val="218"/>
        </w:numPr>
        <w:rPr>
          <w:rFonts w:ascii="Arial" w:cs="Arial" w:eastAsia="Arial" w:hAnsi="Arial"/>
          <w:sz w:val="20"/>
          <w:szCs w:val="20"/>
          <w:b w:val="1"/>
          <w:bCs w:val="1"/>
          <w:color w:val="auto"/>
        </w:rPr>
      </w:pPr>
      <w:r>
        <w:rPr>
          <w:rFonts w:ascii="Arial" w:cs="Arial" w:eastAsia="Arial" w:hAnsi="Arial"/>
          <w:sz w:val="20"/>
          <w:szCs w:val="20"/>
          <w:b w:val="1"/>
          <w:bCs w:val="1"/>
          <w:color w:val="auto"/>
        </w:rPr>
        <w:t>Certain ERISA Matters</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jc w:val="both"/>
        <w:ind w:left="740" w:firstLine="644"/>
        <w:spacing w:after="0" w:line="213" w:lineRule="auto"/>
        <w:tabs>
          <w:tab w:leader="none" w:pos="2026" w:val="left"/>
        </w:tabs>
        <w:numPr>
          <w:ilvl w:val="1"/>
          <w:numId w:val="218"/>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at least one of the following is and will be true:</w:t>
      </w:r>
    </w:p>
    <w:p>
      <w:pPr>
        <w:spacing w:after="0" w:line="155" w:lineRule="exact"/>
        <w:rPr>
          <w:rFonts w:ascii="Arial" w:cs="Arial" w:eastAsia="Arial" w:hAnsi="Arial"/>
          <w:sz w:val="20"/>
          <w:szCs w:val="20"/>
          <w:color w:val="auto"/>
        </w:rPr>
      </w:pPr>
    </w:p>
    <w:p>
      <w:pPr>
        <w:jc w:val="both"/>
        <w:ind w:left="1380" w:firstLine="652"/>
        <w:spacing w:after="0" w:line="230" w:lineRule="auto"/>
        <w:tabs>
          <w:tab w:leader="none" w:pos="2674" w:val="left"/>
        </w:tabs>
        <w:numPr>
          <w:ilvl w:val="2"/>
          <w:numId w:val="218"/>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Revolving Commitments,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-1141730</wp:posOffset>
            </wp:positionV>
            <wp:extent cx="14922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92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320"/>
          </w:cols>
          <w:pgMar w:left="240" w:top="1405" w:right="339" w:bottom="1440" w:gutter="0" w:footer="0" w:header="0"/>
        </w:sectPr>
      </w:pPr>
    </w:p>
    <w:bookmarkStart w:id="166" w:name="page167"/>
    <w:bookmarkEnd w:id="166"/>
    <w:p>
      <w:pPr>
        <w:jc w:val="both"/>
        <w:ind w:left="1369" w:firstLine="652"/>
        <w:spacing w:after="0" w:line="229" w:lineRule="auto"/>
        <w:tabs>
          <w:tab w:leader="none" w:pos="266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56" w:lineRule="exact"/>
        <w:rPr>
          <w:rFonts w:ascii="Arial" w:cs="Arial" w:eastAsia="Arial" w:hAnsi="Arial"/>
          <w:sz w:val="18"/>
          <w:szCs w:val="18"/>
          <w:color w:val="auto"/>
        </w:rPr>
      </w:pPr>
    </w:p>
    <w:p>
      <w:pPr>
        <w:jc w:val="both"/>
        <w:ind w:left="1369" w:firstLine="652"/>
        <w:spacing w:after="0" w:line="222" w:lineRule="auto"/>
        <w:tabs>
          <w:tab w:leader="none" w:pos="266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w:t>
      </w:r>
    </w:p>
    <w:p>
      <w:pPr>
        <w:spacing w:after="0" w:line="3" w:lineRule="exact"/>
        <w:rPr>
          <w:rFonts w:ascii="Arial" w:cs="Arial" w:eastAsia="Arial" w:hAnsi="Arial"/>
          <w:sz w:val="18"/>
          <w:szCs w:val="18"/>
          <w:color w:val="auto"/>
        </w:rPr>
      </w:pPr>
    </w:p>
    <w:p>
      <w:pPr>
        <w:jc w:val="both"/>
        <w:ind w:left="1369" w:firstLine="4"/>
        <w:spacing w:after="0" w:line="213" w:lineRule="auto"/>
        <w:tabs>
          <w:tab w:leader="none" w:pos="1651" w:val="left"/>
        </w:tabs>
        <w:numPr>
          <w:ilvl w:val="0"/>
          <w:numId w:val="220"/>
        </w:numPr>
        <w:rPr>
          <w:rFonts w:ascii="Arial" w:cs="Arial" w:eastAsia="Arial" w:hAnsi="Arial"/>
          <w:sz w:val="20"/>
          <w:szCs w:val="20"/>
          <w:color w:val="auto"/>
        </w:rPr>
      </w:pPr>
      <w:r>
        <w:rPr>
          <w:rFonts w:ascii="Arial" w:cs="Arial" w:eastAsia="Arial" w:hAnsi="Arial"/>
          <w:sz w:val="20"/>
          <w:szCs w:val="20"/>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54" w:lineRule="exact"/>
        <w:rPr>
          <w:rFonts w:ascii="Arial" w:cs="Arial" w:eastAsia="Arial" w:hAnsi="Arial"/>
          <w:sz w:val="20"/>
          <w:szCs w:val="20"/>
          <w:color w:val="auto"/>
        </w:rPr>
      </w:pPr>
    </w:p>
    <w:p>
      <w:pPr>
        <w:ind w:left="1369" w:firstLine="652"/>
        <w:spacing w:after="0" w:line="229" w:lineRule="auto"/>
        <w:tabs>
          <w:tab w:leader="none" w:pos="2653" w:val="left"/>
        </w:tabs>
        <w:numPr>
          <w:ilvl w:val="1"/>
          <w:numId w:val="220"/>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55" w:lineRule="exact"/>
        <w:rPr>
          <w:sz w:val="20"/>
          <w:szCs w:val="20"/>
          <w:color w:val="auto"/>
        </w:rPr>
      </w:pPr>
    </w:p>
    <w:p>
      <w:pPr>
        <w:jc w:val="both"/>
        <w:ind w:left="729" w:firstLine="644"/>
        <w:spacing w:after="0" w:line="227" w:lineRule="auto"/>
        <w:tabs>
          <w:tab w:leader="none" w:pos="201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other Loan Document or any documents related hereto or thereto).</w:t>
      </w:r>
    </w:p>
    <w:p>
      <w:pPr>
        <w:spacing w:after="0" w:line="149" w:lineRule="exact"/>
        <w:rPr>
          <w:sz w:val="20"/>
          <w:szCs w:val="20"/>
          <w:color w:val="auto"/>
        </w:rPr>
      </w:pPr>
    </w:p>
    <w:p>
      <w:pPr>
        <w:ind w:left="289" w:hanging="289"/>
        <w:spacing w:after="0"/>
        <w:tabs>
          <w:tab w:leader="none" w:pos="289" w:val="left"/>
        </w:tabs>
        <w:numPr>
          <w:ilvl w:val="0"/>
          <w:numId w:val="222"/>
        </w:numPr>
        <w:rPr>
          <w:rFonts w:ascii="Arial" w:cs="Arial" w:eastAsia="Arial" w:hAnsi="Arial"/>
          <w:sz w:val="20"/>
          <w:szCs w:val="20"/>
          <w:b w:val="1"/>
          <w:bCs w:val="1"/>
          <w:color w:val="auto"/>
        </w:rPr>
      </w:pPr>
      <w:r>
        <w:rPr>
          <w:rFonts w:ascii="Arial" w:cs="Arial" w:eastAsia="Arial" w:hAnsi="Arial"/>
          <w:sz w:val="20"/>
          <w:szCs w:val="20"/>
          <w:b w:val="1"/>
          <w:bCs w:val="1"/>
          <w:color w:val="auto"/>
        </w:rPr>
        <w:t>Recovery of Erroneous Payments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9958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95805" cy="8890"/>
                    </a:xfrm>
                    <a:prstGeom prst="rect">
                      <a:avLst/>
                    </a:prstGeom>
                    <a:noFill/>
                  </pic:spPr>
                </pic:pic>
              </a:graphicData>
            </a:graphic>
          </wp:anchor>
        </w:drawing>
      </w:r>
    </w:p>
    <w:p>
      <w:pPr>
        <w:spacing w:after="0" w:line="161" w:lineRule="exact"/>
        <w:rPr>
          <w:sz w:val="20"/>
          <w:szCs w:val="20"/>
          <w:color w:val="auto"/>
        </w:rPr>
      </w:pPr>
    </w:p>
    <w:p>
      <w:pPr>
        <w:jc w:val="both"/>
        <w:ind w:left="69" w:firstLine="648"/>
        <w:spacing w:after="0" w:line="227" w:lineRule="auto"/>
        <w:rPr>
          <w:sz w:val="20"/>
          <w:szCs w:val="20"/>
          <w:color w:val="auto"/>
        </w:rPr>
      </w:pPr>
      <w:r>
        <w:rPr>
          <w:rFonts w:ascii="Arial" w:cs="Arial" w:eastAsia="Arial" w:hAnsi="Arial"/>
          <w:sz w:val="18"/>
          <w:szCs w:val="18"/>
          <w:color w:val="auto"/>
        </w:rPr>
        <w:t>Without limitation of any other provision in this Agreement, if at any time the Administrative Agent makes a payment hereunder in error to any Lender Party, whether or not in respect of an obligation due and owing by any Loan Party at such time, where such payment is a Rescindable Amount, then in any such event, each Lender Party receiving a Rescindable Amount severally agrees to repay to the Administrative Agent forthwith on demand the Rescindable Amount received by such Lender Party in Same Day Funds in the currency so received, with interest thereon, for each day from and including the date such Rescindable Amount is received by it to but excluding the date of payment to the Administrative Agent, at the Overnight Rate.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309"/>
          </w:cols>
          <w:pgMar w:left="251" w:top="1405" w:right="339" w:bottom="1440" w:gutter="0" w:footer="0" w:header="0"/>
        </w:sectPr>
      </w:pPr>
    </w:p>
    <w:bookmarkStart w:id="167" w:name="page168"/>
    <w:bookmarkEnd w:id="167"/>
    <w:p>
      <w:pPr>
        <w:ind w:left="5080"/>
        <w:spacing w:after="0"/>
        <w:rPr>
          <w:sz w:val="20"/>
          <w:szCs w:val="20"/>
          <w:color w:val="auto"/>
        </w:rPr>
      </w:pPr>
      <w:r>
        <w:rPr>
          <w:rFonts w:ascii="Arial" w:cs="Arial" w:eastAsia="Arial" w:hAnsi="Arial"/>
          <w:sz w:val="20"/>
          <w:szCs w:val="20"/>
          <w:b w:val="1"/>
          <w:bCs w:val="1"/>
          <w:color w:val="auto"/>
        </w:rPr>
        <w:t>ARTICLE X</w:t>
      </w:r>
    </w:p>
    <w:p>
      <w:pPr>
        <w:ind w:left="4480"/>
        <w:spacing w:after="0"/>
        <w:rPr>
          <w:sz w:val="20"/>
          <w:szCs w:val="20"/>
          <w:color w:val="auto"/>
        </w:rPr>
      </w:pPr>
      <w:r>
        <w:rPr>
          <w:rFonts w:ascii="Arial" w:cs="Arial" w:eastAsia="Arial" w:hAnsi="Arial"/>
          <w:sz w:val="20"/>
          <w:szCs w:val="20"/>
          <w:b w:val="1"/>
          <w:bCs w:val="1"/>
          <w:color w:val="auto"/>
        </w:rPr>
        <w:t>CONTINUING GUARANTY</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.01</w:t>
      </w:r>
      <w:r>
        <w:rPr>
          <w:sz w:val="20"/>
          <w:szCs w:val="20"/>
          <w:color w:val="auto"/>
        </w:rPr>
        <w:tab/>
      </w:r>
      <w:r>
        <w:rPr>
          <w:rFonts w:ascii="Arial" w:cs="Arial" w:eastAsia="Arial" w:hAnsi="Arial"/>
          <w:sz w:val="18"/>
          <w:szCs w:val="18"/>
          <w:b w:val="1"/>
          <w:bCs w:val="1"/>
          <w:u w:val="single" w:color="auto"/>
          <w:color w:val="auto"/>
        </w:rPr>
        <w:t>Guaranty</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100" w:firstLine="648"/>
        <w:spacing w:after="0" w:line="221" w:lineRule="auto"/>
        <w:rPr>
          <w:sz w:val="20"/>
          <w:szCs w:val="20"/>
          <w:color w:val="auto"/>
        </w:rPr>
      </w:pPr>
      <w:r>
        <w:rPr>
          <w:rFonts w:ascii="Arial" w:cs="Arial" w:eastAsia="Arial" w:hAnsi="Arial"/>
          <w:sz w:val="18"/>
          <w:szCs w:val="18"/>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Obligations and Additional Obligations (or, if the scope of such Guarantor’s Guaranty is limited to a portion of the Obligations and/or Additional Obligations under the definition of “Guarantors”, such portion) (collectively, for each Guarantor, subject to the proviso in this sentence, its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Guaranteed Obligations of a Guarantor shall exclude any Excluded Swap Obligations with respect to such Guarantor, (b) the liability of each Guarantor individually with respect to this Guaranty shall be limited to an aggregate amount equal to the largest amount that would not render its obligations hereunder subject to avoidance under Section 548 of the Bankruptcy Code or any comparable provisions of any applicable state law or other applicable Law, (c) for avoidance of doubt, the Designated Foreign Borrowers shall not be liable under this Guaranty for any Obligations or Additional Obligations of or attributable to any U.S. Loan Party or any other Domestic Subsidiary, (d) the guaranty given by a Guarantor which is incorporated in England and Wales does not apply to any liability to the extent that it would result in this Guaranty constituting unlawful financial assistance within the meaning of sections 678 or 679 of the Companies Act 2006, and (e) notwithstanding anything contrary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guaranty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any Guarantor incorporated in Ireland does not apply to any liability to the extent that it would (i) result in this Guaranty constituting unlawful financial assistance within the meaning of section 82 of the Companies Act 2014 of Ireland or (ii) constitute a breach of section 239 of the Companies Act 2014 of Ireland. Without limiting the generality of the foregoing, the Guaranteed Obligations shall include any such indebtedness, obligations, and liabilities with respect to Guaranteed Obligations,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Guaranteed Obligations absent manifest error. This Guaranty shall not be affected by the genuineness, validity, regularity or enforceability of the Guaranteed Obligations or any instrument or agreement evidencing any Guaranteed Obligations, or by the existence, validity, enforceability, perfection, non-perfection or extent of any collateral therefor, or by any fact or circumstance relating to the Guaranteed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.02</w:t>
      </w:r>
      <w:r>
        <w:rPr>
          <w:sz w:val="20"/>
          <w:szCs w:val="20"/>
          <w:color w:val="auto"/>
        </w:rPr>
        <w:tab/>
      </w:r>
      <w:r>
        <w:rPr>
          <w:rFonts w:ascii="Arial" w:cs="Arial" w:eastAsia="Arial" w:hAnsi="Arial"/>
          <w:sz w:val="16"/>
          <w:szCs w:val="16"/>
          <w:b w:val="1"/>
          <w:bCs w:val="1"/>
          <w:u w:val="single" w:color="auto"/>
          <w:color w:val="auto"/>
        </w:rPr>
        <w:t>Rights of Lenders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100" w:firstLine="648"/>
        <w:spacing w:after="0" w:line="215" w:lineRule="auto"/>
        <w:rPr>
          <w:sz w:val="20"/>
          <w:szCs w:val="20"/>
          <w:color w:val="auto"/>
        </w:rPr>
      </w:pPr>
      <w:r>
        <w:rPr>
          <w:rFonts w:ascii="Arial" w:cs="Arial" w:eastAsia="Arial" w:hAnsi="Arial"/>
          <w:sz w:val="19"/>
          <w:szCs w:val="19"/>
          <w:color w:val="auto"/>
        </w:rPr>
        <w:t>Each Guarantor consents and agrees that the Credit Parties may, at any time and from time to time, without notice or demand, and without affecting the enforceability or continuing effectiveness hereof: (a) amend, extend, renew, compromise, discharge, accelerate or otherwise change the time for payment or the terms of the Guaranteed Obligations or any part thereof; (b) take, hold, exchange, enforce, waive, release, fail to perfect, sell, or otherwise dispose of any security for the payment of this Guaranty or any Guaranteed Obligations; (c) apply such security and direct the order or manner of sale thereof as the Administrative Agent, the L/C Issuers and the Lenders in their sole discretion may determine; and (d) release or substitute one or more of any endorsers or other guarantors of any of the Guaranteed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.03</w:t>
      </w:r>
      <w:r>
        <w:rPr>
          <w:sz w:val="20"/>
          <w:szCs w:val="20"/>
          <w:color w:val="auto"/>
        </w:rPr>
        <w:tab/>
      </w:r>
      <w:r>
        <w:rPr>
          <w:rFonts w:ascii="Arial" w:cs="Arial" w:eastAsia="Arial" w:hAnsi="Arial"/>
          <w:sz w:val="18"/>
          <w:szCs w:val="18"/>
          <w:b w:val="1"/>
          <w:bCs w:val="1"/>
          <w:u w:val="single" w:color="auto"/>
          <w:color w:val="auto"/>
        </w:rPr>
        <w:t>Certain Waivers</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100" w:right="20" w:firstLine="648"/>
        <w:spacing w:after="0" w:line="229" w:lineRule="auto"/>
        <w:rPr>
          <w:sz w:val="20"/>
          <w:szCs w:val="20"/>
          <w:color w:val="auto"/>
        </w:rPr>
      </w:pPr>
      <w:r>
        <w:rPr>
          <w:rFonts w:ascii="Arial" w:cs="Arial" w:eastAsia="Arial" w:hAnsi="Arial"/>
          <w:sz w:val="20"/>
          <w:szCs w:val="20"/>
          <w:color w:val="auto"/>
        </w:rPr>
        <w:t>Each Guarantor waives: (a) any defense arising by reason of any disability or other defense of the Borrowers or any other guarantor, or the cessation from any cause whatsoever (including any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340"/>
          </w:cols>
          <w:pgMar w:left="220" w:top="1380" w:right="339" w:bottom="1440" w:gutter="0" w:footer="0" w:header="0"/>
        </w:sectPr>
      </w:pPr>
    </w:p>
    <w:bookmarkStart w:id="168" w:name="page169"/>
    <w:bookmarkEnd w:id="168"/>
    <w:p>
      <w:pPr>
        <w:jc w:val="both"/>
        <w:ind w:left="100"/>
        <w:spacing w:after="0" w:line="213" w:lineRule="auto"/>
        <w:rPr>
          <w:sz w:val="20"/>
          <w:szCs w:val="20"/>
          <w:color w:val="auto"/>
        </w:rPr>
      </w:pPr>
      <w:r>
        <w:rPr>
          <w:rFonts w:ascii="Arial" w:cs="Arial" w:eastAsia="Arial" w:hAnsi="Arial"/>
          <w:sz w:val="19"/>
          <w:szCs w:val="19"/>
          <w:color w:val="auto"/>
        </w:rPr>
        <w:t>omission of any Credit Party) of the liability of the Borrowers or any other Loan Party; (b) any defense based on any claim that such Guarantor’s obligations exceed or are more burdensome than those of the Borrowers or any other Loan Party; (c) the benefit of any statute of limitations affecting any Guarantor’s liability hereunder; (d) any right to proceed against the Borrowers or any other Loan Party, proceed against or exhaust any security for the Guaranteed Obligations, or pursue any other remedy in the power of any Credit Party whatsoever; (e) any benefit of and any right to participate in any security now or hereafter held by any Credit Party; and (f) to the fullest extent permitted by law, any and all other defenses or benefits that may be derived from or afforded by applicable Law limiting the liability of or exonerating guarantors or sureties other than the occurrence of the Facility Termination Date and the payment in full in cash (or other arrangement satisfactory to the applicable Cash Management Bank or Hedge Bank) of all Additional Obligations to the extent then due and payable.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151"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.04</w:t>
      </w:r>
      <w:r>
        <w:rPr>
          <w:sz w:val="20"/>
          <w:szCs w:val="20"/>
          <w:color w:val="auto"/>
        </w:rPr>
        <w:tab/>
      </w:r>
      <w:r>
        <w:rPr>
          <w:rFonts w:ascii="Arial" w:cs="Arial" w:eastAsia="Arial" w:hAnsi="Arial"/>
          <w:sz w:val="16"/>
          <w:szCs w:val="16"/>
          <w:b w:val="1"/>
          <w:bCs w:val="1"/>
          <w:u w:val="single" w:color="auto"/>
          <w:color w:val="auto"/>
        </w:rPr>
        <w:t>Obligations Independent</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100" w:firstLine="648"/>
        <w:spacing w:after="0" w:line="230" w:lineRule="auto"/>
        <w:rPr>
          <w:sz w:val="20"/>
          <w:szCs w:val="20"/>
          <w:color w:val="auto"/>
        </w:rPr>
      </w:pPr>
      <w:r>
        <w:rPr>
          <w:rFonts w:ascii="Arial" w:cs="Arial" w:eastAsia="Arial" w:hAnsi="Arial"/>
          <w:sz w:val="19"/>
          <w:szCs w:val="19"/>
          <w:color w:val="auto"/>
        </w:rPr>
        <w:t>The obligations of each Guarantor hereunder are those of primary obligor, and not merely as surety, and are independent of the Guaranteed Obligations and the obligations of any other guarantor, and a separate action may be brought against each Guarantor to enforce this Guaranty whether or not the Borrowers or any other person or entity is joined as a party.</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.05</w:t>
      </w:r>
      <w:r>
        <w:rPr>
          <w:sz w:val="20"/>
          <w:szCs w:val="20"/>
          <w:color w:val="auto"/>
        </w:rPr>
        <w:tab/>
      </w:r>
      <w:r>
        <w:rPr>
          <w:rFonts w:ascii="Arial" w:cs="Arial" w:eastAsia="Arial" w:hAnsi="Arial"/>
          <w:sz w:val="16"/>
          <w:szCs w:val="16"/>
          <w:b w:val="1"/>
          <w:bCs w:val="1"/>
          <w:u w:val="single" w:color="auto"/>
          <w:color w:val="auto"/>
        </w:rPr>
        <w:t>Subrogation</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100" w:firstLine="648"/>
        <w:spacing w:after="0" w:line="233" w:lineRule="auto"/>
        <w:rPr>
          <w:sz w:val="20"/>
          <w:szCs w:val="20"/>
          <w:color w:val="auto"/>
        </w:rPr>
      </w:pPr>
      <w:r>
        <w:rPr>
          <w:rFonts w:ascii="Arial" w:cs="Arial" w:eastAsia="Arial" w:hAnsi="Arial"/>
          <w:sz w:val="18"/>
          <w:szCs w:val="18"/>
          <w:color w:val="auto"/>
        </w:rPr>
        <w:t>No Guarantor shall exercise any right of subrogation, contribution, indemnity, reimbursement or similar rights with respect to any payments it makes under this Guaranty until all of the Guaranteed Obligations and any amounts payable under this Guaranty have been indefeasibly paid and performed in full and the Revolving Commitments and the Revolving Facility are terminated. If any amounts are paid to a Guarantor in violation of the foregoing limitation, then such amounts shall be held in trust for the benefit of the Credit Parties and shall forthwith be paid to the Credit Parties to reduce the amount of the Guaranteed Obligations, whether matured or unmatured.</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.06</w:t>
      </w:r>
      <w:r>
        <w:rPr>
          <w:sz w:val="20"/>
          <w:szCs w:val="20"/>
          <w:color w:val="auto"/>
        </w:rPr>
        <w:tab/>
      </w:r>
      <w:r>
        <w:rPr>
          <w:rFonts w:ascii="Arial" w:cs="Arial" w:eastAsia="Arial" w:hAnsi="Arial"/>
          <w:sz w:val="18"/>
          <w:szCs w:val="18"/>
          <w:b w:val="1"/>
          <w:bCs w:val="1"/>
          <w:u w:val="single" w:color="auto"/>
          <w:color w:val="auto"/>
        </w:rPr>
        <w:t>Termination; Reinstatement</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100" w:firstLine="648"/>
        <w:spacing w:after="0" w:line="224" w:lineRule="auto"/>
        <w:rPr>
          <w:sz w:val="20"/>
          <w:szCs w:val="20"/>
          <w:color w:val="auto"/>
        </w:rPr>
      </w:pPr>
      <w:r>
        <w:rPr>
          <w:rFonts w:ascii="Arial" w:cs="Arial" w:eastAsia="Arial" w:hAnsi="Arial"/>
          <w:sz w:val="18"/>
          <w:szCs w:val="18"/>
          <w:color w:val="auto"/>
        </w:rPr>
        <w:t xml:space="preserve">This Guaranty is a continuing and irrevocable guaranty of all Guaranteed Obligations now or hereafter existing and shall remain in full force and effect until the Facility Termination Date and the payment in full in cash (or other arrangement satisfactory to the applicable Cash Management Bank or Hedge Bank) of all Additional Obligations to the extent then due and payable; </w:t>
      </w:r>
      <w:r>
        <w:rPr>
          <w:rFonts w:ascii="Arial" w:cs="Arial" w:eastAsia="Arial" w:hAnsi="Arial"/>
          <w:sz w:val="18"/>
          <w:szCs w:val="18"/>
          <w:u w:val="single" w:color="auto"/>
          <w:color w:val="auto"/>
        </w:rPr>
        <w:t>provided</w:t>
      </w:r>
      <w:r>
        <w:rPr>
          <w:rFonts w:ascii="Arial" w:cs="Arial" w:eastAsia="Arial" w:hAnsi="Arial"/>
          <w:sz w:val="18"/>
          <w:szCs w:val="18"/>
          <w:color w:val="auto"/>
        </w:rPr>
        <w:t>, t</w:t>
      </w:r>
      <w:r>
        <w:rPr>
          <w:rFonts w:ascii="Arial" w:cs="Arial" w:eastAsia="Arial" w:hAnsi="Arial"/>
          <w:sz w:val="18"/>
          <w:szCs w:val="18"/>
          <w:u w:val="single" w:color="auto"/>
          <w:color w:val="auto"/>
        </w:rPr>
        <w:t>hat</w:t>
      </w:r>
      <w:r>
        <w:rPr>
          <w:rFonts w:ascii="Arial" w:cs="Arial" w:eastAsia="Arial" w:hAnsi="Arial"/>
          <w:sz w:val="18"/>
          <w:szCs w:val="18"/>
          <w:color w:val="auto"/>
        </w:rPr>
        <w:t xml:space="preserve">, if the Facility Termination Date has not yet occurred, (x) the Guaranteed Obligations of each Subsidiary Guarantor shall terminate upon the Release Date and (y) on and after the Release Date, the Company and its Restricted Subsidiaries shall no longer be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Notwithstanding the foregoing, this Guaranty shall continue in full force and effect or be revived, as the case may be, if any payment by or on behalf of the Borrowers or a Guarantor is made, or any of the Credit Parties exercises its right of setoff, in respect of the Guaranteed Obligations and such payment or the proceeds of such setoff or any part thereof is subsequently invalidated, declared to be fraudulent or preferential, set aside or required (including pursuant to any settlement entered into by any of the Credit Parties in their discretion) to be repaid to a trustee, receiver, examiner or any other party, in connection with any proceeding under any Debtor Relief Laws or otherwise, all as if such payment had not been made or such setoff had not occurred and whether or not the Credit Parties are in possession of or have released this Guaranty and regardless of any prior revocation, rescission, termination or reduction. The obligations of each Guarantor under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shall survive termination of this Guaranty.</w:t>
      </w:r>
    </w:p>
    <w:p>
      <w:pPr>
        <w:spacing w:after="0" w:line="15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.07</w:t>
      </w:r>
      <w:r>
        <w:rPr>
          <w:sz w:val="20"/>
          <w:szCs w:val="20"/>
          <w:color w:val="auto"/>
        </w:rPr>
        <w:tab/>
      </w:r>
      <w:r>
        <w:rPr>
          <w:rFonts w:ascii="Arial" w:cs="Arial" w:eastAsia="Arial" w:hAnsi="Arial"/>
          <w:sz w:val="16"/>
          <w:szCs w:val="16"/>
          <w:b w:val="1"/>
          <w:bCs w:val="1"/>
          <w:u w:val="single" w:color="auto"/>
          <w:color w:val="auto"/>
        </w:rPr>
        <w:t>Stay of Acceleration</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100" w:firstLine="648"/>
        <w:spacing w:after="0" w:line="229" w:lineRule="auto"/>
        <w:rPr>
          <w:sz w:val="20"/>
          <w:szCs w:val="20"/>
          <w:color w:val="auto"/>
        </w:rPr>
      </w:pPr>
      <w:r>
        <w:rPr>
          <w:rFonts w:ascii="Arial" w:cs="Arial" w:eastAsia="Arial" w:hAnsi="Arial"/>
          <w:sz w:val="20"/>
          <w:szCs w:val="20"/>
          <w:color w:val="auto"/>
        </w:rPr>
        <w:t>If acceleration of the time for payment of any of the Guaranteed Obligations is stayed, in connection with any case commenced by or against a Guarantor or the Borrowers under any Debtor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340"/>
          </w:cols>
          <w:pgMar w:left="220" w:top="1405" w:right="339" w:bottom="1440" w:gutter="0" w:footer="0" w:header="0"/>
        </w:sectPr>
      </w:pPr>
    </w:p>
    <w:bookmarkStart w:id="169" w:name="page170"/>
    <w:bookmarkEnd w:id="169"/>
    <w:p>
      <w:pPr>
        <w:jc w:val="both"/>
        <w:ind w:left="100"/>
        <w:spacing w:after="0" w:line="229" w:lineRule="auto"/>
        <w:rPr>
          <w:sz w:val="20"/>
          <w:szCs w:val="20"/>
          <w:color w:val="auto"/>
        </w:rPr>
      </w:pPr>
      <w:r>
        <w:rPr>
          <w:rFonts w:ascii="Arial" w:cs="Arial" w:eastAsia="Arial" w:hAnsi="Arial"/>
          <w:sz w:val="20"/>
          <w:szCs w:val="20"/>
          <w:color w:val="auto"/>
        </w:rPr>
        <w:t>Laws, or otherwise, all such amounts shall nonetheless be payable by each Guarantor, jointly and severally, immediately upon demand by the Credit Parties.</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.08</w:t>
      </w:r>
      <w:r>
        <w:rPr>
          <w:sz w:val="20"/>
          <w:szCs w:val="20"/>
          <w:color w:val="auto"/>
        </w:rPr>
        <w:tab/>
      </w:r>
      <w:r>
        <w:rPr>
          <w:rFonts w:ascii="Arial" w:cs="Arial" w:eastAsia="Arial" w:hAnsi="Arial"/>
          <w:sz w:val="16"/>
          <w:szCs w:val="16"/>
          <w:b w:val="1"/>
          <w:bCs w:val="1"/>
          <w:u w:val="single" w:color="auto"/>
          <w:color w:val="auto"/>
        </w:rPr>
        <w:t>Condition of Borrowers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100" w:firstLine="648"/>
        <w:spacing w:after="0" w:line="207" w:lineRule="auto"/>
        <w:rPr>
          <w:sz w:val="20"/>
          <w:szCs w:val="20"/>
          <w:color w:val="auto"/>
        </w:rPr>
      </w:pPr>
      <w:r>
        <w:rPr>
          <w:rFonts w:ascii="Arial" w:cs="Arial" w:eastAsia="Arial" w:hAnsi="Arial"/>
          <w:sz w:val="20"/>
          <w:szCs w:val="20"/>
          <w:color w:val="auto"/>
        </w:rPr>
        <w:t>Each Guarantor acknowledges and agrees that it has the sole responsibility for, and has adequate means of, obtaining from the Borrowers and any other guarantor such information concerning the financial condition, business and operations of the Borrowers and any such other guarantor as such Guarantor requires, and that none of the Credit Parties has any duty, and such Guarantor is not relying on the Credit Parties at any time, to disclose to it any information relating to the business, operations or financial condition of the Borrowers or any other guarantor (each Guarantor waiving any duty on the part of the Credit Parties to disclose such information and any defense relating to the failure to provide the same).</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.09</w:t>
      </w:r>
      <w:r>
        <w:rPr>
          <w:sz w:val="20"/>
          <w:szCs w:val="20"/>
          <w:color w:val="auto"/>
        </w:rPr>
        <w:tab/>
      </w:r>
      <w:r>
        <w:rPr>
          <w:rFonts w:ascii="Arial" w:cs="Arial" w:eastAsia="Arial" w:hAnsi="Arial"/>
          <w:sz w:val="18"/>
          <w:szCs w:val="18"/>
          <w:b w:val="1"/>
          <w:bCs w:val="1"/>
          <w:u w:val="single" w:color="auto"/>
          <w:color w:val="auto"/>
        </w:rPr>
        <w:t>Appointment of Company</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100" w:firstLine="648"/>
        <w:spacing w:after="0" w:line="217" w:lineRule="auto"/>
        <w:rPr>
          <w:sz w:val="20"/>
          <w:szCs w:val="20"/>
          <w:color w:val="auto"/>
        </w:rPr>
      </w:pPr>
      <w:r>
        <w:rPr>
          <w:rFonts w:ascii="Arial" w:cs="Arial" w:eastAsia="Arial" w:hAnsi="Arial"/>
          <w:sz w:val="19"/>
          <w:szCs w:val="19"/>
          <w:color w:val="auto"/>
        </w:rPr>
        <w:t>Each of the Loan Parties hereby appoints the Company to act as its agent for all purposes of this Agreement, the other Loan Documents and all other documents and electronic platforms entered into in connection herewith and agrees that (a) the Company may execute such documents and provide such authorizations on behalf of such Loan Parties as the Company deems appropriate in its sole discretion and each Loan Party shall be obligated by all of the terms of any such document and/or authorization executed on its behalf, (b) any notice or communication delivered by the Administrative Agent, an L/C Issuer or a Lender to the Company shall be deemed delivered to each Loan Party and (c) the Administrative Agent, the L/C Issuers or the Lenders may accept, and be permitted to rely on, any document, authorization, instrument or agreement executed by the Company on behalf of each of the Loan Parties.</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.10</w:t>
      </w:r>
      <w:r>
        <w:rPr>
          <w:sz w:val="20"/>
          <w:szCs w:val="20"/>
          <w:color w:val="auto"/>
        </w:rPr>
        <w:tab/>
      </w:r>
      <w:r>
        <w:rPr>
          <w:rFonts w:ascii="Arial" w:cs="Arial" w:eastAsia="Arial" w:hAnsi="Arial"/>
          <w:sz w:val="18"/>
          <w:szCs w:val="18"/>
          <w:b w:val="1"/>
          <w:bCs w:val="1"/>
          <w:u w:val="single" w:color="auto"/>
          <w:color w:val="auto"/>
        </w:rPr>
        <w:t>Right of Contribution</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100" w:firstLine="648"/>
        <w:spacing w:after="0" w:line="229" w:lineRule="auto"/>
        <w:rPr>
          <w:sz w:val="20"/>
          <w:szCs w:val="20"/>
          <w:color w:val="auto"/>
        </w:rPr>
      </w:pPr>
      <w:r>
        <w:rPr>
          <w:rFonts w:ascii="Arial" w:cs="Arial" w:eastAsia="Arial" w:hAnsi="Arial"/>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u w:val="single" w:color="auto"/>
          <w:color w:val="auto"/>
        </w:rPr>
        <w:t>.11</w:t>
      </w:r>
      <w:r>
        <w:rPr>
          <w:sz w:val="20"/>
          <w:szCs w:val="20"/>
          <w:color w:val="auto"/>
        </w:rPr>
        <w:tab/>
      </w:r>
      <w:r>
        <w:rPr>
          <w:rFonts w:ascii="Arial" w:cs="Arial" w:eastAsia="Arial" w:hAnsi="Arial"/>
          <w:sz w:val="16"/>
          <w:szCs w:val="16"/>
          <w:b w:val="1"/>
          <w:bCs w:val="1"/>
          <w:u w:val="single" w:color="auto"/>
          <w:color w:val="auto"/>
        </w:rPr>
        <w:t>Keepwell</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100" w:firstLine="648"/>
        <w:spacing w:after="0" w:line="213" w:lineRule="auto"/>
        <w:rPr>
          <w:sz w:val="20"/>
          <w:szCs w:val="20"/>
          <w:color w:val="auto"/>
        </w:rPr>
      </w:pPr>
      <w:r>
        <w:rPr>
          <w:rFonts w:ascii="Arial" w:cs="Arial" w:eastAsia="Arial" w:hAnsi="Arial"/>
          <w:sz w:val="19"/>
          <w:szCs w:val="19"/>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remain in full force and effect until the Guaranteed Obligations have been indefeasibly paid and performed in full. Each Loan Party intends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to constitute, and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be deemed to constitute, a guarantee of the obligations of, and a “keepwell, support, or other agreement” for the benefit of, each Specified Loan Party for all purposes of the Commodity Exchange Act.</w:t>
      </w:r>
    </w:p>
    <w:p>
      <w:pPr>
        <w:spacing w:after="0" w:line="13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XI</w:t>
      </w:r>
    </w:p>
    <w:p>
      <w:pPr>
        <w:ind w:left="4860"/>
        <w:spacing w:after="0"/>
        <w:rPr>
          <w:sz w:val="20"/>
          <w:szCs w:val="20"/>
          <w:color w:val="auto"/>
        </w:rPr>
      </w:pPr>
      <w:r>
        <w:rPr>
          <w:rFonts w:ascii="Arial" w:cs="Arial" w:eastAsia="Arial" w:hAnsi="Arial"/>
          <w:sz w:val="20"/>
          <w:szCs w:val="20"/>
          <w:b w:val="1"/>
          <w:bCs w:val="1"/>
          <w:color w:val="auto"/>
        </w:rPr>
        <w:t>MISCELLANEOUS</w:t>
      </w:r>
    </w:p>
    <w:p>
      <w:pPr>
        <w:spacing w:after="0" w:line="153" w:lineRule="exact"/>
        <w:rPr>
          <w:sz w:val="20"/>
          <w:szCs w:val="20"/>
          <w:color w:val="auto"/>
        </w:rPr>
      </w:pPr>
    </w:p>
    <w:p>
      <w:pPr>
        <w:ind w:left="400" w:hanging="380"/>
        <w:spacing w:after="0"/>
        <w:tabs>
          <w:tab w:leader="none" w:pos="400" w:val="left"/>
        </w:tabs>
        <w:numPr>
          <w:ilvl w:val="0"/>
          <w:numId w:val="22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Amendments, Etc.</w:t>
      </w:r>
    </w:p>
    <w:p>
      <w:pPr>
        <w:spacing w:after="0" w:line="181" w:lineRule="exact"/>
        <w:rPr>
          <w:rFonts w:ascii="Arial" w:cs="Arial" w:eastAsia="Arial" w:hAnsi="Arial"/>
          <w:sz w:val="20"/>
          <w:szCs w:val="20"/>
          <w:b w:val="1"/>
          <w:bCs w:val="1"/>
          <w:u w:val="single" w:color="auto"/>
          <w:color w:val="auto"/>
        </w:rPr>
      </w:pPr>
    </w:p>
    <w:p>
      <w:pPr>
        <w:jc w:val="both"/>
        <w:ind w:left="760" w:firstLine="644"/>
        <w:spacing w:after="0" w:line="224" w:lineRule="auto"/>
        <w:tabs>
          <w:tab w:leader="none" w:pos="2046" w:val="left"/>
        </w:tabs>
        <w:numPr>
          <w:ilvl w:val="1"/>
          <w:numId w:val="223"/>
        </w:numPr>
        <w:rPr>
          <w:rFonts w:ascii="Arial" w:cs="Arial" w:eastAsia="Arial" w:hAnsi="Arial"/>
          <w:sz w:val="19"/>
          <w:szCs w:val="19"/>
          <w:color w:val="auto"/>
        </w:rPr>
      </w:pPr>
      <w:r>
        <w:rPr>
          <w:rFonts w:ascii="Arial" w:cs="Arial" w:eastAsia="Arial" w:hAnsi="Arial"/>
          <w:sz w:val="19"/>
          <w:szCs w:val="19"/>
          <w:color w:val="auto"/>
        </w:rPr>
        <w:t>No amendment or waiver of any provision of this Agreement or any other Loan Document, and no consent to any departure by the Company or any other Loan Party therefrom, shall be effective unless in writing signed by the Required Lenders (or by the Administrative Agent with the consent of the Required Lenders) and the Company or the applicable Loan Party, as the case may be, and acknowledged by the Administrative Agent, and each such waiver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340"/>
          </w:cols>
          <w:pgMar w:left="220" w:top="1405" w:right="339" w:bottom="1440" w:gutter="0" w:footer="0" w:header="0"/>
        </w:sectPr>
      </w:pPr>
    </w:p>
    <w:bookmarkStart w:id="170" w:name="page171"/>
    <w:bookmarkEnd w:id="170"/>
    <w:p>
      <w:pPr>
        <w:ind w:left="660"/>
        <w:spacing w:after="0" w:line="229" w:lineRule="auto"/>
        <w:rPr>
          <w:sz w:val="20"/>
          <w:szCs w:val="20"/>
          <w:color w:val="auto"/>
        </w:rPr>
      </w:pPr>
      <w:r>
        <w:rPr>
          <w:rFonts w:ascii="Arial" w:cs="Arial" w:eastAsia="Arial" w:hAnsi="Arial"/>
          <w:sz w:val="20"/>
          <w:szCs w:val="20"/>
          <w:color w:val="auto"/>
        </w:rPr>
        <w:t xml:space="preserve">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waiver or consent shall:</w:t>
      </w:r>
    </w:p>
    <w:p>
      <w:pPr>
        <w:spacing w:after="0" w:line="155" w:lineRule="exact"/>
        <w:rPr>
          <w:sz w:val="20"/>
          <w:szCs w:val="20"/>
          <w:color w:val="auto"/>
        </w:rPr>
      </w:pPr>
    </w:p>
    <w:p>
      <w:pPr>
        <w:ind w:left="2600" w:hanging="648"/>
        <w:spacing w:after="0"/>
        <w:tabs>
          <w:tab w:leader="none" w:pos="26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left="1300" w:firstLine="652"/>
        <w:spacing w:after="0" w:line="221" w:lineRule="auto"/>
        <w:tabs>
          <w:tab w:leader="none" w:pos="2596"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extend or increase the Revolving Commitment of any Lender (or reinstate any Revolving Commitment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without the written consent of such Lender whose Revolving Commitment is being extended or increased (it being understood and agreed that a waiver (or amendment to the terms of) of any condition precedent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of any Default or Event of Default or a mandatory reduction in Revolving Commitments shall not constitute an extension or increase in the Revolving Commitment of any Lender);</w:t>
      </w:r>
    </w:p>
    <w:p>
      <w:pPr>
        <w:spacing w:after="0" w:line="155" w:lineRule="exact"/>
        <w:rPr>
          <w:rFonts w:ascii="Arial" w:cs="Arial" w:eastAsia="Arial" w:hAnsi="Arial"/>
          <w:sz w:val="19"/>
          <w:szCs w:val="19"/>
          <w:color w:val="auto"/>
        </w:rPr>
      </w:pPr>
    </w:p>
    <w:p>
      <w:pPr>
        <w:jc w:val="both"/>
        <w:ind w:left="1300" w:firstLine="652"/>
        <w:spacing w:after="0" w:line="210" w:lineRule="auto"/>
        <w:tabs>
          <w:tab w:leader="none" w:pos="258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directly and adversely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only the consent of the Required Lenders shall be necessary to waive any obligation of the Borrowers to pay interest or Letter of Credit Fees at the Default Rate;</w:t>
      </w:r>
    </w:p>
    <w:p>
      <w:pPr>
        <w:spacing w:after="0" w:line="154" w:lineRule="exact"/>
        <w:rPr>
          <w:rFonts w:ascii="Arial" w:cs="Arial" w:eastAsia="Arial" w:hAnsi="Arial"/>
          <w:sz w:val="20"/>
          <w:szCs w:val="20"/>
          <w:color w:val="auto"/>
        </w:rPr>
      </w:pPr>
    </w:p>
    <w:p>
      <w:pPr>
        <w:jc w:val="both"/>
        <w:ind w:left="1300" w:firstLine="652"/>
        <w:spacing w:after="0" w:line="217" w:lineRule="auto"/>
        <w:tabs>
          <w:tab w:leader="none" w:pos="2584"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reduce the principal of, or the rate of interest specified herein on, any Loan or L/C Borrowing, or (subject to clause (4) of the proviso set forth below) any fees or other amounts payable hereunder or under any other Loan Document without the written consent of each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(A) to amend the definition of “Default Rate” or to waive any obligation of the Borrowers to pay interest or Letter of Credit Fees at the Default Rate or (B) to amend the financial covenant hereunder (or any defined term used therein) even if the effect of such amendment would be to reduce the rate of interest on any Loan or L/C Borrowing or to reduce any fee payable hereunder;</w:t>
      </w:r>
    </w:p>
    <w:p>
      <w:pPr>
        <w:spacing w:after="0" w:line="156" w:lineRule="exact"/>
        <w:rPr>
          <w:rFonts w:ascii="Arial" w:cs="Arial" w:eastAsia="Arial" w:hAnsi="Arial"/>
          <w:sz w:val="19"/>
          <w:szCs w:val="19"/>
          <w:color w:val="auto"/>
        </w:rPr>
      </w:pPr>
    </w:p>
    <w:p>
      <w:pPr>
        <w:jc w:val="both"/>
        <w:ind w:left="1300" w:firstLine="652"/>
        <w:spacing w:after="0" w:line="213" w:lineRule="auto"/>
        <w:tabs>
          <w:tab w:leader="none" w:pos="258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change (i)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without the written consent of each Lender, (ii)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in a manner that would alter the pro rata sharing of payments required thereby without the written consent of each Lender or (iii) </w:t>
      </w:r>
      <w:r>
        <w:rPr>
          <w:rFonts w:ascii="Arial" w:cs="Arial" w:eastAsia="Arial" w:hAnsi="Arial"/>
          <w:sz w:val="20"/>
          <w:szCs w:val="20"/>
          <w:u w:val="single" w:color="auto"/>
          <w:color w:val="auto"/>
        </w:rPr>
        <w:t>Section 2.12(f)</w:t>
      </w:r>
      <w:r>
        <w:rPr>
          <w:rFonts w:ascii="Arial" w:cs="Arial" w:eastAsia="Arial" w:hAnsi="Arial"/>
          <w:sz w:val="20"/>
          <w:szCs w:val="20"/>
          <w:color w:val="auto"/>
        </w:rPr>
        <w:t xml:space="preserve"> in a manner that would alter the pro rata application required thereby without the written consent of each Lender directly affected thereby;</w:t>
      </w:r>
    </w:p>
    <w:p>
      <w:pPr>
        <w:spacing w:after="0" w:line="155" w:lineRule="exact"/>
        <w:rPr>
          <w:rFonts w:ascii="Arial" w:cs="Arial" w:eastAsia="Arial" w:hAnsi="Arial"/>
          <w:sz w:val="20"/>
          <w:szCs w:val="20"/>
          <w:color w:val="auto"/>
        </w:rPr>
      </w:pPr>
    </w:p>
    <w:p>
      <w:pPr>
        <w:jc w:val="both"/>
        <w:ind w:left="1300" w:firstLine="652"/>
        <w:spacing w:after="0" w:line="213" w:lineRule="auto"/>
        <w:tabs>
          <w:tab w:leader="none" w:pos="258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55" w:lineRule="exact"/>
        <w:rPr>
          <w:rFonts w:ascii="Arial" w:cs="Arial" w:eastAsia="Arial" w:hAnsi="Arial"/>
          <w:sz w:val="20"/>
          <w:szCs w:val="20"/>
          <w:color w:val="auto"/>
        </w:rPr>
      </w:pPr>
    </w:p>
    <w:p>
      <w:pPr>
        <w:jc w:val="both"/>
        <w:ind w:left="1300" w:firstLine="652"/>
        <w:spacing w:after="0" w:line="218" w:lineRule="auto"/>
        <w:tabs>
          <w:tab w:leader="none" w:pos="2587"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w:t>
      </w:r>
    </w:p>
    <w:p>
      <w:pPr>
        <w:spacing w:after="0" w:line="156" w:lineRule="exact"/>
        <w:rPr>
          <w:rFonts w:ascii="Arial" w:cs="Arial" w:eastAsia="Arial" w:hAnsi="Arial"/>
          <w:sz w:val="20"/>
          <w:szCs w:val="20"/>
          <w:color w:val="auto"/>
        </w:rPr>
      </w:pPr>
    </w:p>
    <w:p>
      <w:pPr>
        <w:ind w:left="2580" w:hanging="628"/>
        <w:spacing w:after="0"/>
        <w:tabs>
          <w:tab w:leader="none" w:pos="2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or the definition of “Alternative Currency” without the written consent of each Lender;</w:t>
      </w:r>
    </w:p>
    <w:p>
      <w:pPr>
        <w:spacing w:after="0" w:line="198" w:lineRule="exact"/>
        <w:rPr>
          <w:rFonts w:ascii="Arial" w:cs="Arial" w:eastAsia="Arial" w:hAnsi="Arial"/>
          <w:sz w:val="18"/>
          <w:szCs w:val="18"/>
          <w:color w:val="auto"/>
        </w:rPr>
      </w:pPr>
    </w:p>
    <w:p>
      <w:pPr>
        <w:jc w:val="both"/>
        <w:ind w:left="1300" w:firstLine="652"/>
        <w:spacing w:after="0" w:line="213" w:lineRule="auto"/>
        <w:tabs>
          <w:tab w:leader="none" w:pos="2584"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release any Borrower or permit any Borrower to assign or transfer any of its rights or obligations under this Agreement or the other Loan Documents without the consent of each Lender, except to the extent the release of any Designated Foreign Borrower is 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40"/>
          </w:cols>
          <w:pgMar w:left="320" w:top="1405" w:right="339" w:bottom="1440" w:gutter="0" w:footer="0" w:header="0"/>
        </w:sectPr>
      </w:pPr>
    </w:p>
    <w:bookmarkStart w:id="171" w:name="page172"/>
    <w:bookmarkEnd w:id="171"/>
    <w:p>
      <w:pPr>
        <w:ind w:left="1300" w:right="20" w:firstLine="652"/>
        <w:spacing w:after="0" w:line="269" w:lineRule="auto"/>
        <w:tabs>
          <w:tab w:leader="none" w:pos="25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to permit the designation of a Designated Foreign Borrower without the consent of the Administrative Agent, the Lenders and the L/C Issuers to such designation, without the written consent of each Lender;</w:t>
      </w:r>
    </w:p>
    <w:p>
      <w:pPr>
        <w:spacing w:after="0" w:line="130" w:lineRule="exact"/>
        <w:rPr>
          <w:sz w:val="20"/>
          <w:szCs w:val="20"/>
          <w:color w:val="auto"/>
        </w:rPr>
      </w:pPr>
    </w:p>
    <w:p>
      <w:pPr>
        <w:jc w:val="both"/>
        <w:ind w:left="660"/>
        <w:spacing w:after="0" w:line="22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(1)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(2) no amendment, waiver or consent shall, unless in writing and signed by the Swingline Lender in addition to the Lenders required above, affect the rights or duties of the Swingline Lender under this Agreement; (3) no amendment, waiver or consent shall, unless in writing and signed by the Administrative Agent in addition to the Lenders required above, affect the rights or duties of the Administrative Agent under this Agreement or any other Loan Document;</w:t>
      </w:r>
    </w:p>
    <w:p>
      <w:pPr>
        <w:spacing w:after="0" w:line="1" w:lineRule="exact"/>
        <w:rPr>
          <w:sz w:val="20"/>
          <w:szCs w:val="20"/>
          <w:color w:val="auto"/>
        </w:rPr>
      </w:pPr>
    </w:p>
    <w:p>
      <w:pPr>
        <w:jc w:val="both"/>
        <w:ind w:left="660" w:hanging="4"/>
        <w:spacing w:after="0" w:line="220" w:lineRule="auto"/>
        <w:tabs>
          <w:tab w:leader="none" w:pos="94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the Fee Letter may be amended, or rights or privileges thereunder waived, in a writing executed only by the parties thereto; (5)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(6) each Lender is entitled to vote as such Lender sees fit on any bankruptcy reorganization plan that affects the Loans, and each Lender acknowledges that the provisions of Section 1126(c) of the Bankruptcy Code supersedes the unanimous consent provisions set forth herein; (7) the Required Lenders shall determine whether or not to allow a Loan Party to use cash collateral in the context of a bankruptcy or insolvency proceeding and such determination shall be binding on all of the Lenders; (8) the Lenders hereby authorize the Administrative Agent to enter into amendments to this Agreement and the other Loan Documents with the Company as may be necessary or appropriate in the reasonable opinion of the Administrative Agent and the Company in order to give effect to, and reflect the existence of, any Incremental Revolving Facility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 Extended Revolving Facility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(9) to the extent permitted pursuant to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this Agreement may be amended solely to (x) add additional currency options for Revolving Loans and the applicable interest rates (and applicable adjustments, if any) with respect thereto with the written consent of the Administrative Agent and the Company, and (y) add additional currency options for Letters of Credit with the written consent of the Administrative Agent, the Alternative Currency L/C Issuer, and the Company; (10) to the extent permitted by </w:t>
      </w:r>
      <w:r>
        <w:rPr>
          <w:rFonts w:ascii="Arial" w:cs="Arial" w:eastAsia="Arial" w:hAnsi="Arial"/>
          <w:sz w:val="18"/>
          <w:szCs w:val="18"/>
          <w:u w:val="single" w:color="auto"/>
          <w:color w:val="auto"/>
        </w:rPr>
        <w:t>Section 1.10(b)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1.10(c)</w:t>
      </w:r>
      <w:r>
        <w:rPr>
          <w:rFonts w:ascii="Arial" w:cs="Arial" w:eastAsia="Arial" w:hAnsi="Arial"/>
          <w:sz w:val="18"/>
          <w:szCs w:val="18"/>
          <w:color w:val="auto"/>
        </w:rPr>
        <w:t xml:space="preserve">, this Agreement may be amended to make such reasonable changes of construction as the Administrative Agent may from time to time specify; (11) this Agreement may be amended by the Company, the applicable Applicant Foreign Borrower, and the Administrative Agent to add such provisions as are deemed necessary, in the sole discretion of the Administrative Agent, to facilitate the addition of any Designated Foreign Borrower designated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(12)(x) in order to implement any Term SOFR Successor Rate or any Term SOFR Conforming Changes, in each case in accordance with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this Agreement may be amended for such purpose as provided in and subject to the limitations of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and (y) in order to implement any Successor Rate or any Conforming Changes, in each case in accordance with </w:t>
      </w:r>
      <w:r>
        <w:rPr>
          <w:rFonts w:ascii="Arial" w:cs="Arial" w:eastAsia="Arial" w:hAnsi="Arial"/>
          <w:sz w:val="18"/>
          <w:szCs w:val="18"/>
          <w:u w:val="single" w:color="auto"/>
          <w:color w:val="auto"/>
        </w:rPr>
        <w:t>Section 3.03(d)</w:t>
      </w:r>
      <w:r>
        <w:rPr>
          <w:rFonts w:ascii="Arial" w:cs="Arial" w:eastAsia="Arial" w:hAnsi="Arial"/>
          <w:sz w:val="18"/>
          <w:szCs w:val="18"/>
          <w:color w:val="auto"/>
        </w:rPr>
        <w:t xml:space="preserve">, this Agreement may be amended for such purpose as provided in and subject to the limitations of </w:t>
      </w:r>
      <w:r>
        <w:rPr>
          <w:rFonts w:ascii="Arial" w:cs="Arial" w:eastAsia="Arial" w:hAnsi="Arial"/>
          <w:sz w:val="18"/>
          <w:szCs w:val="18"/>
          <w:u w:val="single" w:color="auto"/>
          <w:color w:val="auto"/>
        </w:rPr>
        <w:t>Section 3.03(d)</w:t>
      </w:r>
      <w:r>
        <w:rPr>
          <w:rFonts w:ascii="Arial" w:cs="Arial" w:eastAsia="Arial" w:hAnsi="Arial"/>
          <w:sz w:val="18"/>
          <w:szCs w:val="18"/>
          <w:color w:val="auto"/>
        </w:rPr>
        <w:t>; (13)(x) the Administrative Agent shall have the right, from time to time, to make Term SOFR Conforming Changes and any amendments implementing such Term SOFR Conforming Changes will become effective without any further action or consent of any other party to this Agreement or any other Loan Document, so long as, with respect to any such amendment effected, the Administrative Agent shall post each such amendment implementing such Term SOFR Conforming Changes to the Company and the Lenders reasonably promptly after such amendment becomes effective, and (y) the Administrative Agent shall have the right, from time to time, to make Conforming Changes and any amendments implementing such Conforming Changes will become effective without any further action or consent of any other party to this Agreement or any other Loan Document, so long as, with respect to any such amendment effected, the Administrative Agent shall post each such amendment implementing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40"/>
          </w:cols>
          <w:pgMar w:left="320" w:top="1405" w:right="339" w:bottom="1440" w:gutter="0" w:footer="0" w:header="0"/>
        </w:sectPr>
      </w:pPr>
    </w:p>
    <w:bookmarkStart w:id="172" w:name="page173"/>
    <w:bookmarkEnd w:id="172"/>
    <w:p>
      <w:pPr>
        <w:jc w:val="both"/>
        <w:ind w:left="740"/>
        <w:spacing w:after="0" w:line="218" w:lineRule="auto"/>
        <w:rPr>
          <w:sz w:val="20"/>
          <w:szCs w:val="20"/>
          <w:color w:val="auto"/>
        </w:rPr>
      </w:pPr>
      <w:r>
        <w:rPr>
          <w:rFonts w:ascii="Arial" w:cs="Arial" w:eastAsia="Arial" w:hAnsi="Arial"/>
          <w:sz w:val="20"/>
          <w:szCs w:val="20"/>
          <w:color w:val="auto"/>
        </w:rPr>
        <w:t xml:space="preserve">Conforming Changes to the Company and the Lenders reasonably promptly after such amendment becomes effective; and (14) to the extent permitted pursuant to </w:t>
      </w:r>
      <w:r>
        <w:rPr>
          <w:rFonts w:ascii="Arial" w:cs="Arial" w:eastAsia="Arial" w:hAnsi="Arial"/>
          <w:sz w:val="20"/>
          <w:szCs w:val="20"/>
          <w:u w:val="single" w:color="auto"/>
          <w:color w:val="auto"/>
        </w:rPr>
        <w:t>Section 11.22</w:t>
      </w:r>
      <w:r>
        <w:rPr>
          <w:rFonts w:ascii="Arial" w:cs="Arial" w:eastAsia="Arial" w:hAnsi="Arial"/>
          <w:sz w:val="20"/>
          <w:szCs w:val="20"/>
          <w:color w:val="auto"/>
        </w:rPr>
        <w:t xml:space="preserve">, this Agreement and the other Loan Documents may be amended in connection with the releases contemplated by </w:t>
      </w:r>
      <w:r>
        <w:rPr>
          <w:rFonts w:ascii="Arial" w:cs="Arial" w:eastAsia="Arial" w:hAnsi="Arial"/>
          <w:sz w:val="20"/>
          <w:szCs w:val="20"/>
          <w:u w:val="single" w:color="auto"/>
          <w:color w:val="auto"/>
        </w:rPr>
        <w:t>Section 11.22</w:t>
      </w:r>
      <w:r>
        <w:rPr>
          <w:rFonts w:ascii="Arial" w:cs="Arial" w:eastAsia="Arial" w:hAnsi="Arial"/>
          <w:sz w:val="20"/>
          <w:szCs w:val="20"/>
          <w:color w:val="auto"/>
        </w:rPr>
        <w:t>.</w:t>
      </w:r>
    </w:p>
    <w:p>
      <w:pPr>
        <w:spacing w:after="0" w:line="156" w:lineRule="exact"/>
        <w:rPr>
          <w:sz w:val="20"/>
          <w:szCs w:val="20"/>
          <w:color w:val="auto"/>
        </w:rPr>
      </w:pPr>
    </w:p>
    <w:p>
      <w:pPr>
        <w:jc w:val="both"/>
        <w:ind w:left="740" w:firstLine="644"/>
        <w:spacing w:after="0" w:line="224" w:lineRule="auto"/>
        <w:tabs>
          <w:tab w:leader="none" w:pos="202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(including the other provisions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(i) the Administrative Agent and the Company may amend, modify or supplement this Agreement or any of the other Loan Documents to cure any omission, mistake, defect or inconsistency and any such amendment, modification or supplement, as applicable, shall become effective without the further consent of any other party to such Loan Document, and (ii) this Agreement may be amended, amended and restated or otherwise supplemented or modified without the consent of any Lender (but with the consent of Company and the Administrative Agent) if, upon giving effect to such amendment, amendment and restatement or other supplement or modification, such Lender shall no longer be a party to this Agreement (as so amended, amended and restated or otherwise supplemented or modified), the Revolving Commitment of such Lender shall have terminated (but such Lender shall be entitled to the benefits of the provisions of this Agreement which expressly survive the termination of such Lender’s Revolving Commitments), such Lender shall have no other obligation to provide additional Credit Extensions to the Borrowers under this Agreement and such Lender shall have been paid in full all Obligations (other than (A) contingent indemnification and expense reimbursement obligations as to which no claim has been asserted and (B) for the avoidance of any doubt, any Additional Obligations) owing to it or accrued for its account under this Agreement.</w:t>
      </w:r>
    </w:p>
    <w:p>
      <w:pPr>
        <w:spacing w:after="0" w:line="162" w:lineRule="exact"/>
        <w:rPr>
          <w:sz w:val="20"/>
          <w:szCs w:val="20"/>
          <w:color w:val="auto"/>
        </w:rPr>
      </w:pPr>
    </w:p>
    <w:p>
      <w:pPr>
        <w:jc w:val="both"/>
        <w:ind w:left="740" w:firstLine="648"/>
        <w:spacing w:after="0" w:line="210" w:lineRule="auto"/>
        <w:rPr>
          <w:sz w:val="20"/>
          <w:szCs w:val="20"/>
          <w:color w:val="auto"/>
        </w:rPr>
      </w:pPr>
      <w:r>
        <w:rPr>
          <w:rFonts w:ascii="Arial" w:cs="Arial" w:eastAsia="Arial" w:hAnsi="Arial"/>
          <w:sz w:val="20"/>
          <w:szCs w:val="20"/>
          <w:color w:val="auto"/>
        </w:rPr>
        <w:t xml:space="preserve">If any Lender does not consent to a proposed amendment, waiver, consent or release with respect to any Loan Document that requires the consent of each Lender and that has been approved by the Required Lenders, the Company may replace such Non-Consenting Lender in accordance with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amendment, waiver, consent or release can be effected as a result of the assignment contemplated by such Section (together with all other such assignments required by the Company to be made pursuant to this paragraph).</w:t>
      </w:r>
    </w:p>
    <w:p>
      <w:pPr>
        <w:spacing w:after="0" w:line="149" w:lineRule="exact"/>
        <w:rPr>
          <w:sz w:val="20"/>
          <w:szCs w:val="20"/>
          <w:color w:val="auto"/>
        </w:rPr>
      </w:pPr>
    </w:p>
    <w:p>
      <w:pPr>
        <w:ind w:left="400" w:hanging="400"/>
        <w:spacing w:after="0"/>
        <w:tabs>
          <w:tab w:leader="none" w:pos="400" w:val="left"/>
        </w:tabs>
        <w:numPr>
          <w:ilvl w:val="0"/>
          <w:numId w:val="22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Notices; Effectiveness; Electronic Communications</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u w:val="single" w:color="auto"/>
          <w:color w:val="auto"/>
        </w:rPr>
      </w:pPr>
    </w:p>
    <w:p>
      <w:pPr>
        <w:jc w:val="both"/>
        <w:ind w:left="740" w:firstLine="644"/>
        <w:spacing w:after="0" w:line="210" w:lineRule="auto"/>
        <w:tabs>
          <w:tab w:leader="none" w:pos="2026" w:val="left"/>
        </w:tabs>
        <w:numPr>
          <w:ilvl w:val="1"/>
          <w:numId w:val="228"/>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54" w:lineRule="exact"/>
        <w:rPr>
          <w:rFonts w:ascii="Arial" w:cs="Arial" w:eastAsia="Arial" w:hAnsi="Arial"/>
          <w:sz w:val="20"/>
          <w:szCs w:val="20"/>
          <w:color w:val="auto"/>
        </w:rPr>
      </w:pPr>
    </w:p>
    <w:p>
      <w:pPr>
        <w:jc w:val="both"/>
        <w:ind w:left="1380" w:firstLine="652"/>
        <w:spacing w:after="0" w:line="218" w:lineRule="auto"/>
        <w:tabs>
          <w:tab w:leader="none" w:pos="2673" w:val="left"/>
        </w:tabs>
        <w:numPr>
          <w:ilvl w:val="2"/>
          <w:numId w:val="228"/>
        </w:numPr>
        <w:rPr>
          <w:rFonts w:ascii="Arial" w:cs="Arial" w:eastAsia="Arial" w:hAnsi="Arial"/>
          <w:sz w:val="20"/>
          <w:szCs w:val="20"/>
          <w:color w:val="auto"/>
        </w:rPr>
      </w:pPr>
      <w:r>
        <w:rPr>
          <w:rFonts w:ascii="Arial" w:cs="Arial" w:eastAsia="Arial" w:hAnsi="Arial"/>
          <w:sz w:val="20"/>
          <w:szCs w:val="20"/>
          <w:color w:val="auto"/>
        </w:rPr>
        <w:t xml:space="preserve">if to the Company or any other Loan Party, the Administrative Agent, Bank of America as an L/C Issuer, or the Swingline Lender, to the address, fax number (to the extent applicable), e-mail address or telephone number specified for such Person on </w:t>
      </w:r>
      <w:r>
        <w:rPr>
          <w:rFonts w:ascii="Arial" w:cs="Arial" w:eastAsia="Arial" w:hAnsi="Arial"/>
          <w:sz w:val="20"/>
          <w:szCs w:val="20"/>
          <w:u w:val="single" w:color="auto"/>
          <w:color w:val="auto"/>
        </w:rPr>
        <w:t>Schedule 1.01(a)</w:t>
      </w:r>
      <w:r>
        <w:rPr>
          <w:rFonts w:ascii="Arial" w:cs="Arial" w:eastAsia="Arial" w:hAnsi="Arial"/>
          <w:sz w:val="20"/>
          <w:szCs w:val="20"/>
          <w:color w:val="auto"/>
        </w:rPr>
        <w:t>; and</w:t>
      </w:r>
    </w:p>
    <w:p>
      <w:pPr>
        <w:spacing w:after="0" w:line="156" w:lineRule="exact"/>
        <w:rPr>
          <w:rFonts w:ascii="Arial" w:cs="Arial" w:eastAsia="Arial" w:hAnsi="Arial"/>
          <w:sz w:val="20"/>
          <w:szCs w:val="20"/>
          <w:color w:val="auto"/>
        </w:rPr>
      </w:pPr>
    </w:p>
    <w:p>
      <w:pPr>
        <w:jc w:val="both"/>
        <w:ind w:left="1380" w:firstLine="652"/>
        <w:spacing w:after="0" w:line="213" w:lineRule="auto"/>
        <w:tabs>
          <w:tab w:leader="none" w:pos="2674" w:val="left"/>
        </w:tabs>
        <w:numPr>
          <w:ilvl w:val="2"/>
          <w:numId w:val="228"/>
        </w:numPr>
        <w:rPr>
          <w:rFonts w:ascii="Arial" w:cs="Arial" w:eastAsia="Arial" w:hAnsi="Arial"/>
          <w:sz w:val="20"/>
          <w:szCs w:val="20"/>
          <w:color w:val="auto"/>
        </w:rPr>
      </w:pPr>
      <w:r>
        <w:rPr>
          <w:rFonts w:ascii="Arial" w:cs="Arial" w:eastAsia="Arial" w:hAnsi="Arial"/>
          <w:sz w:val="20"/>
          <w:szCs w:val="20"/>
          <w:color w:val="auto"/>
        </w:rPr>
        <w:t>if to any other Lender or any other L/C Issuer,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56" w:lineRule="exact"/>
        <w:rPr>
          <w:sz w:val="20"/>
          <w:szCs w:val="20"/>
          <w:color w:val="auto"/>
        </w:rPr>
      </w:pPr>
    </w:p>
    <w:p>
      <w:pPr>
        <w:jc w:val="both"/>
        <w:ind w:left="740" w:firstLine="648"/>
        <w:spacing w:after="0" w:line="224"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320"/>
          </w:cols>
          <w:pgMar w:left="240" w:top="1405" w:right="339" w:bottom="1440" w:gutter="0" w:footer="0" w:header="0"/>
        </w:sectPr>
      </w:pPr>
    </w:p>
    <w:bookmarkStart w:id="173" w:name="page174"/>
    <w:bookmarkEnd w:id="173"/>
    <w:p>
      <w:pPr>
        <w:ind w:left="660"/>
        <w:spacing w:after="0" w:line="229" w:lineRule="auto"/>
        <w:rPr>
          <w:sz w:val="20"/>
          <w:szCs w:val="20"/>
          <w:color w:val="auto"/>
        </w:rPr>
      </w:pPr>
      <w:r>
        <w:rPr>
          <w:rFonts w:ascii="Arial" w:cs="Arial" w:eastAsia="Arial" w:hAnsi="Arial"/>
          <w:sz w:val="20"/>
          <w:szCs w:val="20"/>
          <w:color w:val="auto"/>
        </w:rPr>
        <w:t>other communications delivered through electronic communications to the extent provided in subsection (b) below shall be effective as provided in such subsection (b).</w:t>
      </w:r>
    </w:p>
    <w:p>
      <w:pPr>
        <w:spacing w:after="0" w:line="155" w:lineRule="exact"/>
        <w:rPr>
          <w:sz w:val="20"/>
          <w:szCs w:val="20"/>
          <w:color w:val="auto"/>
        </w:rPr>
      </w:pPr>
    </w:p>
    <w:p>
      <w:pPr>
        <w:ind w:left="1940" w:hanging="636"/>
        <w:spacing w:after="0"/>
        <w:tabs>
          <w:tab w:leader="none" w:pos="1940"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15" w:lineRule="auto"/>
        <w:tabs>
          <w:tab w:leader="none" w:pos="2594" w:val="left"/>
        </w:tabs>
        <w:numPr>
          <w:ilvl w:val="1"/>
          <w:numId w:val="229"/>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Administrative Agent, the Lenders, the Swingline Lender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the Swingline Lender or any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the Swingline Lender or such L/C Issuer, as applicable, has notified the Administrative Agent that it is incapable of receiving notices under such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by electronic communication. The Administrative Agent, the Swingline Lender, any L/C Issuer or the Borrowers may each,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5" w:lineRule="exact"/>
        <w:rPr>
          <w:rFonts w:ascii="Arial" w:cs="Arial" w:eastAsia="Arial" w:hAnsi="Arial"/>
          <w:sz w:val="19"/>
          <w:szCs w:val="19"/>
          <w:color w:val="auto"/>
        </w:rPr>
      </w:pPr>
    </w:p>
    <w:p>
      <w:pPr>
        <w:jc w:val="both"/>
        <w:ind w:left="1300" w:firstLine="652"/>
        <w:spacing w:after="0" w:line="227" w:lineRule="auto"/>
        <w:tabs>
          <w:tab w:leader="none" w:pos="2595"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(A) and (B) above, if such notice or other communication is not sent during the normal business hours of the recipient, such notice, email or communication shall be deemed to have been sent at the opening of business on the next Business Day for the recipient.</w:t>
      </w:r>
    </w:p>
    <w:p>
      <w:pPr>
        <w:spacing w:after="0" w:line="141" w:lineRule="exact"/>
        <w:rPr>
          <w:rFonts w:ascii="Arial" w:cs="Arial" w:eastAsia="Arial" w:hAnsi="Arial"/>
          <w:sz w:val="18"/>
          <w:szCs w:val="18"/>
          <w:color w:val="auto"/>
        </w:rPr>
      </w:pPr>
    </w:p>
    <w:p>
      <w:pPr>
        <w:ind w:left="1940" w:hanging="636"/>
        <w:spacing w:after="0"/>
        <w:tabs>
          <w:tab w:leader="none" w:pos="1940"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jc w:val="both"/>
        <w:ind w:left="660"/>
        <w:spacing w:after="0" w:line="211" w:lineRule="auto"/>
        <w:rPr>
          <w:rFonts w:ascii="Arial" w:cs="Arial" w:eastAsia="Arial" w:hAnsi="Arial"/>
          <w:sz w:val="19"/>
          <w:szCs w:val="19"/>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Borrowers, any Lender, any L/C Issuer or any other Person for losses, claims, damages, liabilities or expenses of any kind (whether in tort, contract or otherwise) arising out of any Loan Party’s or the Administrative Agent’s transmission of Borrower Materials or notices through the Platform, any other electronic platform or electronic messaging service, or through the Internet, except with respect to such losses, claims, damages, liabilities or expenses of the Borrowers only that are determined by a court of competent jurisdiction by a final and nonappealable judgment to have resulted from the gross negligence or willful misconduct of such Agent Party with respect to any such transmission of Borrower Materials or notices through the Platform by such Agent Party.</w:t>
      </w:r>
    </w:p>
    <w:p>
      <w:pPr>
        <w:spacing w:after="0" w:line="159" w:lineRule="exact"/>
        <w:rPr>
          <w:rFonts w:ascii="Arial" w:cs="Arial" w:eastAsia="Arial" w:hAnsi="Arial"/>
          <w:sz w:val="19"/>
          <w:szCs w:val="19"/>
          <w:color w:val="auto"/>
        </w:rPr>
      </w:pPr>
    </w:p>
    <w:p>
      <w:pPr>
        <w:jc w:val="both"/>
        <w:ind w:left="660" w:firstLine="644"/>
        <w:spacing w:after="0" w:line="210" w:lineRule="auto"/>
        <w:tabs>
          <w:tab w:leader="none" w:pos="1944"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Each of the Borrowers, the Administrative Agent, the L/C Issuers and the Swingline Lender may change its address, fax number (to the extent applicable) or telephone number or e-mail address for notices and other communications hereunder by notice to the other parties hereto. Each other Lender may change its address, fax number or telephone number or e-mail address for notices and other communications hereunder by notice to the Company, the Administrative Agent, the L/C Issuers and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40"/>
          </w:cols>
          <w:pgMar w:left="320" w:top="1405" w:right="339" w:bottom="1440" w:gutter="0" w:footer="0" w:header="0"/>
        </w:sectPr>
      </w:pPr>
    </w:p>
    <w:bookmarkStart w:id="174" w:name="page175"/>
    <w:bookmarkEnd w:id="174"/>
    <w:p>
      <w:pPr>
        <w:jc w:val="both"/>
        <w:ind w:left="740"/>
        <w:spacing w:after="0" w:line="215" w:lineRule="auto"/>
        <w:rPr>
          <w:sz w:val="20"/>
          <w:szCs w:val="20"/>
          <w:color w:val="auto"/>
        </w:rPr>
      </w:pPr>
      <w:r>
        <w:rPr>
          <w:rFonts w:ascii="Arial" w:cs="Arial" w:eastAsia="Arial" w:hAnsi="Arial"/>
          <w:sz w:val="19"/>
          <w:szCs w:val="19"/>
          <w:color w:val="auto"/>
        </w:rPr>
        <w:t>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55" w:lineRule="exact"/>
        <w:rPr>
          <w:sz w:val="20"/>
          <w:szCs w:val="20"/>
          <w:color w:val="auto"/>
        </w:rPr>
      </w:pPr>
    </w:p>
    <w:p>
      <w:pPr>
        <w:jc w:val="both"/>
        <w:ind w:left="740" w:firstLine="644"/>
        <w:spacing w:after="0" w:line="225" w:lineRule="auto"/>
        <w:tabs>
          <w:tab w:leader="none" w:pos="2026"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telephonic or electronic notices, Loan Notices, Letter of Credit Applications, Notice of Loan Prepayment and Swingline Loan Notices) purportedly given by or on behalf of any Loan Party even if</w:t>
      </w:r>
    </w:p>
    <w:p>
      <w:pPr>
        <w:jc w:val="both"/>
        <w:ind w:left="740" w:hanging="4"/>
        <w:spacing w:after="0" w:line="215" w:lineRule="auto"/>
        <w:tabs>
          <w:tab w:leader="none" w:pos="979" w:val="left"/>
        </w:tabs>
        <w:numPr>
          <w:ilvl w:val="0"/>
          <w:numId w:val="231"/>
        </w:numPr>
        <w:rPr>
          <w:rFonts w:ascii="Arial" w:cs="Arial" w:eastAsia="Arial" w:hAnsi="Arial"/>
          <w:sz w:val="19"/>
          <w:szCs w:val="19"/>
          <w:color w:val="auto"/>
        </w:rPr>
      </w:pPr>
      <w:r>
        <w:rPr>
          <w:rFonts w:ascii="Arial" w:cs="Arial" w:eastAsia="Arial" w:hAnsi="Arial"/>
          <w:sz w:val="19"/>
          <w:szCs w:val="19"/>
          <w:color w:val="auto"/>
        </w:rPr>
        <w:t>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54" w:lineRule="exact"/>
        <w:rPr>
          <w:sz w:val="20"/>
          <w:szCs w:val="20"/>
          <w:color w:val="auto"/>
        </w:rPr>
      </w:pPr>
    </w:p>
    <w:p>
      <w:pPr>
        <w:ind w:left="400" w:hanging="400"/>
        <w:spacing w:after="0"/>
        <w:tabs>
          <w:tab w:leader="none" w:pos="400" w:val="left"/>
        </w:tabs>
        <w:numPr>
          <w:ilvl w:val="0"/>
          <w:numId w:val="23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No Waiver; Cumulative Remedies; Enforcement</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u w:val="single" w:color="auto"/>
          <w:color w:val="auto"/>
        </w:rPr>
      </w:pPr>
    </w:p>
    <w:p>
      <w:pPr>
        <w:jc w:val="both"/>
        <w:ind w:left="740" w:firstLine="644"/>
        <w:spacing w:after="0" w:line="207" w:lineRule="auto"/>
        <w:tabs>
          <w:tab w:leader="none" w:pos="2031" w:val="left"/>
        </w:tabs>
        <w:numPr>
          <w:ilvl w:val="1"/>
          <w:numId w:val="232"/>
        </w:numPr>
        <w:rPr>
          <w:rFonts w:ascii="Arial" w:cs="Arial" w:eastAsia="Arial" w:hAnsi="Arial"/>
          <w:sz w:val="20"/>
          <w:szCs w:val="20"/>
          <w:color w:val="auto"/>
        </w:rPr>
      </w:pPr>
      <w:r>
        <w:rPr>
          <w:rFonts w:ascii="Arial" w:cs="Arial" w:eastAsia="Arial" w:hAnsi="Arial"/>
          <w:sz w:val="20"/>
          <w:szCs w:val="20"/>
          <w:color w:val="auto"/>
        </w:rPr>
        <w:t>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59" w:lineRule="exact"/>
        <w:rPr>
          <w:rFonts w:ascii="Arial" w:cs="Arial" w:eastAsia="Arial" w:hAnsi="Arial"/>
          <w:sz w:val="20"/>
          <w:szCs w:val="20"/>
          <w:color w:val="auto"/>
        </w:rPr>
      </w:pPr>
    </w:p>
    <w:p>
      <w:pPr>
        <w:jc w:val="both"/>
        <w:ind w:left="740" w:firstLine="644"/>
        <w:spacing w:after="0" w:line="223" w:lineRule="auto"/>
        <w:tabs>
          <w:tab w:leader="none" w:pos="202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L/C Issuer or the Swingline Lender from exercising the rights and remedies that inure to its benefit (solely in its capacity as an L/C Issuer or Swingline Lender, as the case may be) hereunder and under the other Loan Documents, (iii)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(iv) any Lender from filing proofs of claim or appearing and filing pleadings on its own behalf during the pendency of a proceeding relative to any Loan Party under any Debtor Relief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(A)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(B) in addition to the matters set forth in clauses (ii), (iii) and (iv) of the preceding proviso and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any Lender may, with the consent of the Required Lenders, enforce any rights and remedies available to it and as authorized by the Required Lenders. Each Credit Party, whether or not a party hereto,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320"/>
          </w:cols>
          <w:pgMar w:left="240" w:top="1405" w:right="339" w:bottom="1440" w:gutter="0" w:footer="0" w:header="0"/>
        </w:sectPr>
      </w:pPr>
    </w:p>
    <w:bookmarkStart w:id="175" w:name="page176"/>
    <w:bookmarkEnd w:id="175"/>
    <w:p>
      <w:pPr>
        <w:ind w:left="740"/>
        <w:spacing w:after="0" w:line="229" w:lineRule="auto"/>
        <w:rPr>
          <w:sz w:val="20"/>
          <w:szCs w:val="20"/>
          <w:color w:val="auto"/>
        </w:rPr>
      </w:pPr>
      <w:r>
        <w:rPr>
          <w:rFonts w:ascii="Arial" w:cs="Arial" w:eastAsia="Arial" w:hAnsi="Arial"/>
          <w:sz w:val="20"/>
          <w:szCs w:val="20"/>
          <w:color w:val="auto"/>
        </w:rPr>
        <w:t>deemed, by its acceptance of the benefits of the Guarantees of the Guaranteed Obligations provided under the Loan Documents, to have agreed to the foregoing provisions.</w:t>
      </w:r>
    </w:p>
    <w:p>
      <w:pPr>
        <w:spacing w:after="0" w:line="149" w:lineRule="exact"/>
        <w:rPr>
          <w:sz w:val="20"/>
          <w:szCs w:val="20"/>
          <w:color w:val="auto"/>
        </w:rPr>
      </w:pPr>
    </w:p>
    <w:p>
      <w:pPr>
        <w:ind w:left="400" w:hanging="400"/>
        <w:spacing w:after="0"/>
        <w:tabs>
          <w:tab w:leader="none" w:pos="400" w:val="left"/>
        </w:tabs>
        <w:numPr>
          <w:ilvl w:val="0"/>
          <w:numId w:val="23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Expenses; Indemnity; Damage Waiver</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u w:val="single" w:color="auto"/>
          <w:color w:val="auto"/>
        </w:rPr>
      </w:pPr>
    </w:p>
    <w:p>
      <w:pPr>
        <w:jc w:val="both"/>
        <w:ind w:left="740" w:firstLine="644"/>
        <w:spacing w:after="0" w:line="250" w:lineRule="auto"/>
        <w:tabs>
          <w:tab w:leader="none" w:pos="2026" w:val="left"/>
        </w:tabs>
        <w:numPr>
          <w:ilvl w:val="2"/>
          <w:numId w:val="233"/>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Loan Parties shall pay (i) all reasonable and documented or invoiced out-of-pocket expenses incurred by the Administrative Agent and its Affiliates (including the reasonable and documented or invoiced out-of-pocket fees, charges and disbursements of one primary counsel for the Administrative Agent and the Arrangers, taken as a whole, and, after consultation with the Company, one local counsel as necessary in each appropriate jurisdiction for the Administrative Agent and the Arrangers, taken as a whole), in connection with the syndication of the credit facilities provided for herein, the preparation, due diligence, negotiation, execution, delivery, closing and administration of this Agreement and the other Loan Documents or any amendments, modifications or waivers of the provisions hereof or thereof (whether or not the transactions contemplated hereby or thereby shall be consummated), (ii) all reasonable and documented or invoiced out-of-pocket expenses incurred by each L/C Issuer in connection with the issuance, amendment, renewal or extension of any Letter of Credit or any demand for payment thereunder and</w:t>
      </w:r>
    </w:p>
    <w:p>
      <w:pPr>
        <w:spacing w:after="0" w:line="183" w:lineRule="exact"/>
        <w:rPr>
          <w:rFonts w:ascii="Arial" w:cs="Arial" w:eastAsia="Arial" w:hAnsi="Arial"/>
          <w:sz w:val="16"/>
          <w:szCs w:val="16"/>
          <w:color w:val="auto"/>
        </w:rPr>
      </w:pPr>
    </w:p>
    <w:p>
      <w:pPr>
        <w:jc w:val="both"/>
        <w:ind w:left="740" w:hanging="4"/>
        <w:spacing w:after="0" w:line="212" w:lineRule="auto"/>
        <w:tabs>
          <w:tab w:leader="none" w:pos="1121" w:val="left"/>
        </w:tabs>
        <w:numPr>
          <w:ilvl w:val="1"/>
          <w:numId w:val="233"/>
        </w:numPr>
        <w:rPr>
          <w:rFonts w:ascii="Arial" w:cs="Arial" w:eastAsia="Arial" w:hAnsi="Arial"/>
          <w:sz w:val="19"/>
          <w:szCs w:val="19"/>
          <w:color w:val="auto"/>
        </w:rPr>
      </w:pPr>
      <w:r>
        <w:rPr>
          <w:rFonts w:ascii="Arial" w:cs="Arial" w:eastAsia="Arial" w:hAnsi="Arial"/>
          <w:sz w:val="19"/>
          <w:szCs w:val="19"/>
          <w:color w:val="auto"/>
        </w:rPr>
        <w:t>all out-of-pocket expenses incurred by the Administrative Agent, any Lender or any L/C Issuer (including reasonable and invoiced out-of-pocket fees, charges and disbursements of (x) one primary counsel for the Administrative Agent, the Lenders and the L/C Issuers, (y) to the extent deemed reasonably necessary by the Administrative Agent, the Lenders and the L/C Issuers, one local counsel as reasonably necessary in each appropriate jurisdiction for the Administrative Agent, the Lenders and the L/C Issuers, taken as a whole, and (z) solely in the event of a conflict of interest where the Administrative Agent, Lender or applicable L/C Issuer informs the Company of such conflict, one additional counsel in each relevant jurisdiction to each group of similarly situated parties, taken as a whole),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160" w:lineRule="exact"/>
        <w:rPr>
          <w:rFonts w:ascii="Arial" w:cs="Arial" w:eastAsia="Arial" w:hAnsi="Arial"/>
          <w:sz w:val="19"/>
          <w:szCs w:val="19"/>
          <w:color w:val="auto"/>
        </w:rPr>
      </w:pPr>
    </w:p>
    <w:p>
      <w:pPr>
        <w:jc w:val="both"/>
        <w:ind w:left="740" w:firstLine="644"/>
        <w:spacing w:after="0" w:line="220" w:lineRule="auto"/>
        <w:tabs>
          <w:tab w:leader="none" w:pos="2023" w:val="left"/>
        </w:tabs>
        <w:numPr>
          <w:ilvl w:val="2"/>
          <w:numId w:val="234"/>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Administrative Agent (and any sub-agent thereof), the Arrangers, each Lender, the Swingline Lender and each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reasonable and invoiced out-of-pocket fees, charges and disbursements of one primary counsel for the Indemnitees and one local counsel as necessary in each appropriate jurisdiction for the Indemnitees, taken as a whole, and, solely in the event of a conflict of interest (where the indemnitees inform the Company of such conflict), one additional counsel in each relevant jurisdiction to each group of similarly situated Indemnitees, taken as a whole, and settlement costs),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(including any Indemnitee’s reliance on any Communication executed using an Electronic Signature, or in the form of an Electronic Record, that such Indemnitee reasonably believes is made by any Responsible Officer of the applicable Loan Party),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w:t>
      </w:r>
    </w:p>
    <w:p>
      <w:pPr>
        <w:spacing w:after="0" w:line="3" w:lineRule="exact"/>
        <w:rPr>
          <w:rFonts w:ascii="Arial" w:cs="Arial" w:eastAsia="Arial" w:hAnsi="Arial"/>
          <w:sz w:val="18"/>
          <w:szCs w:val="18"/>
          <w:color w:val="auto"/>
        </w:rPr>
      </w:pPr>
    </w:p>
    <w:p>
      <w:pPr>
        <w:ind w:left="740" w:hanging="4"/>
        <w:spacing w:after="0" w:line="250" w:lineRule="auto"/>
        <w:tabs>
          <w:tab w:leader="none" w:pos="109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actual or alleged presence or release of Hazardous Materials on or from any property owned or operated by a Loan Party or any of its Subsidiaries, or any Environmental Liability related in any way to a Loan Party or any of its Subsidiaries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320"/>
          </w:cols>
          <w:pgMar w:left="240" w:top="1405" w:right="339" w:bottom="1440" w:gutter="0" w:footer="0" w:header="0"/>
        </w:sectPr>
      </w:pPr>
    </w:p>
    <w:bookmarkStart w:id="176" w:name="page177"/>
    <w:bookmarkEnd w:id="176"/>
    <w:p>
      <w:pPr>
        <w:jc w:val="both"/>
        <w:ind w:left="660"/>
        <w:spacing w:after="0" w:line="223" w:lineRule="auto"/>
        <w:rPr>
          <w:sz w:val="20"/>
          <w:szCs w:val="20"/>
          <w:color w:val="auto"/>
        </w:rPr>
      </w:pPr>
      <w:r>
        <w:rPr>
          <w:rFonts w:ascii="Arial" w:cs="Arial" w:eastAsia="Arial" w:hAnsi="Arial"/>
          <w:sz w:val="18"/>
          <w:szCs w:val="18"/>
          <w:color w:val="auto"/>
        </w:rPr>
        <w:t>such losses, claims, damages, liabilities or related expenses of any Indemnitee result (directly or indirectly) from (or is incidental to) the Indemnitees’ relationship with the Loan Parties and their Subsidiaries under the Loan Documents and the transactions contemplated hereunder, or (iv) any actual or prospective claim, litigation, investigation or proceeding relating to any of the foregoing, whether based on contract, tort or any other theory, whether brought by a third party or by the Company or any other Loan Party or any of the Company’s or such Loan Party’s directors, shareholders or creditors, and regardless of whether any Indemnitee is a party thereto</w:t>
      </w:r>
      <w:r>
        <w:rPr>
          <w:rFonts w:ascii="Arial" w:cs="Arial" w:eastAsia="Arial" w:hAnsi="Arial"/>
          <w:sz w:val="18"/>
          <w:szCs w:val="18"/>
          <w:b w:val="1"/>
          <w:bCs w:val="1"/>
          <w:color w:val="auto"/>
        </w:rPr>
        <w:t>, IN ALL CASES, WHETHER OR NOT CAUSED BY OR ARISING, IN WHOLE OR IN PART, OUT OF</w:t>
      </w:r>
      <w:r>
        <w:rPr>
          <w:rFonts w:ascii="Arial" w:cs="Arial" w:eastAsia="Arial" w:hAnsi="Arial"/>
          <w:sz w:val="18"/>
          <w:szCs w:val="18"/>
          <w:color w:val="auto"/>
        </w:rPr>
        <w:t xml:space="preserve"> </w:t>
      </w:r>
      <w:r>
        <w:rPr>
          <w:rFonts w:ascii="Arial" w:cs="Arial" w:eastAsia="Arial" w:hAnsi="Arial"/>
          <w:sz w:val="18"/>
          <w:szCs w:val="18"/>
          <w:b w:val="1"/>
          <w:bCs w:val="1"/>
          <w:color w:val="auto"/>
        </w:rPr>
        <w:t>THE COMPARATIVE, CONTRIBUTORY OR SOLE NEGLIGENCE OF THE INDEMNITEE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not, as to any Indemnitee, be available to the extent that such losses, claims, damages, liabilities or related expenses (A) are determined by a court of competent jurisdiction by final and nonappealable judgment to have resulted from the gross negligence, willful misconduct or bad faith of such Indemnitee, (B) result from a claim brought by the Company or any other Loan Party against an Indemnitee for a material breach of such Indemnitee’s material obligations hereunder or under any other Loan Document, if the Company or such Loan Party has obtained a final and nonappealable judgment in its favor on such claim as determined by a court of competent jurisdiction or (C) arise from a dispute solely among Indemnitees that does not involve, result from, or relate to, directly or indirectly, any act or omission by the Loan Parties or their respective Affiliates (other than a claim against a party hereto solely in its capacity as Swingline Lender, an L/C Issuer, Arranger or Administrative Agent or any other Person performing a similar role under the Loan Documents).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60" w:lineRule="exact"/>
        <w:rPr>
          <w:sz w:val="20"/>
          <w:szCs w:val="20"/>
          <w:color w:val="auto"/>
        </w:rPr>
      </w:pPr>
    </w:p>
    <w:p>
      <w:pPr>
        <w:jc w:val="both"/>
        <w:ind w:left="660" w:firstLine="644"/>
        <w:spacing w:after="0" w:line="212" w:lineRule="auto"/>
        <w:tabs>
          <w:tab w:leader="none" w:pos="1946"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Loan Parties for any reason fail to pay any amount required under </w:t>
      </w:r>
      <w:r>
        <w:rPr>
          <w:rFonts w:ascii="Arial" w:cs="Arial" w:eastAsia="Arial" w:hAnsi="Arial"/>
          <w:sz w:val="19"/>
          <w:szCs w:val="19"/>
          <w:u w:val="single" w:color="auto"/>
          <w:color w:val="auto"/>
        </w:rPr>
        <w:t>Section 11.04(a)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to be paid by it to the Administrative Agent (or any sub-agent thereof), each L/C Issuer, the Swingline Lender or any Related Party of any of the foregoing, each Lender severally agrees to pay to the Administrative Agent (or any such sub-agent), each L/C Issuer, the Swingline Lender or such Related Party, as the case may be, such Lender’s pro rata share (determined as of the time that the applicable unreimbursed expense or indemnity payment is sought based on each Lender’s share of the Total Revolving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each L/C Issuer or the Swingline Lender in its capacity as such, or against any Related Party of any of the foregoing acting for the Administrative Agent (or any such sub-agent), each L/C Issuer or the Swingline Lender in connection with such capacity. The obligations of the Lenders under this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left="660" w:firstLine="644"/>
        <w:spacing w:after="0" w:line="226" w:lineRule="auto"/>
        <w:tabs>
          <w:tab w:leader="none" w:pos="194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none of the parties hereto shall assert, and each party hereto hereby waives, and acknowledges that no other Person shall have, any claim against any other party hereto or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in this sentence shall limit the Loan Parties’ indemnity obligations to the extent set forth in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No Indemnitee referred to in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40"/>
          </w:cols>
          <w:pgMar w:left="320" w:top="1405" w:right="339" w:bottom="1440" w:gutter="0" w:footer="0" w:header="0"/>
        </w:sectPr>
      </w:pPr>
    </w:p>
    <w:bookmarkStart w:id="177" w:name="page178"/>
    <w:bookmarkEnd w:id="177"/>
    <w:p>
      <w:pPr>
        <w:jc w:val="both"/>
        <w:ind w:left="740" w:firstLine="644"/>
        <w:spacing w:after="0" w:line="224" w:lineRule="auto"/>
        <w:tabs>
          <w:tab w:leader="none" w:pos="2026"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due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be payable not later than ten (10) Business Days after demand therefor. Notwithstanding anything to the contrary herein, the Designated Foreign Borrowers shall not be required to make any payment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in respect of any Obligations of or attributable to any U.S. Loan Party, and all other payments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be made by the Company and/or the U.S. Loan Parties.</w:t>
      </w:r>
    </w:p>
    <w:p>
      <w:pPr>
        <w:spacing w:after="0" w:line="156" w:lineRule="exact"/>
        <w:rPr>
          <w:rFonts w:ascii="Arial" w:cs="Arial" w:eastAsia="Arial" w:hAnsi="Arial"/>
          <w:sz w:val="19"/>
          <w:szCs w:val="19"/>
          <w:color w:val="auto"/>
        </w:rPr>
      </w:pPr>
    </w:p>
    <w:p>
      <w:pPr>
        <w:jc w:val="both"/>
        <w:ind w:left="740" w:firstLine="644"/>
        <w:spacing w:after="0" w:line="244" w:lineRule="auto"/>
        <w:tabs>
          <w:tab w:leader="none" w:pos="2031"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each L/C Issuer and the Swingline Lender, the replacement of any Lender, the termination of the Aggregate Revolving Commitments and the repayment, satisfaction or discharge of all the other Guaranteed Obligations.</w:t>
      </w:r>
    </w:p>
    <w:p>
      <w:pPr>
        <w:spacing w:after="0" w:line="146"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05</w:t>
      </w:r>
      <w:r>
        <w:rPr>
          <w:sz w:val="20"/>
          <w:szCs w:val="20"/>
          <w:color w:val="auto"/>
        </w:rPr>
        <w:tab/>
      </w:r>
      <w:r>
        <w:rPr>
          <w:rFonts w:ascii="Arial" w:cs="Arial" w:eastAsia="Arial" w:hAnsi="Arial"/>
          <w:sz w:val="16"/>
          <w:szCs w:val="16"/>
          <w:b w:val="1"/>
          <w:bCs w:val="1"/>
          <w:u w:val="single" w:color="auto"/>
          <w:color w:val="auto"/>
        </w:rPr>
        <w:t>Payments Set Aside</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13" w:lineRule="auto"/>
        <w:rPr>
          <w:sz w:val="20"/>
          <w:szCs w:val="20"/>
          <w:color w:val="auto"/>
        </w:rPr>
      </w:pPr>
      <w:r>
        <w:rPr>
          <w:rFonts w:ascii="Arial" w:cs="Arial" w:eastAsia="Arial" w:hAnsi="Arial"/>
          <w:sz w:val="19"/>
          <w:szCs w:val="19"/>
          <w:color w:val="auto"/>
        </w:rPr>
        <w:t>To the extent that any payment by or on behalf of the Company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examiner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51" w:lineRule="exact"/>
        <w:rPr>
          <w:sz w:val="20"/>
          <w:szCs w:val="20"/>
          <w:color w:val="auto"/>
        </w:rPr>
      </w:pPr>
    </w:p>
    <w:p>
      <w:pPr>
        <w:ind w:left="400" w:hanging="400"/>
        <w:spacing w:after="0"/>
        <w:tabs>
          <w:tab w:leader="none" w:pos="400" w:val="left"/>
        </w:tabs>
        <w:numPr>
          <w:ilvl w:val="0"/>
          <w:numId w:val="23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u w:val="single" w:color="auto"/>
          <w:color w:val="auto"/>
        </w:rPr>
      </w:pPr>
    </w:p>
    <w:p>
      <w:pPr>
        <w:jc w:val="both"/>
        <w:ind w:left="740" w:firstLine="644"/>
        <w:spacing w:after="0" w:line="213" w:lineRule="auto"/>
        <w:tabs>
          <w:tab w:leader="none" w:pos="2026" w:val="left"/>
        </w:tabs>
        <w:numPr>
          <w:ilvl w:val="1"/>
          <w:numId w:val="238"/>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and the other Loan Documents shall be binding upon and inure to the benefit of the parties hereto and thereto and their respective successors and assigns permitted hereby, except neither the Company nor any other Loan Party may assign or otherwise transfer any of its rights or obligations hereunder (unless such assignment or transfer is permitted pursuant to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11.06(e)</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and, to the extent expressly contemplated hereby, the Related Parties of each of the Administrative Agent, the L/C Issuers and the Lenders) any legal or equitable right, remedy or claim under or by reason of this Agreement.</w:t>
      </w:r>
    </w:p>
    <w:p>
      <w:pPr>
        <w:spacing w:after="0" w:line="157" w:lineRule="exact"/>
        <w:rPr>
          <w:rFonts w:ascii="Arial" w:cs="Arial" w:eastAsia="Arial" w:hAnsi="Arial"/>
          <w:sz w:val="19"/>
          <w:szCs w:val="19"/>
          <w:color w:val="auto"/>
        </w:rPr>
      </w:pPr>
    </w:p>
    <w:p>
      <w:pPr>
        <w:jc w:val="both"/>
        <w:ind w:left="740" w:firstLine="644"/>
        <w:spacing w:after="0" w:line="213" w:lineRule="auto"/>
        <w:tabs>
          <w:tab w:leader="none" w:pos="2024" w:val="left"/>
        </w:tabs>
        <w:numPr>
          <w:ilvl w:val="1"/>
          <w:numId w:val="238"/>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and the other Loan Documents (including all or a portion of its Revolving Commitment and the Loans (including for purposes of this subsection (b), participations in L/C Obligations and in Swingline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55" w:lineRule="exact"/>
        <w:rPr>
          <w:rFonts w:ascii="Arial" w:cs="Arial" w:eastAsia="Arial" w:hAnsi="Arial"/>
          <w:sz w:val="20"/>
          <w:szCs w:val="20"/>
          <w:color w:val="auto"/>
        </w:rPr>
      </w:pPr>
    </w:p>
    <w:p>
      <w:pPr>
        <w:ind w:left="2680" w:hanging="648"/>
        <w:spacing w:after="0"/>
        <w:tabs>
          <w:tab w:leader="none" w:pos="2680" w:val="left"/>
        </w:tabs>
        <w:numPr>
          <w:ilvl w:val="2"/>
          <w:numId w:val="238"/>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320"/>
          </w:cols>
          <w:pgMar w:left="240" w:top="1405" w:right="339" w:bottom="1440" w:gutter="0" w:footer="0" w:header="0"/>
        </w:sectPr>
      </w:pPr>
    </w:p>
    <w:bookmarkStart w:id="178" w:name="page179"/>
    <w:bookmarkEnd w:id="178"/>
    <w:p>
      <w:pPr>
        <w:jc w:val="both"/>
        <w:ind w:left="1960" w:firstLine="640"/>
        <w:spacing w:after="0" w:line="208" w:lineRule="auto"/>
        <w:tabs>
          <w:tab w:leader="none" w:pos="3245" w:val="left"/>
        </w:tabs>
        <w:numPr>
          <w:ilvl w:val="2"/>
          <w:numId w:val="239"/>
        </w:numPr>
        <w:rPr>
          <w:rFonts w:ascii="Arial" w:cs="Arial" w:eastAsia="Arial" w:hAnsi="Arial"/>
          <w:sz w:val="22"/>
          <w:szCs w:val="22"/>
          <w:color w:val="auto"/>
        </w:rPr>
      </w:pPr>
      <w:r>
        <w:rPr>
          <w:rFonts w:ascii="Arial" w:cs="Arial" w:eastAsia="Arial" w:hAnsi="Arial"/>
          <w:sz w:val="20"/>
          <w:szCs w:val="20"/>
          <w:color w:val="auto"/>
        </w:rPr>
        <w:t xml:space="preserve">In the case of an assignment of the entire remaining amount of the assigning Lender’s Revolving Commitment and/or the Loans at the time owing to it or contemporaneous assignments to related Approved Funds (determined after giving effect to such assignments) that equal at least the amount specified in </w:t>
      </w:r>
      <w:r>
        <w:rPr>
          <w:rFonts w:ascii="Arial" w:cs="Arial" w:eastAsia="Arial" w:hAnsi="Arial"/>
          <w:sz w:val="20"/>
          <w:szCs w:val="20"/>
          <w:u w:val="single" w:color="auto"/>
          <w:color w:val="auto"/>
        </w:rPr>
        <w:t>Section 11.06(b)(i)(B)</w:t>
      </w:r>
      <w:r>
        <w:rPr>
          <w:rFonts w:ascii="Arial" w:cs="Arial" w:eastAsia="Arial" w:hAnsi="Arial"/>
          <w:sz w:val="20"/>
          <w:szCs w:val="20"/>
          <w:color w:val="auto"/>
        </w:rPr>
        <w:t xml:space="preserve"> in the aggregate or in the case of an assignment to a Lender, an Affiliate of a Lender or an Approved Fund, no minimum amount need be assigned.</w:t>
      </w:r>
    </w:p>
    <w:p>
      <w:pPr>
        <w:spacing w:after="0" w:line="171" w:lineRule="exact"/>
        <w:rPr>
          <w:rFonts w:ascii="Arial" w:cs="Arial" w:eastAsia="Arial" w:hAnsi="Arial"/>
          <w:sz w:val="22"/>
          <w:szCs w:val="22"/>
          <w:color w:val="auto"/>
        </w:rPr>
      </w:pPr>
    </w:p>
    <w:p>
      <w:pPr>
        <w:jc w:val="both"/>
        <w:ind w:left="1960" w:firstLine="640"/>
        <w:spacing w:after="0" w:line="215" w:lineRule="auto"/>
        <w:tabs>
          <w:tab w:leader="none" w:pos="3247" w:val="left"/>
        </w:tabs>
        <w:numPr>
          <w:ilvl w:val="2"/>
          <w:numId w:val="239"/>
        </w:numPr>
        <w:rPr>
          <w:rFonts w:ascii="Arial" w:cs="Arial" w:eastAsia="Arial" w:hAnsi="Arial"/>
          <w:sz w:val="21"/>
          <w:szCs w:val="21"/>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Section 11.06(b)(i)(A)</w:t>
      </w:r>
      <w:r>
        <w:rPr>
          <w:rFonts w:ascii="Arial" w:cs="Arial" w:eastAsia="Arial" w:hAnsi="Arial"/>
          <w:sz w:val="19"/>
          <w:szCs w:val="19"/>
          <w:color w:val="auto"/>
        </w:rPr>
        <w:t xml:space="preserve">, the aggregate amount of the Revolving Commitment (which for this purpose includes Loans outstanding thereunder) or, if the Revolving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pursuant to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8.01(g)</w:t>
      </w:r>
      <w:r>
        <w:rPr>
          <w:rFonts w:ascii="Arial" w:cs="Arial" w:eastAsia="Arial" w:hAnsi="Arial"/>
          <w:sz w:val="19"/>
          <w:szCs w:val="19"/>
          <w:color w:val="auto"/>
        </w:rPr>
        <w:t xml:space="preserve"> has occurred and is continuing, the Company otherwise consents (each such consent not to be unreasonably withheld or delayed).</w:t>
      </w:r>
    </w:p>
    <w:p>
      <w:pPr>
        <w:spacing w:after="0" w:line="155" w:lineRule="exact"/>
        <w:rPr>
          <w:rFonts w:ascii="Arial" w:cs="Arial" w:eastAsia="Arial" w:hAnsi="Arial"/>
          <w:sz w:val="21"/>
          <w:szCs w:val="21"/>
          <w:color w:val="auto"/>
        </w:rPr>
      </w:pPr>
    </w:p>
    <w:p>
      <w:pPr>
        <w:jc w:val="both"/>
        <w:ind w:left="660" w:right="20" w:firstLine="968"/>
        <w:spacing w:after="0" w:line="213" w:lineRule="auto"/>
        <w:tabs>
          <w:tab w:leader="none" w:pos="2115" w:val="left"/>
        </w:tabs>
        <w:numPr>
          <w:ilvl w:val="0"/>
          <w:numId w:val="24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Revolving Commitment assigned, except that this </w:t>
      </w:r>
      <w:r>
        <w:rPr>
          <w:rFonts w:ascii="Arial" w:cs="Arial" w:eastAsia="Arial" w:hAnsi="Arial"/>
          <w:sz w:val="20"/>
          <w:szCs w:val="20"/>
          <w:u w:val="single" w:color="auto"/>
          <w:color w:val="auto"/>
        </w:rPr>
        <w:t>Section 11.06(b)(ii)</w:t>
      </w:r>
      <w:r>
        <w:rPr>
          <w:rFonts w:ascii="Arial" w:cs="Arial" w:eastAsia="Arial" w:hAnsi="Arial"/>
          <w:sz w:val="20"/>
          <w:szCs w:val="20"/>
          <w:color w:val="auto"/>
        </w:rPr>
        <w:t xml:space="preserve"> shall not apply to the Swingline Lender’s rights and obligations in respect of Swingline Loans.</w:t>
      </w:r>
    </w:p>
    <w:p>
      <w:pPr>
        <w:spacing w:after="0" w:line="155" w:lineRule="exact"/>
        <w:rPr>
          <w:rFonts w:ascii="Arial" w:cs="Arial" w:eastAsia="Arial" w:hAnsi="Arial"/>
          <w:sz w:val="20"/>
          <w:szCs w:val="20"/>
          <w:u w:val="single" w:color="auto"/>
          <w:color w:val="auto"/>
        </w:rPr>
      </w:pPr>
    </w:p>
    <w:p>
      <w:pPr>
        <w:ind w:left="2600" w:hanging="648"/>
        <w:spacing w:after="0"/>
        <w:tabs>
          <w:tab w:leader="none" w:pos="2600"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shall be required for any assignment except to the extent required by </w:t>
      </w:r>
      <w:r>
        <w:rPr>
          <w:rFonts w:ascii="Arial" w:cs="Arial" w:eastAsia="Arial" w:hAnsi="Arial"/>
          <w:sz w:val="16"/>
          <w:szCs w:val="16"/>
          <w:u w:val="single" w:color="auto"/>
          <w:color w:val="auto"/>
        </w:rPr>
        <w:t>Section</w:t>
      </w:r>
    </w:p>
    <w:p>
      <w:pPr>
        <w:spacing w:after="0" w:line="2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u w:val="single" w:color="auto"/>
          <w:color w:val="auto"/>
        </w:rPr>
        <w:t>11.06(b)(i)(B)</w:t>
      </w:r>
      <w:r>
        <w:rPr>
          <w:rFonts w:ascii="Arial" w:cs="Arial" w:eastAsia="Arial" w:hAnsi="Arial"/>
          <w:sz w:val="20"/>
          <w:szCs w:val="20"/>
          <w:color w:val="auto"/>
        </w:rPr>
        <w:t xml:space="preserve"> and, in addition:</w:t>
      </w:r>
    </w:p>
    <w:p>
      <w:pPr>
        <w:spacing w:after="0" w:line="172" w:lineRule="exact"/>
        <w:rPr>
          <w:rFonts w:ascii="Arial" w:cs="Arial" w:eastAsia="Arial" w:hAnsi="Arial"/>
          <w:sz w:val="16"/>
          <w:szCs w:val="16"/>
          <w:color w:val="auto"/>
        </w:rPr>
      </w:pPr>
    </w:p>
    <w:p>
      <w:pPr>
        <w:jc w:val="both"/>
        <w:ind w:left="1960" w:firstLine="640"/>
        <w:spacing w:after="0" w:line="206" w:lineRule="auto"/>
        <w:tabs>
          <w:tab w:leader="none" w:pos="3245" w:val="left"/>
        </w:tabs>
        <w:numPr>
          <w:ilvl w:val="2"/>
          <w:numId w:val="240"/>
        </w:numPr>
        <w:rPr>
          <w:rFonts w:ascii="Arial" w:cs="Arial" w:eastAsia="Arial" w:hAnsi="Arial"/>
          <w:sz w:val="22"/>
          <w:szCs w:val="22"/>
          <w:color w:val="auto"/>
        </w:rPr>
      </w:pPr>
      <w:r>
        <w:rPr>
          <w:rFonts w:ascii="Arial" w:cs="Arial" w:eastAsia="Arial" w:hAnsi="Arial"/>
          <w:sz w:val="20"/>
          <w:szCs w:val="20"/>
          <w:color w:val="auto"/>
        </w:rPr>
        <w:t xml:space="preserve">the consent of the Company (such consent not to be unreasonably withheld or delayed) shall be required unless (1) an Event of Default pursuant to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8.01(g)</w:t>
      </w:r>
      <w:r>
        <w:rPr>
          <w:rFonts w:ascii="Arial" w:cs="Arial" w:eastAsia="Arial" w:hAnsi="Arial"/>
          <w:sz w:val="20"/>
          <w:szCs w:val="20"/>
          <w:color w:val="auto"/>
        </w:rPr>
        <w:t xml:space="preserve"> has occurred and is continuing at the time of such assignment or (2)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 deemed to have consented to any such assignment unless it shall object thereto by written notice to the Administrative Agent within ten (10) Business Days after having received notice thereof;</w:t>
      </w:r>
    </w:p>
    <w:p>
      <w:pPr>
        <w:spacing w:after="0" w:line="172" w:lineRule="exact"/>
        <w:rPr>
          <w:rFonts w:ascii="Arial" w:cs="Arial" w:eastAsia="Arial" w:hAnsi="Arial"/>
          <w:sz w:val="22"/>
          <w:szCs w:val="22"/>
          <w:color w:val="auto"/>
        </w:rPr>
      </w:pPr>
    </w:p>
    <w:p>
      <w:pPr>
        <w:jc w:val="both"/>
        <w:ind w:left="1960" w:firstLine="640"/>
        <w:spacing w:after="0" w:line="216" w:lineRule="auto"/>
        <w:tabs>
          <w:tab w:leader="none" w:pos="3247" w:val="left"/>
        </w:tabs>
        <w:numPr>
          <w:ilvl w:val="2"/>
          <w:numId w:val="240"/>
        </w:numPr>
        <w:rPr>
          <w:rFonts w:ascii="Arial" w:cs="Arial" w:eastAsia="Arial" w:hAnsi="Arial"/>
          <w:sz w:val="22"/>
          <w:szCs w:val="22"/>
          <w:color w:val="auto"/>
        </w:rPr>
      </w:pPr>
      <w:r>
        <w:rPr>
          <w:rFonts w:ascii="Arial" w:cs="Arial" w:eastAsia="Arial" w:hAnsi="Arial"/>
          <w:sz w:val="20"/>
          <w:szCs w:val="20"/>
          <w:color w:val="auto"/>
        </w:rPr>
        <w:t>the consent of the Administrative Agent (such consent not to be unreasonably withheld or delayed) shall be required if such assignment is to a Person that is not a Lender, an Affiliate of a Lender or an Approved Fund; and</w:t>
      </w:r>
    </w:p>
    <w:p>
      <w:pPr>
        <w:spacing w:after="0" w:line="168" w:lineRule="exact"/>
        <w:rPr>
          <w:rFonts w:ascii="Arial" w:cs="Arial" w:eastAsia="Arial" w:hAnsi="Arial"/>
          <w:sz w:val="22"/>
          <w:szCs w:val="22"/>
          <w:color w:val="auto"/>
        </w:rPr>
      </w:pPr>
    </w:p>
    <w:p>
      <w:pPr>
        <w:ind w:left="3240" w:hanging="640"/>
        <w:spacing w:after="0"/>
        <w:tabs>
          <w:tab w:leader="none" w:pos="3240" w:val="left"/>
        </w:tabs>
        <w:numPr>
          <w:ilvl w:val="2"/>
          <w:numId w:val="240"/>
        </w:numPr>
        <w:rPr>
          <w:rFonts w:ascii="Arial" w:cs="Arial" w:eastAsia="Arial" w:hAnsi="Arial"/>
          <w:sz w:val="21"/>
          <w:szCs w:val="21"/>
          <w:color w:val="auto"/>
        </w:rPr>
      </w:pPr>
      <w:r>
        <w:rPr>
          <w:rFonts w:ascii="Arial" w:cs="Arial" w:eastAsia="Arial" w:hAnsi="Arial"/>
          <w:sz w:val="19"/>
          <w:szCs w:val="19"/>
          <w:color w:val="auto"/>
        </w:rPr>
        <w:t>the consent of each L/C Issuer and the Swingline Lender shall be required for any assignment.</w:t>
      </w:r>
    </w:p>
    <w:p>
      <w:pPr>
        <w:spacing w:after="0" w:line="177" w:lineRule="exact"/>
        <w:rPr>
          <w:sz w:val="20"/>
          <w:szCs w:val="20"/>
          <w:color w:val="auto"/>
        </w:rPr>
      </w:pPr>
    </w:p>
    <w:p>
      <w:pPr>
        <w:jc w:val="both"/>
        <w:ind w:left="660" w:firstLine="968"/>
        <w:spacing w:after="0" w:line="224" w:lineRule="auto"/>
        <w:tabs>
          <w:tab w:leader="none" w:pos="2105" w:val="left"/>
        </w:tabs>
        <w:numPr>
          <w:ilvl w:val="0"/>
          <w:numId w:val="2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56" w:lineRule="exact"/>
        <w:rPr>
          <w:rFonts w:ascii="Arial" w:cs="Arial" w:eastAsia="Arial" w:hAnsi="Arial"/>
          <w:sz w:val="19"/>
          <w:szCs w:val="19"/>
          <w:u w:val="single" w:color="auto"/>
          <w:color w:val="auto"/>
        </w:rPr>
      </w:pPr>
    </w:p>
    <w:p>
      <w:pPr>
        <w:ind w:left="660" w:firstLine="968"/>
        <w:spacing w:after="0" w:line="229" w:lineRule="auto"/>
        <w:tabs>
          <w:tab w:leader="none" w:pos="222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No Assignment to Certain Persons. No such assignment shall be made (A) to any Borrower or any of the Borrowers’ respective Affiliates or Subsidiaries, (B)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-147320</wp:posOffset>
            </wp:positionV>
            <wp:extent cx="2215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15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40"/>
          </w:cols>
          <w:pgMar w:left="320" w:top="1419" w:right="339" w:bottom="1440" w:gutter="0" w:footer="0" w:header="0"/>
        </w:sectPr>
      </w:pPr>
    </w:p>
    <w:bookmarkStart w:id="179" w:name="page180"/>
    <w:bookmarkEnd w:id="179"/>
    <w:p>
      <w:pPr>
        <w:jc w:val="both"/>
        <w:ind w:left="660" w:right="20"/>
        <w:spacing w:after="0" w:line="244" w:lineRule="auto"/>
        <w:rPr>
          <w:sz w:val="20"/>
          <w:szCs w:val="20"/>
          <w:color w:val="auto"/>
        </w:rPr>
      </w:pPr>
      <w:r>
        <w:rPr>
          <w:rFonts w:ascii="Arial" w:cs="Arial" w:eastAsia="Arial" w:hAnsi="Arial"/>
          <w:sz w:val="18"/>
          <w:szCs w:val="18"/>
          <w:color w:val="auto"/>
        </w:rPr>
        <w:t>Defaulting Lender or any of its Subsidiaries, or any Person who, upon becoming a Lender hereunder, would constitute any of the foregoing Persons described in this clause (B), (C) to a natural Person (or a holding company, investment vehicle or trust for, or owned and operated for the primary benefit of one or more natural persons) or (D) any holder of subordinated Indebtedness.</w:t>
      </w:r>
    </w:p>
    <w:p>
      <w:pPr>
        <w:spacing w:after="0" w:line="152" w:lineRule="exact"/>
        <w:rPr>
          <w:sz w:val="20"/>
          <w:szCs w:val="20"/>
          <w:color w:val="auto"/>
        </w:rPr>
      </w:pPr>
    </w:p>
    <w:p>
      <w:pPr>
        <w:jc w:val="both"/>
        <w:ind w:left="660" w:firstLine="968"/>
        <w:spacing w:after="0" w:line="212" w:lineRule="auto"/>
        <w:tabs>
          <w:tab w:leader="none" w:pos="2233" w:val="left"/>
        </w:tabs>
        <w:numPr>
          <w:ilvl w:val="1"/>
          <w:numId w:val="24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11.06(b)(vi)</w:t>
      </w:r>
      <w:r>
        <w:rPr>
          <w:rFonts w:ascii="Arial" w:cs="Arial" w:eastAsia="Arial" w:hAnsi="Arial"/>
          <w:sz w:val="19"/>
          <w:szCs w:val="19"/>
          <w:color w:val="auto"/>
        </w:rPr>
        <w:t>, then the assignee of such interest shall be deemed to be a Defaulting Lender for all purposes of this Agreement until such compliance occurs.</w:t>
      </w:r>
    </w:p>
    <w:p>
      <w:pPr>
        <w:spacing w:after="0" w:line="164" w:lineRule="exact"/>
        <w:rPr>
          <w:rFonts w:ascii="Arial" w:cs="Arial" w:eastAsia="Arial" w:hAnsi="Arial"/>
          <w:sz w:val="19"/>
          <w:szCs w:val="19"/>
          <w:u w:val="single" w:color="auto"/>
          <w:color w:val="auto"/>
        </w:rPr>
      </w:pPr>
    </w:p>
    <w:p>
      <w:pPr>
        <w:jc w:val="both"/>
        <w:ind w:left="660" w:firstLine="968"/>
        <w:spacing w:after="0" w:line="212" w:lineRule="auto"/>
        <w:tabs>
          <w:tab w:leader="none" w:pos="2211"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Section 11.06(c)</w:t>
      </w:r>
      <w:r>
        <w:rPr>
          <w:rFonts w:ascii="Arial" w:cs="Arial" w:eastAsia="Arial" w:hAnsi="Arial"/>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Revolving Note to the assignee Lender. Any assignment or transfer by a Lender of rights or obligations under this Agreement that does not comply with this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left="660" w:firstLine="644"/>
        <w:spacing w:after="0" w:line="256" w:lineRule="auto"/>
        <w:tabs>
          <w:tab w:leader="none" w:pos="1946"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shall maintain at the Administrative Agent’s Office, or if the Administrative Agent’s Office is not located in the United States, at such other office of the Administrative Agent that is located within the United States, a copy of each Assignment and Assumption delivered to it (or the equivalent thereof in electronic form) and a register for the recordation of the names and addresses of the Lenders, and the Revolving Commitments of, and principal amounts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Any assignment of any Loans or other obligations hereunder shall be effective only upon appropriate entries with respect thereto being made in the Register. The Register shall be available for inspection by the Borrowers and any Lender,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40"/>
          </w:cols>
          <w:pgMar w:left="320" w:top="1405" w:right="339" w:bottom="1440" w:gutter="0" w:footer="0" w:header="0"/>
        </w:sectPr>
      </w:pPr>
    </w:p>
    <w:bookmarkStart w:id="180" w:name="page181"/>
    <w:bookmarkEnd w:id="180"/>
    <w:p>
      <w:pPr>
        <w:ind w:left="1940" w:hanging="636"/>
        <w:spacing w:after="0"/>
        <w:tabs>
          <w:tab w:leader="none" w:pos="1940"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13" w:lineRule="auto"/>
        <w:tabs>
          <w:tab w:leader="none" w:pos="2594" w:val="left"/>
        </w:tabs>
        <w:numPr>
          <w:ilvl w:val="1"/>
          <w:numId w:val="244"/>
        </w:numPr>
        <w:rPr>
          <w:rFonts w:ascii="Arial" w:cs="Arial" w:eastAsia="Arial" w:hAnsi="Arial"/>
          <w:sz w:val="19"/>
          <w:szCs w:val="19"/>
          <w:color w:val="auto"/>
        </w:rPr>
      </w:pPr>
      <w:r>
        <w:rPr>
          <w:rFonts w:ascii="Arial" w:cs="Arial" w:eastAsia="Arial" w:hAnsi="Arial"/>
          <w:sz w:val="19"/>
          <w:szCs w:val="19"/>
          <w:color w:val="auto"/>
        </w:rPr>
        <w:t>Any Lender may at any time, without the consent of, or notice to, the Borrowers or the Administrative Agent, sell participations to any Person (other than a natural Person, or a holding company, investment vehicle or trust for, or owned and operated for the primary benefit of one or more natural Persons, a Defaulting Lender or any Borrower or any of the Borrowers’ respective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Revolving Commitment and/or the Loans (including such Lender’s participations in L/C Obligations and/or Swingline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without regard to the existence of any participations.</w:t>
      </w:r>
    </w:p>
    <w:p>
      <w:pPr>
        <w:spacing w:after="0" w:line="162" w:lineRule="exact"/>
        <w:rPr>
          <w:rFonts w:ascii="Arial" w:cs="Arial" w:eastAsia="Arial" w:hAnsi="Arial"/>
          <w:sz w:val="19"/>
          <w:szCs w:val="19"/>
          <w:color w:val="auto"/>
        </w:rPr>
      </w:pPr>
    </w:p>
    <w:p>
      <w:pPr>
        <w:jc w:val="both"/>
        <w:ind w:left="1300" w:firstLine="652"/>
        <w:spacing w:after="0" w:line="222" w:lineRule="auto"/>
        <w:tabs>
          <w:tab w:leader="none" w:pos="259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that affects such Participant. The Borrowers agree that each Participant shall be entitled to the benefits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Sections 3.01(e)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300"/>
        <w:spacing w:after="0" w:line="219" w:lineRule="auto"/>
        <w:rPr>
          <w:rFonts w:ascii="Arial" w:cs="Arial" w:eastAsia="Arial" w:hAnsi="Arial"/>
          <w:sz w:val="18"/>
          <w:szCs w:val="18"/>
          <w:color w:val="auto"/>
        </w:rPr>
      </w:pPr>
      <w:r>
        <w:rPr>
          <w:rFonts w:ascii="Arial" w:cs="Arial" w:eastAsia="Arial" w:hAnsi="Arial"/>
          <w:sz w:val="18"/>
          <w:szCs w:val="18"/>
          <w:u w:val="single" w:color="auto"/>
          <w:color w:val="auto"/>
        </w:rPr>
        <w:t>3.01(f)</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3.01(h)</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Sections 3.01(e)</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3.01(f)</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3.01(g)</w:t>
      </w:r>
      <w:r>
        <w:rPr>
          <w:rFonts w:ascii="Arial" w:cs="Arial" w:eastAsia="Arial" w:hAnsi="Arial"/>
          <w:sz w:val="18"/>
          <w:szCs w:val="18"/>
          <w:color w:val="auto"/>
        </w:rPr>
        <w:t xml:space="preserve"> and</w:t>
      </w:r>
    </w:p>
    <w:p>
      <w:pPr>
        <w:jc w:val="both"/>
        <w:ind w:left="1300"/>
        <w:spacing w:after="0" w:line="249" w:lineRule="auto"/>
        <w:rPr>
          <w:rFonts w:ascii="Arial" w:cs="Arial" w:eastAsia="Arial" w:hAnsi="Arial"/>
          <w:sz w:val="18"/>
          <w:szCs w:val="18"/>
          <w:color w:val="auto"/>
        </w:rPr>
      </w:pPr>
      <w:r>
        <w:rPr>
          <w:rFonts w:ascii="Arial" w:cs="Arial" w:eastAsia="Arial" w:hAnsi="Arial"/>
          <w:sz w:val="16"/>
          <w:szCs w:val="16"/>
          <w:u w:val="single" w:color="auto"/>
          <w:color w:val="auto"/>
        </w:rPr>
        <w:t>3.01(h)</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to comply with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3.01(h)</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40"/>
          </w:cols>
          <w:pgMar w:left="320" w:top="1405" w:right="339" w:bottom="1440" w:gutter="0" w:footer="0" w:header="0"/>
        </w:sectPr>
      </w:pPr>
    </w:p>
    <w:bookmarkStart w:id="181" w:name="page182"/>
    <w:bookmarkEnd w:id="181"/>
    <w:p>
      <w:pPr>
        <w:jc w:val="both"/>
        <w:ind w:left="660" w:firstLine="644"/>
        <w:spacing w:after="0" w:line="210" w:lineRule="auto"/>
        <w:tabs>
          <w:tab w:leader="none" w:pos="1946"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Revolving Note or Revolving Notes,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54" w:lineRule="exact"/>
        <w:rPr>
          <w:rFonts w:ascii="Arial" w:cs="Arial" w:eastAsia="Arial" w:hAnsi="Arial"/>
          <w:sz w:val="20"/>
          <w:szCs w:val="20"/>
          <w:color w:val="auto"/>
        </w:rPr>
      </w:pPr>
    </w:p>
    <w:p>
      <w:pPr>
        <w:jc w:val="both"/>
        <w:ind w:left="660" w:firstLine="644"/>
        <w:spacing w:after="0" w:line="223" w:lineRule="auto"/>
        <w:tabs>
          <w:tab w:leader="none" w:pos="195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Swingline Lender after Assignment</w:t>
      </w:r>
      <w:r>
        <w:rPr>
          <w:rFonts w:ascii="Arial" w:cs="Arial" w:eastAsia="Arial" w:hAnsi="Arial"/>
          <w:sz w:val="18"/>
          <w:szCs w:val="18"/>
          <w:color w:val="auto"/>
        </w:rPr>
        <w:t xml:space="preserve">. Notwithstanding anything to the contrary contained herein, if at any time Bank of America assigns all of its Revolving Commitment and Revolving Loans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11.06(b)</w:t>
      </w:r>
      <w:r>
        <w:rPr>
          <w:rFonts w:ascii="Arial" w:cs="Arial" w:eastAsia="Arial" w:hAnsi="Arial"/>
          <w:sz w:val="18"/>
          <w:szCs w:val="18"/>
          <w:color w:val="auto"/>
        </w:rPr>
        <w:t xml:space="preserve">, Bank of America may, (i) upon thirty (30) days’ notice to the Company and the Lenders, resign as L/C Issuer and/or (ii) upon thirty (30) days’ notice to the Company, resign as Swingline Lender. In the event of any such resignation as L/C Issuer or Swingline Lender, the Company shall be entitled to appoint from among the Lenders a successor L/C Issuer or Swingline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failure by the Company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59" w:lineRule="exact"/>
        <w:rPr>
          <w:rFonts w:ascii="Arial" w:cs="Arial" w:eastAsia="Arial" w:hAnsi="Arial"/>
          <w:sz w:val="18"/>
          <w:szCs w:val="18"/>
          <w:color w:val="auto"/>
        </w:rPr>
      </w:pPr>
    </w:p>
    <w:p>
      <w:pPr>
        <w:ind w:left="1940" w:hanging="636"/>
        <w:spacing w:after="0"/>
        <w:tabs>
          <w:tab w:leader="none" w:pos="19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Disqualified Institutions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15" w:lineRule="auto"/>
        <w:tabs>
          <w:tab w:leader="none" w:pos="2594" w:val="left"/>
        </w:tabs>
        <w:numPr>
          <w:ilvl w:val="1"/>
          <w:numId w:val="245"/>
        </w:numPr>
        <w:rPr>
          <w:rFonts w:ascii="Arial" w:cs="Arial" w:eastAsia="Arial" w:hAnsi="Arial"/>
          <w:sz w:val="19"/>
          <w:szCs w:val="19"/>
          <w:color w:val="auto"/>
        </w:rPr>
      </w:pPr>
      <w:r>
        <w:rPr>
          <w:rFonts w:ascii="Arial" w:cs="Arial" w:eastAsia="Arial" w:hAnsi="Arial"/>
          <w:sz w:val="19"/>
          <w:szCs w:val="19"/>
          <w:color w:val="auto"/>
        </w:rPr>
        <w:t xml:space="preserve">No assignment shall be made to any Person that was a Disqualified Institution as of the “Trade Date” on which the applicable Lender entered into a binding agreement to sell and assign all or a portion of its rights and obligations under this Agreement to such Person (unless the Company has consented to such assignment as otherwise contemplated by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in which case such Person will not be considered a Disqualified Institution for the purpose of such assignment).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such assignee shall not retroactively be considered a Disqualified Institution. Any assignment in violation of this </w:t>
      </w:r>
      <w:r>
        <w:rPr>
          <w:rFonts w:ascii="Arial" w:cs="Arial" w:eastAsia="Arial" w:hAnsi="Arial"/>
          <w:sz w:val="19"/>
          <w:szCs w:val="19"/>
          <w:u w:val="single" w:color="auto"/>
          <w:color w:val="auto"/>
        </w:rPr>
        <w:t>Section 11.06(h)(i)</w:t>
      </w:r>
      <w:r>
        <w:rPr>
          <w:rFonts w:ascii="Arial" w:cs="Arial" w:eastAsia="Arial" w:hAnsi="Arial"/>
          <w:sz w:val="19"/>
          <w:szCs w:val="19"/>
          <w:color w:val="auto"/>
        </w:rPr>
        <w:t xml:space="preserve"> shall not be void, but the other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11.06(h)</w:t>
      </w:r>
      <w:r>
        <w:rPr>
          <w:rFonts w:ascii="Arial" w:cs="Arial" w:eastAsia="Arial" w:hAnsi="Arial"/>
          <w:sz w:val="19"/>
          <w:szCs w:val="19"/>
          <w:color w:val="auto"/>
        </w:rPr>
        <w:t xml:space="preserve"> shall apply.</w:t>
      </w:r>
    </w:p>
    <w:p>
      <w:pPr>
        <w:spacing w:after="0" w:line="155" w:lineRule="exact"/>
        <w:rPr>
          <w:rFonts w:ascii="Arial" w:cs="Arial" w:eastAsia="Arial" w:hAnsi="Arial"/>
          <w:sz w:val="19"/>
          <w:szCs w:val="19"/>
          <w:color w:val="auto"/>
        </w:rPr>
      </w:pPr>
    </w:p>
    <w:p>
      <w:pPr>
        <w:jc w:val="both"/>
        <w:ind w:left="1300" w:firstLine="652"/>
        <w:spacing w:after="0" w:line="217" w:lineRule="auto"/>
        <w:tabs>
          <w:tab w:leader="none" w:pos="2595" w:val="left"/>
        </w:tabs>
        <w:numPr>
          <w:ilvl w:val="1"/>
          <w:numId w:val="245"/>
        </w:numPr>
        <w:rPr>
          <w:rFonts w:ascii="Arial" w:cs="Arial" w:eastAsia="Arial" w:hAnsi="Arial"/>
          <w:sz w:val="19"/>
          <w:szCs w:val="19"/>
          <w:color w:val="auto"/>
        </w:rPr>
      </w:pPr>
      <w:r>
        <w:rPr>
          <w:rFonts w:ascii="Arial" w:cs="Arial" w:eastAsia="Arial" w:hAnsi="Arial"/>
          <w:sz w:val="19"/>
          <w:szCs w:val="19"/>
          <w:color w:val="auto"/>
        </w:rPr>
        <w:t xml:space="preserve">If any assignment is made to any Disqualified Institution without the Company’s prior consent in violation of </w:t>
      </w:r>
      <w:r>
        <w:rPr>
          <w:rFonts w:ascii="Arial" w:cs="Arial" w:eastAsia="Arial" w:hAnsi="Arial"/>
          <w:sz w:val="19"/>
          <w:szCs w:val="19"/>
          <w:u w:val="single" w:color="auto"/>
          <w:color w:val="auto"/>
        </w:rPr>
        <w:t>Section 11.06(h)(i)</w:t>
      </w:r>
      <w:r>
        <w:rPr>
          <w:rFonts w:ascii="Arial" w:cs="Arial" w:eastAsia="Arial" w:hAnsi="Arial"/>
          <w:sz w:val="19"/>
          <w:szCs w:val="19"/>
          <w:color w:val="auto"/>
        </w:rPr>
        <w:t xml:space="preserve">, the Borrowers may, at their effort and the sole expense of the assigning institution,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and/or (B) require such Disqualified Institution to assign and delegate, without recourse (in accordance with and subject to the restrictions contained in this </w:t>
      </w:r>
      <w:r>
        <w:rPr>
          <w:rFonts w:ascii="Arial" w:cs="Arial" w:eastAsia="Arial" w:hAnsi="Arial"/>
          <w:sz w:val="19"/>
          <w:szCs w:val="19"/>
          <w:u w:val="single" w:color="auto"/>
          <w:color w:val="auto"/>
        </w:rPr>
        <w:t>Section 11.06</w:t>
      </w:r>
      <w:r>
        <w:rPr>
          <w:rFonts w:ascii="Arial" w:cs="Arial" w:eastAsia="Arial" w:hAnsi="Arial"/>
          <w:sz w:val="19"/>
          <w:szCs w:val="19"/>
          <w:color w:val="auto"/>
        </w:rPr>
        <w:t>), all of its interest, rights and obligations under this Agreement and related Loan Documents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40"/>
          </w:cols>
          <w:pgMar w:left="320" w:top="1405" w:right="339" w:bottom="1440" w:gutter="0" w:footer="0" w:header="0"/>
        </w:sectPr>
      </w:pPr>
    </w:p>
    <w:bookmarkStart w:id="182" w:name="page183"/>
    <w:bookmarkEnd w:id="182"/>
    <w:p>
      <w:pPr>
        <w:jc w:val="both"/>
        <w:ind w:left="1380"/>
        <w:spacing w:after="0" w:line="213" w:lineRule="auto"/>
        <w:rPr>
          <w:sz w:val="20"/>
          <w:szCs w:val="20"/>
          <w:color w:val="auto"/>
        </w:rPr>
      </w:pPr>
      <w:r>
        <w:rPr>
          <w:rFonts w:ascii="Arial" w:cs="Arial" w:eastAsia="Arial" w:hAnsi="Arial"/>
          <w:sz w:val="20"/>
          <w:szCs w:val="20"/>
          <w:color w:val="auto"/>
        </w:rPr>
        <w:t xml:space="preserve">an Eligible Assignee that shall assume such obligations at the lesser of (1) the principal amount thereof and (2) the amount that such Disqualified Institution paid to acquire such interests, rights and obligations, in each case plus accrued interest, accrued fees and all other amounts (other than principal amounts) payable to it hereunder and other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assignment does not conflict with applicable Laws.</w:t>
      </w:r>
    </w:p>
    <w:p>
      <w:pPr>
        <w:spacing w:after="0" w:line="154" w:lineRule="exact"/>
        <w:rPr>
          <w:sz w:val="20"/>
          <w:szCs w:val="20"/>
          <w:color w:val="auto"/>
        </w:rPr>
      </w:pPr>
    </w:p>
    <w:p>
      <w:pPr>
        <w:ind w:left="2680" w:hanging="648"/>
        <w:spacing w:after="0"/>
        <w:tabs>
          <w:tab w:leader="none" w:pos="26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 (A) will not</w:t>
      </w:r>
    </w:p>
    <w:p>
      <w:pPr>
        <w:jc w:val="both"/>
        <w:ind w:left="1380" w:firstLine="4"/>
        <w:spacing w:after="0" w:line="222" w:lineRule="auto"/>
        <w:tabs>
          <w:tab w:leader="none" w:pos="166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have the right to receive information, reports or other materials provided to Lenders by the Company,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Arial" w:cs="Arial" w:eastAsia="Arial" w:hAnsi="Arial"/>
          <w:sz w:val="18"/>
          <w:szCs w:val="18"/>
          <w:u w:val="single" w:color="auto"/>
          <w:color w:val="auto"/>
        </w:rPr>
        <w:t>Plan of Reorganization</w:t>
      </w:r>
      <w:r>
        <w:rPr>
          <w:rFonts w:ascii="Arial" w:cs="Arial" w:eastAsia="Arial" w:hAnsi="Arial"/>
          <w:sz w:val="18"/>
          <w:szCs w:val="18"/>
          <w:color w:val="auto"/>
        </w:rPr>
        <w:t>”), each Disqualified Institution party hereto hereby agrees (x) not to vote on such Plan of Reorganization, (y) if such Disqualified Institution does vote on such Plan of Reorganization notwithstanding the restriction in the foregoing clause (x),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clause (y).</w:t>
      </w:r>
    </w:p>
    <w:p>
      <w:pPr>
        <w:spacing w:after="0" w:line="158" w:lineRule="exact"/>
        <w:rPr>
          <w:rFonts w:ascii="Arial" w:cs="Arial" w:eastAsia="Arial" w:hAnsi="Arial"/>
          <w:sz w:val="18"/>
          <w:szCs w:val="18"/>
          <w:color w:val="auto"/>
        </w:rPr>
      </w:pPr>
    </w:p>
    <w:p>
      <w:pPr>
        <w:ind w:left="2660" w:hanging="628"/>
        <w:spacing w:after="0"/>
        <w:tabs>
          <w:tab w:leader="none" w:pos="26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Administrative Agent shall, and the Borrowers hereby expressly authorize the Administrative Agent, to</w:t>
      </w:r>
    </w:p>
    <w:p>
      <w:pPr>
        <w:jc w:val="both"/>
        <w:ind w:left="1380"/>
        <w:spacing w:after="0" w:line="213" w:lineRule="auto"/>
        <w:rPr>
          <w:rFonts w:ascii="Arial" w:cs="Arial" w:eastAsia="Arial" w:hAnsi="Arial"/>
          <w:sz w:val="18"/>
          <w:szCs w:val="18"/>
          <w:color w:val="auto"/>
        </w:rPr>
      </w:pPr>
      <w:r>
        <w:rPr>
          <w:rFonts w:ascii="Arial" w:cs="Arial" w:eastAsia="Arial" w:hAnsi="Arial"/>
          <w:sz w:val="20"/>
          <w:szCs w:val="20"/>
          <w:color w:val="auto"/>
        </w:rPr>
        <w:t>(A) post the list of Disqualified Institutions provided by the Company and any updates thereto from time to time (collectively, the “</w:t>
      </w:r>
      <w:r>
        <w:rPr>
          <w:rFonts w:ascii="Arial" w:cs="Arial" w:eastAsia="Arial" w:hAnsi="Arial"/>
          <w:sz w:val="20"/>
          <w:szCs w:val="20"/>
          <w:u w:val="single" w:color="auto"/>
          <w:color w:val="auto"/>
        </w:rPr>
        <w:t>DQ List</w:t>
      </w:r>
      <w:r>
        <w:rPr>
          <w:rFonts w:ascii="Arial" w:cs="Arial" w:eastAsia="Arial" w:hAnsi="Arial"/>
          <w:sz w:val="20"/>
          <w:szCs w:val="20"/>
          <w:color w:val="auto"/>
        </w:rPr>
        <w:t>”) on the Platform, including that portion of the Platform that is designated for “public side” Lenders or (B) provide the DQ List to each Lender requesting the same.</w:t>
      </w:r>
    </w:p>
    <w:p>
      <w:pPr>
        <w:spacing w:after="0" w:line="149" w:lineRule="exact"/>
        <w:rPr>
          <w:sz w:val="20"/>
          <w:szCs w:val="20"/>
          <w:color w:val="auto"/>
        </w:rPr>
      </w:pPr>
    </w:p>
    <w:p>
      <w:pPr>
        <w:ind w:left="400" w:hanging="400"/>
        <w:spacing w:after="0"/>
        <w:tabs>
          <w:tab w:leader="none" w:pos="400" w:val="left"/>
        </w:tabs>
        <w:numPr>
          <w:ilvl w:val="0"/>
          <w:numId w:val="24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Treatment of Certain Information; Confidentiality</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u w:val="single" w:color="auto"/>
          <w:color w:val="auto"/>
        </w:rPr>
      </w:pPr>
    </w:p>
    <w:p>
      <w:pPr>
        <w:jc w:val="both"/>
        <w:ind w:left="740" w:firstLine="644"/>
        <w:spacing w:after="0" w:line="223" w:lineRule="auto"/>
        <w:tabs>
          <w:tab w:leader="none" w:pos="2026"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xml:space="preserve">. Each of the Administrative Agent, the Lenders and the L/C Issuers agrees to maintain the confidentiality of the Information (as defined below), except that Information may be disclosed (i) to its Affiliates,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(in which case, such Person agrees to inform the Company promptly thereof prior to such disclosure unless (A) such Person is prohibited from doing so under applicable Law or (B) such disclosure is pursuant to a regulatory audit or exam conducted by bank accountants or any governmental bank regulatory authority exercising examination or regulatory authority), (iii) to the extent required by applicable Laws or regulations or by any subpoena or similar legal process (in which case, such Person agrees to inform the Company promptly thereof prior to such disclosure unless such Person is prohibited from doing so under applicable Law),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to (A) any assignee of or Participant in, or any prospective assignee of or Participant in, any of its rights and obligations under this Agreement or any Eligible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320"/>
          </w:cols>
          <w:pgMar w:left="240" w:top="1405" w:right="339" w:bottom="1440" w:gutter="0" w:footer="0" w:header="0"/>
        </w:sectPr>
      </w:pPr>
    </w:p>
    <w:bookmarkStart w:id="183" w:name="page184"/>
    <w:bookmarkEnd w:id="183"/>
    <w:p>
      <w:pPr>
        <w:jc w:val="both"/>
        <w:ind w:left="740"/>
        <w:spacing w:after="0" w:line="221" w:lineRule="auto"/>
        <w:rPr>
          <w:sz w:val="20"/>
          <w:szCs w:val="20"/>
          <w:color w:val="auto"/>
        </w:rPr>
      </w:pPr>
      <w:r>
        <w:rPr>
          <w:rFonts w:ascii="Arial" w:cs="Arial" w:eastAsia="Arial" w:hAnsi="Arial"/>
          <w:sz w:val="18"/>
          <w:szCs w:val="18"/>
          <w:color w:val="auto"/>
        </w:rPr>
        <w:t xml:space="preserve">invited to be a Lender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(B) any actual or prospective party (or its Related Parties) to any swap, derivative or other transaction under which payments are to be made by reference to the Borrowers and their obligations, this Agreement or payments hereunder (it being understood that the DQ List may be disclosed to any assignee, or prospective assignee, in reliance on this clause (vi)), (vii) on a confidential basis to (A) the provider of any Platform or other electronic delivery service used by the Administrative Agent, any L/C Issuer and/or the Swingline Lender to deliver Borrower Materials or notices to the Lenders or (B) the CUSIP Service Bureau or any similar agency in connection with the issuance and monitoring of CUSIP numbers or other market identifiers with respect to the credit facilities provided hereunder, (viii) with the consent of the Company or (ix) to the extent such Information (A) becomes publicly available other than as a result of a breach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(B) becomes available to the Administrative Agent, any Lender, any L/C Issuer or any of their respective Affiliates on a nonconfidential basis from a source other than the Borrowers, their Subsidiaries or their attorneys or accountants, or</w:t>
      </w:r>
    </w:p>
    <w:p>
      <w:pPr>
        <w:jc w:val="both"/>
        <w:ind w:left="740" w:hanging="4"/>
        <w:spacing w:after="0" w:line="223" w:lineRule="auto"/>
        <w:tabs>
          <w:tab w:leader="none" w:pos="105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is independently discovered or developed by a party hereto without utilizing any Information received from the Company or any Subsidiary or violating the terms of this Section. For purposes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Company or any Subsidiary after the Closing Date, such information is clearly identified at the time of delivery as confidential. Any Person required to maintain the confidentiality of Information as provided in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Revolving Commitments.</w:t>
      </w:r>
    </w:p>
    <w:p>
      <w:pPr>
        <w:spacing w:after="0" w:line="160" w:lineRule="exact"/>
        <w:rPr>
          <w:rFonts w:ascii="Arial" w:cs="Arial" w:eastAsia="Arial" w:hAnsi="Arial"/>
          <w:sz w:val="18"/>
          <w:szCs w:val="18"/>
          <w:color w:val="auto"/>
        </w:rPr>
      </w:pPr>
    </w:p>
    <w:p>
      <w:pPr>
        <w:jc w:val="both"/>
        <w:ind w:left="740" w:firstLine="644"/>
        <w:spacing w:after="0" w:line="224" w:lineRule="auto"/>
        <w:tabs>
          <w:tab w:leader="none" w:pos="2024" w:val="left"/>
        </w:tabs>
        <w:numPr>
          <w:ilvl w:val="1"/>
          <w:numId w:val="249"/>
        </w:numPr>
        <w:rPr>
          <w:rFonts w:ascii="Arial" w:cs="Arial" w:eastAsia="Arial" w:hAnsi="Arial"/>
          <w:sz w:val="19"/>
          <w:szCs w:val="19"/>
          <w:color w:val="auto"/>
        </w:rPr>
      </w:pPr>
      <w:r>
        <w:rPr>
          <w:rFonts w:ascii="Arial" w:cs="Arial" w:eastAsia="Arial" w:hAnsi="Arial"/>
          <w:sz w:val="19"/>
          <w:szCs w:val="19"/>
          <w:u w:val="single" w:color="auto"/>
          <w:color w:val="auto"/>
        </w:rPr>
        <w:t>Non-Public Information</w:t>
      </w:r>
      <w:r>
        <w:rPr>
          <w:rFonts w:ascii="Arial" w:cs="Arial" w:eastAsia="Arial" w:hAnsi="Arial"/>
          <w:sz w:val="19"/>
          <w:szCs w:val="19"/>
          <w:color w:val="auto"/>
        </w:rPr>
        <w:t>. Each of the Administrative Agent, the Lenders and the L/C Issuers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5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08</w:t>
      </w:r>
      <w:r>
        <w:rPr>
          <w:sz w:val="20"/>
          <w:szCs w:val="20"/>
          <w:color w:val="auto"/>
        </w:rPr>
        <w:tab/>
      </w:r>
      <w:r>
        <w:rPr>
          <w:rFonts w:ascii="Arial" w:cs="Arial" w:eastAsia="Arial" w:hAnsi="Arial"/>
          <w:sz w:val="16"/>
          <w:szCs w:val="16"/>
          <w:b w:val="1"/>
          <w:bCs w:val="1"/>
          <w:u w:val="single" w:color="auto"/>
          <w:color w:val="auto"/>
        </w:rPr>
        <w:t>Right of Setoff</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12" w:lineRule="auto"/>
        <w:rPr>
          <w:sz w:val="20"/>
          <w:szCs w:val="20"/>
          <w:color w:val="auto"/>
        </w:rPr>
      </w:pPr>
      <w:r>
        <w:rPr>
          <w:rFonts w:ascii="Arial" w:cs="Arial" w:eastAsia="Arial" w:hAnsi="Arial"/>
          <w:sz w:val="19"/>
          <w:szCs w:val="19"/>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such L/C Issuer or Affiliate shall have made any demand under this Agreement or any other Loan Document and although such obligations of the Company or such Loan Party may be contingent or unmatured, secured or unsecured, or are owed to a branch, office or Affiliate of such Lender or such L/C Issuer different from the branch, office or Affiliate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L/C Issuers and the Lenders, and (b) the Defaulting Lender shall provide promptly to the Administrative Agent a statement describing in reasonable detail the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320"/>
          </w:cols>
          <w:pgMar w:left="240" w:top="1405" w:right="339" w:bottom="1440" w:gutter="0" w:footer="0" w:header="0"/>
        </w:sectPr>
      </w:pPr>
    </w:p>
    <w:bookmarkStart w:id="184" w:name="page185"/>
    <w:bookmarkEnd w:id="184"/>
    <w:p>
      <w:pPr>
        <w:jc w:val="both"/>
        <w:ind w:left="80"/>
        <w:spacing w:after="0" w:line="217" w:lineRule="auto"/>
        <w:rPr>
          <w:sz w:val="20"/>
          <w:szCs w:val="20"/>
          <w:color w:val="auto"/>
        </w:rPr>
      </w:pPr>
      <w:r>
        <w:rPr>
          <w:rFonts w:ascii="Arial" w:cs="Arial" w:eastAsia="Arial" w:hAnsi="Arial"/>
          <w:sz w:val="19"/>
          <w:szCs w:val="19"/>
          <w:color w:val="auto"/>
        </w:rPr>
        <w:t xml:space="preserve">Obligations owing to such Defaulting Lender as to which it exercised such right of setoff. The rights of each Lender, each L/C Issuer and their respective Affiliates under this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Notwithstanding the provisions of this </w:t>
      </w:r>
      <w:r>
        <w:rPr>
          <w:rFonts w:ascii="Arial" w:cs="Arial" w:eastAsia="Arial" w:hAnsi="Arial"/>
          <w:sz w:val="19"/>
          <w:szCs w:val="19"/>
          <w:u w:val="single" w:color="auto"/>
          <w:color w:val="auto"/>
        </w:rPr>
        <w:t>Section 11.08</w:t>
      </w:r>
      <w:r>
        <w:rPr>
          <w:rFonts w:ascii="Arial" w:cs="Arial" w:eastAsia="Arial" w:hAnsi="Arial"/>
          <w:sz w:val="19"/>
          <w:szCs w:val="19"/>
          <w:color w:val="auto"/>
        </w:rPr>
        <w:t>, if at any time any Lender, any L/C Issuer or any of their respective Affiliates maintains one or more deposit accounts for the Company or any other Loan Party into which Medicare and/or Medicaid receivables are deposited, such Person shall waive the right of setoff set forth herein.</w:t>
      </w:r>
    </w:p>
    <w:p>
      <w:pPr>
        <w:spacing w:after="0" w:line="15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09</w:t>
      </w:r>
      <w:r>
        <w:rPr>
          <w:sz w:val="20"/>
          <w:szCs w:val="20"/>
          <w:color w:val="auto"/>
        </w:rPr>
        <w:tab/>
      </w:r>
      <w:r>
        <w:rPr>
          <w:rFonts w:ascii="Arial" w:cs="Arial" w:eastAsia="Arial" w:hAnsi="Arial"/>
          <w:sz w:val="18"/>
          <w:szCs w:val="18"/>
          <w:b w:val="1"/>
          <w:bCs w:val="1"/>
          <w:u w:val="single" w:color="auto"/>
          <w:color w:val="auto"/>
        </w:rPr>
        <w:t>Interest Rate Limitation</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80" w:firstLine="648"/>
        <w:spacing w:after="0" w:line="216"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4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10</w:t>
      </w:r>
      <w:r>
        <w:rPr>
          <w:sz w:val="20"/>
          <w:szCs w:val="20"/>
          <w:color w:val="auto"/>
        </w:rPr>
        <w:tab/>
      </w:r>
      <w:r>
        <w:rPr>
          <w:rFonts w:ascii="Arial" w:cs="Arial" w:eastAsia="Arial" w:hAnsi="Arial"/>
          <w:sz w:val="16"/>
          <w:szCs w:val="16"/>
          <w:b w:val="1"/>
          <w:bCs w:val="1"/>
          <w:u w:val="single" w:color="auto"/>
          <w:color w:val="auto"/>
        </w:rPr>
        <w:t>Integration; Effectiveness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31" w:lineRule="auto"/>
        <w:rPr>
          <w:sz w:val="20"/>
          <w:szCs w:val="20"/>
          <w:color w:val="auto"/>
        </w:rPr>
      </w:pPr>
      <w:r>
        <w:rPr>
          <w:rFonts w:ascii="Arial" w:cs="Arial" w:eastAsia="Arial" w:hAnsi="Arial"/>
          <w:sz w:val="18"/>
          <w:szCs w:val="18"/>
          <w:color w:val="auto"/>
        </w:rPr>
        <w:t xml:space="preserve">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u w:val="single" w:color="auto"/>
          <w:color w:val="auto"/>
        </w:rPr>
        <w:t>11</w:t>
      </w:r>
      <w:r>
        <w:rPr>
          <w:sz w:val="20"/>
          <w:szCs w:val="20"/>
          <w:color w:val="auto"/>
        </w:rPr>
        <w:tab/>
      </w:r>
      <w:r>
        <w:rPr>
          <w:rFonts w:ascii="Arial" w:cs="Arial" w:eastAsia="Arial" w:hAnsi="Arial"/>
          <w:sz w:val="16"/>
          <w:szCs w:val="16"/>
          <w:b w:val="1"/>
          <w:bCs w:val="1"/>
          <w:u w:val="single" w:color="auto"/>
          <w:color w:val="auto"/>
        </w:rPr>
        <w:t>Survival of Representations and Warranties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31"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4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12</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28" w:lineRule="auto"/>
        <w:rPr>
          <w:sz w:val="20"/>
          <w:szCs w:val="20"/>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Issuers or the Swingline Lender, as applicable, then such provisions shall be deemed to be in effect only to the extent not so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320"/>
          </w:cols>
          <w:pgMar w:left="240" w:top="1405" w:right="339" w:bottom="1440" w:gutter="0" w:footer="0" w:header="0"/>
        </w:sectPr>
      </w:pPr>
    </w:p>
    <w:bookmarkStart w:id="185" w:name="page186"/>
    <w:bookmarkEnd w:id="185"/>
    <w:p>
      <w:pPr>
        <w:ind w:left="400" w:hanging="400"/>
        <w:spacing w:after="0"/>
        <w:tabs>
          <w:tab w:leader="none" w:pos="400" w:val="left"/>
        </w:tabs>
        <w:numPr>
          <w:ilvl w:val="0"/>
          <w:numId w:val="250"/>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Replacement of Lenders</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b w:val="1"/>
          <w:bCs w:val="1"/>
          <w:u w:val="single" w:color="auto"/>
          <w:color w:val="auto"/>
        </w:rPr>
      </w:pPr>
    </w:p>
    <w:p>
      <w:pPr>
        <w:jc w:val="both"/>
        <w:ind w:left="740" w:firstLine="644"/>
        <w:spacing w:after="0" w:line="260" w:lineRule="auto"/>
        <w:tabs>
          <w:tab w:leader="none" w:pos="2026"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If the Company is entitled to replace a Lender pursuant to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if any Lender is a 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43" w:lineRule="exact"/>
        <w:rPr>
          <w:rFonts w:ascii="Arial" w:cs="Arial" w:eastAsia="Arial" w:hAnsi="Arial"/>
          <w:sz w:val="16"/>
          <w:szCs w:val="16"/>
          <w:color w:val="auto"/>
        </w:rPr>
      </w:pPr>
    </w:p>
    <w:p>
      <w:pPr>
        <w:ind w:left="1380" w:firstLine="652"/>
        <w:spacing w:after="0" w:line="229" w:lineRule="auto"/>
        <w:tabs>
          <w:tab w:leader="none" w:pos="2673" w:val="left"/>
        </w:tabs>
        <w:numPr>
          <w:ilvl w:val="2"/>
          <w:numId w:val="250"/>
        </w:numPr>
        <w:rPr>
          <w:rFonts w:ascii="Arial" w:cs="Arial" w:eastAsia="Arial" w:hAnsi="Arial"/>
          <w:sz w:val="20"/>
          <w:szCs w:val="20"/>
          <w:color w:val="auto"/>
        </w:rPr>
      </w:pPr>
      <w:r>
        <w:rPr>
          <w:rFonts w:ascii="Arial" w:cs="Arial" w:eastAsia="Arial" w:hAnsi="Arial"/>
          <w:sz w:val="20"/>
          <w:szCs w:val="20"/>
          <w:color w:val="auto"/>
        </w:rPr>
        <w:t xml:space="preserve">the Company shall have paid (or caused a Designated Foreign Borrower to pay) to the Administrative Agent the assignment fee (if any) specified in </w:t>
      </w: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left="1380" w:firstLine="652"/>
        <w:spacing w:after="0" w:line="210" w:lineRule="auto"/>
        <w:tabs>
          <w:tab w:leader="none" w:pos="2674" w:val="left"/>
        </w:tabs>
        <w:numPr>
          <w:ilvl w:val="2"/>
          <w:numId w:val="250"/>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Company or applicable Designated Foreign Borrower (in the case of all other amounts);</w:t>
      </w:r>
    </w:p>
    <w:p>
      <w:pPr>
        <w:spacing w:after="0" w:line="154" w:lineRule="exact"/>
        <w:rPr>
          <w:rFonts w:ascii="Arial" w:cs="Arial" w:eastAsia="Arial" w:hAnsi="Arial"/>
          <w:sz w:val="20"/>
          <w:szCs w:val="20"/>
          <w:color w:val="auto"/>
        </w:rPr>
      </w:pPr>
    </w:p>
    <w:p>
      <w:pPr>
        <w:jc w:val="both"/>
        <w:ind w:left="1380" w:firstLine="652"/>
        <w:spacing w:after="0" w:line="218" w:lineRule="auto"/>
        <w:tabs>
          <w:tab w:leader="none" w:pos="2675" w:val="left"/>
        </w:tabs>
        <w:numPr>
          <w:ilvl w:val="2"/>
          <w:numId w:val="250"/>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such assignment will result in a reduction in such compensation or payments thereafter;</w:t>
      </w:r>
    </w:p>
    <w:p>
      <w:pPr>
        <w:spacing w:after="0" w:line="156" w:lineRule="exact"/>
        <w:rPr>
          <w:rFonts w:ascii="Arial" w:cs="Arial" w:eastAsia="Arial" w:hAnsi="Arial"/>
          <w:sz w:val="20"/>
          <w:szCs w:val="20"/>
          <w:color w:val="auto"/>
        </w:rPr>
      </w:pPr>
    </w:p>
    <w:p>
      <w:pPr>
        <w:ind w:left="2660" w:hanging="628"/>
        <w:spacing w:after="0"/>
        <w:tabs>
          <w:tab w:leader="none" w:pos="2660" w:val="left"/>
        </w:tabs>
        <w:numPr>
          <w:ilvl w:val="2"/>
          <w:numId w:val="250"/>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175" w:lineRule="exact"/>
        <w:rPr>
          <w:rFonts w:ascii="Arial" w:cs="Arial" w:eastAsia="Arial" w:hAnsi="Arial"/>
          <w:sz w:val="20"/>
          <w:szCs w:val="20"/>
          <w:color w:val="auto"/>
        </w:rPr>
      </w:pPr>
    </w:p>
    <w:p>
      <w:pPr>
        <w:ind w:left="1380" w:right="20" w:firstLine="652"/>
        <w:spacing w:after="0" w:line="229" w:lineRule="auto"/>
        <w:tabs>
          <w:tab w:leader="none" w:pos="2663" w:val="left"/>
        </w:tabs>
        <w:numPr>
          <w:ilvl w:val="2"/>
          <w:numId w:val="250"/>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55" w:lineRule="exact"/>
        <w:rPr>
          <w:rFonts w:ascii="Arial" w:cs="Arial" w:eastAsia="Arial" w:hAnsi="Arial"/>
          <w:sz w:val="20"/>
          <w:szCs w:val="20"/>
          <w:color w:val="auto"/>
        </w:rPr>
      </w:pPr>
    </w:p>
    <w:p>
      <w:pPr>
        <w:jc w:val="both"/>
        <w:ind w:left="740" w:firstLine="644"/>
        <w:spacing w:after="0" w:line="224" w:lineRule="auto"/>
        <w:tabs>
          <w:tab w:leader="none" w:pos="202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A Lender shall not be required to make any such assignment or delegation if, prior thereto, as a result of a waiver by such Lender or otherwise, the circumstances entitling the Company to require such assignment and delegation cease to apply. Each Lender agrees that, if the Company elects to replace such Lender in accordance with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it shall (subject to the Company’s compliance with the provisions of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promptly execute and deliver to the Administrative Agent an Assignment and Assumption to evidence the assignment and shall deliver to the Administrative Agent any Revolving Note (if Revolving Notes have been issued in respect of such Lender’s Loans and/or Revolving Commitments) subject to such Assignment and Assumption;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such Lender to execute an Assignment and Assumption shall not render such assignment invalid and such assignment shall be recorded in the Register. Notwithstanding anything in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320"/>
          </w:cols>
          <w:pgMar w:left="240" w:top="1399" w:right="339" w:bottom="1440" w:gutter="0" w:footer="0" w:header="0"/>
        </w:sectPr>
      </w:pPr>
    </w:p>
    <w:bookmarkStart w:id="186" w:name="page187"/>
    <w:bookmarkEnd w:id="186"/>
    <w:p>
      <w:pPr>
        <w:ind w:left="400" w:hanging="400"/>
        <w:spacing w:after="0"/>
        <w:tabs>
          <w:tab w:leader="none" w:pos="400" w:val="left"/>
        </w:tabs>
        <w:numPr>
          <w:ilvl w:val="0"/>
          <w:numId w:val="25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Governing Law; Jurisdiction; Etc.</w:t>
      </w:r>
    </w:p>
    <w:p>
      <w:pPr>
        <w:spacing w:after="0" w:line="181" w:lineRule="exact"/>
        <w:rPr>
          <w:rFonts w:ascii="Arial" w:cs="Arial" w:eastAsia="Arial" w:hAnsi="Arial"/>
          <w:sz w:val="20"/>
          <w:szCs w:val="20"/>
          <w:b w:val="1"/>
          <w:bCs w:val="1"/>
          <w:u w:val="single" w:color="auto"/>
          <w:color w:val="auto"/>
        </w:rPr>
      </w:pPr>
    </w:p>
    <w:p>
      <w:pPr>
        <w:jc w:val="both"/>
        <w:ind w:left="740" w:firstLine="644"/>
        <w:spacing w:after="0" w:line="207" w:lineRule="auto"/>
        <w:tabs>
          <w:tab w:leader="none" w:pos="2026"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59" w:lineRule="exact"/>
        <w:rPr>
          <w:rFonts w:ascii="Arial" w:cs="Arial" w:eastAsia="Arial" w:hAnsi="Arial"/>
          <w:sz w:val="20"/>
          <w:szCs w:val="20"/>
          <w:color w:val="auto"/>
        </w:rPr>
      </w:pPr>
    </w:p>
    <w:p>
      <w:pPr>
        <w:jc w:val="both"/>
        <w:ind w:left="740" w:firstLine="644"/>
        <w:spacing w:after="0" w:line="211" w:lineRule="auto"/>
        <w:tabs>
          <w:tab w:leader="none" w:pos="2023" w:val="left"/>
        </w:tabs>
        <w:numPr>
          <w:ilvl w:val="1"/>
          <w:numId w:val="251"/>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COMPANY AND EACH OTHER LOAN PARTY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COMPANY OR ANY OTHER LOAN PARTY OR ITS PROPERTIES IN THE COURTS OF ANY JURISDICTION.</w:t>
      </w:r>
    </w:p>
    <w:p>
      <w:pPr>
        <w:spacing w:after="0" w:line="160" w:lineRule="exact"/>
        <w:rPr>
          <w:rFonts w:ascii="Arial" w:cs="Arial" w:eastAsia="Arial" w:hAnsi="Arial"/>
          <w:sz w:val="19"/>
          <w:szCs w:val="19"/>
          <w:color w:val="auto"/>
        </w:rPr>
      </w:pPr>
    </w:p>
    <w:p>
      <w:pPr>
        <w:jc w:val="both"/>
        <w:ind w:left="740" w:firstLine="644"/>
        <w:spacing w:after="0" w:line="217" w:lineRule="auto"/>
        <w:tabs>
          <w:tab w:leader="none" w:pos="2026" w:val="left"/>
        </w:tabs>
        <w:numPr>
          <w:ilvl w:val="1"/>
          <w:numId w:val="251"/>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THE COMPANY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THE COMPANY AND EACH OTHER LOAN PARTY IRREVOCABLY AND UNCONDITIONALLY WAIVES, TO THE FULLEST EXTENT PERMITTED BY APPLICABLE LAW, THE DEFENSE OF AN INCONVENIENT FORUM TO THE MAINTENANCE OF SUCH ACTION OR PROCEEDING IN ANY SUCH COURT.</w:t>
      </w:r>
    </w:p>
    <w:p>
      <w:pPr>
        <w:spacing w:after="0" w:line="156" w:lineRule="exact"/>
        <w:rPr>
          <w:rFonts w:ascii="Arial" w:cs="Arial" w:eastAsia="Arial" w:hAnsi="Arial"/>
          <w:sz w:val="19"/>
          <w:szCs w:val="19"/>
          <w:color w:val="auto"/>
        </w:rPr>
      </w:pPr>
    </w:p>
    <w:p>
      <w:pPr>
        <w:jc w:val="both"/>
        <w:ind w:left="740" w:firstLine="644"/>
        <w:spacing w:after="0" w:line="205" w:lineRule="auto"/>
        <w:tabs>
          <w:tab w:leader="none" w:pos="2023"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SERVICE OF PROCESS; PROCESS AGENT</w:t>
      </w:r>
      <w:r>
        <w:rPr>
          <w:rFonts w:ascii="Arial" w:cs="Arial" w:eastAsia="Arial" w:hAnsi="Arial"/>
          <w:sz w:val="20"/>
          <w:szCs w:val="20"/>
          <w:color w:val="auto"/>
        </w:rPr>
        <w:t>. EACH PARTY HERETO IRREVOCABLY CONSENTS TO SERVICE OF PROCESS IN THE MANNER PROVIDED FOR NOTICES IN SECTION 11.02. NOTHING IN THIS AGREEMENT WILL AFFECT THE RIGHT OF ANY PARTY HERETO TO SERVE PROCESS IN ANY OTHER MANNER PERMITTED BY APPLICABLE LAW. WITHOUT LIMITING THE FOREGOING, EACH LOAN PARTY THAT IS A FOREIGN SUBSIDIARY IRREVOCABLY DESIGNATES AND APPOINTS THE COMPANY AS SUCH LOAN PARTY’S AUTHORIZED AGENT, TO ACCEPT AND ACKNOWLEDGE ON ITS BEHALF, SERVICE OF ANY AND ALL PROCESS WHICH MAY BE SERVED IN ANY ACTION, LITIGATION OR PROCEEDING, AND AGREES THAT THE FAILURE OF THE COMPANY TO GIVE ANY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320"/>
          </w:cols>
          <w:pgMar w:left="240" w:top="1399" w:right="339" w:bottom="1440" w:gutter="0" w:footer="0" w:header="0"/>
        </w:sectPr>
      </w:pPr>
    </w:p>
    <w:bookmarkStart w:id="187" w:name="page188"/>
    <w:bookmarkEnd w:id="187"/>
    <w:p>
      <w:pPr>
        <w:jc w:val="both"/>
        <w:ind w:left="740"/>
        <w:spacing w:after="0" w:line="214" w:lineRule="auto"/>
        <w:rPr>
          <w:sz w:val="20"/>
          <w:szCs w:val="20"/>
          <w:color w:val="auto"/>
        </w:rPr>
      </w:pPr>
      <w:r>
        <w:rPr>
          <w:rFonts w:ascii="Arial" w:cs="Arial" w:eastAsia="Arial" w:hAnsi="Arial"/>
          <w:sz w:val="19"/>
          <w:szCs w:val="19"/>
          <w:color w:val="auto"/>
        </w:rPr>
        <w:t>ANY SUCH SERVICE SHALL NOT IMPAIR OR AFFECT THE VALIDITY OF SUCH SERVICE OR OF ANY JUDGMENT RENDERED IN ANY ACTION, LITIGATION OR PROCEEDING BASED THEREON. THE COMPANY HEREBY CONFIRMS THAT IT HAS AGREED TO ACCEPT SUCH APPOINTMENT (AND ANY SIMILAR APPOINTMENT BY A LOAN PARTY THAT IS A FOREIGN SUBSIDIARY). SAID DESIGNATION AND APPOINTMENT SHALL BE IRREVOCABLE BY THE COMPANY AND EACH LOAN PARTY THAT IS A FOREIGN SUBSIDIARY. TO THE EXTENT THAT ANY LOAN PARTY THAT IS A FOREIGN SUBSIDIARY HAS OR HEREAFTER MAY ACQUIRE ANY IMMUNITY FROM JURISDICTION OF ANY COURT OR FROM ANY LEGAL PROCESS (WHETHER THROUGH SERVICE OR NOTICE, ATTACHMENT PRIOR TO JUDGMENT, ATTACHMENT IN AID OF EXECUTION, EXECUTION OR OTHERWISE) WITH RESPECT TO ITSELF OR ITS PROPERTY, SUCH LOAN PARTY HEREBY IRREVOCABLY WAIVES SUCH IMMUNITY IN RESPECT OF ITS OBLIGATIONS UNDER THIS AGREEMENT AND THE OTHER LOAN DOCUMENTS.</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15</w:t>
      </w:r>
      <w:r>
        <w:rPr>
          <w:sz w:val="20"/>
          <w:szCs w:val="20"/>
          <w:color w:val="auto"/>
        </w:rPr>
        <w:tab/>
      </w:r>
      <w:r>
        <w:rPr>
          <w:rFonts w:ascii="Arial" w:cs="Arial" w:eastAsia="Arial" w:hAnsi="Arial"/>
          <w:sz w:val="19"/>
          <w:szCs w:val="19"/>
          <w:b w:val="1"/>
          <w:bCs w:val="1"/>
          <w:u w:val="single" w:color="auto"/>
          <w:color w:val="auto"/>
        </w:rPr>
        <w:t>WAIVER OF JURY TRIAL</w:t>
      </w:r>
      <w:r>
        <w:rPr>
          <w:rFonts w:ascii="Arial" w:cs="Arial" w:eastAsia="Arial" w:hAnsi="Arial"/>
          <w:sz w:val="19"/>
          <w:szCs w:val="19"/>
          <w:b w:val="1"/>
          <w:bCs w:val="1"/>
          <w:color w:val="auto"/>
        </w:rPr>
        <w:t>.</w:t>
      </w:r>
    </w:p>
    <w:p>
      <w:pPr>
        <w:spacing w:after="0" w:line="181" w:lineRule="exact"/>
        <w:rPr>
          <w:sz w:val="20"/>
          <w:szCs w:val="20"/>
          <w:color w:val="auto"/>
        </w:rPr>
      </w:pPr>
    </w:p>
    <w:p>
      <w:pPr>
        <w:jc w:val="both"/>
        <w:ind w:left="80" w:firstLine="648"/>
        <w:spacing w:after="0" w:line="204" w:lineRule="auto"/>
        <w:rPr>
          <w:sz w:val="20"/>
          <w:szCs w:val="20"/>
          <w:color w:val="auto"/>
        </w:rPr>
      </w:pPr>
      <w:r>
        <w:rPr>
          <w:rFonts w:ascii="Arial" w:cs="Arial" w:eastAsia="Arial" w:hAnsi="Arial"/>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11.15.</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16</w:t>
      </w:r>
      <w:r>
        <w:rPr>
          <w:sz w:val="20"/>
          <w:szCs w:val="20"/>
          <w:color w:val="auto"/>
        </w:rPr>
        <w:tab/>
      </w:r>
      <w:r>
        <w:rPr>
          <w:rFonts w:ascii="Arial" w:cs="Arial" w:eastAsia="Arial" w:hAnsi="Arial"/>
          <w:sz w:val="16"/>
          <w:szCs w:val="16"/>
          <w:b w:val="1"/>
          <w:bCs w:val="1"/>
          <w:u w:val="single" w:color="auto"/>
          <w:color w:val="auto"/>
        </w:rPr>
        <w:t>Subordination</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25" w:lineRule="auto"/>
        <w:rPr>
          <w:sz w:val="20"/>
          <w:szCs w:val="20"/>
          <w:color w:val="auto"/>
        </w:rPr>
      </w:pPr>
      <w:r>
        <w:rPr>
          <w:rFonts w:ascii="Arial" w:cs="Arial" w:eastAsia="Arial" w:hAnsi="Arial"/>
          <w:sz w:val="18"/>
          <w:szCs w:val="18"/>
          <w:color w:val="auto"/>
        </w:rPr>
        <w:t>Each Loan Party (a “</w:t>
      </w:r>
      <w:r>
        <w:rPr>
          <w:rFonts w:ascii="Arial" w:cs="Arial" w:eastAsia="Arial" w:hAnsi="Arial"/>
          <w:sz w:val="18"/>
          <w:szCs w:val="18"/>
          <w:u w:val="single" w:color="auto"/>
          <w:color w:val="auto"/>
        </w:rPr>
        <w:t>Subordinating Loan Party</w:t>
      </w:r>
      <w:r>
        <w:rPr>
          <w:rFonts w:ascii="Arial" w:cs="Arial" w:eastAsia="Arial" w:hAnsi="Arial"/>
          <w:sz w:val="18"/>
          <w:szCs w:val="18"/>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Credit Parties or resulting from such Subordinating Loan Party’s performance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to the occurrence of the Facility Termination Date and the indefeasible payment in full in cash (or other arrangement satisfactory to the applicable Cash Management Bank or Hedge Bank) of all Additional Obligations to the extent then due and payable. If the Credit Parties so request, any such obligation or indebtedness of any such other Loan Party to the Subordinating Loan Party shall be enforced and performance received by the Subordinating Loan Party as trustee for the Credit Parties and the proceeds thereof shall be paid over to the Credit Parties on account of the Guaranteed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Loan Party receives any payment of any Intercompany Debt at a time when such payment is prohibited by this </w:t>
      </w:r>
      <w:r>
        <w:rPr>
          <w:rFonts w:ascii="Arial" w:cs="Arial" w:eastAsia="Arial" w:hAnsi="Arial"/>
          <w:sz w:val="18"/>
          <w:szCs w:val="18"/>
          <w:u w:val="single" w:color="auto"/>
          <w:color w:val="auto"/>
        </w:rPr>
        <w:t>Section 11.16</w:t>
      </w:r>
      <w:r>
        <w:rPr>
          <w:rFonts w:ascii="Arial" w:cs="Arial" w:eastAsia="Arial" w:hAnsi="Arial"/>
          <w:sz w:val="18"/>
          <w:szCs w:val="18"/>
          <w:color w:val="auto"/>
        </w:rPr>
        <w:t>, such payment shall be held by such Loan Party, in trust for the benefit of, and shall be paid forthwith over and delivered, upon written request, to the Administrative Agent.</w:t>
      </w:r>
    </w:p>
    <w:p>
      <w:pPr>
        <w:spacing w:after="0" w:line="14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17</w:t>
      </w:r>
      <w:r>
        <w:rPr>
          <w:sz w:val="20"/>
          <w:szCs w:val="20"/>
          <w:color w:val="auto"/>
        </w:rPr>
        <w:tab/>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10" w:lineRule="auto"/>
        <w:rPr>
          <w:sz w:val="20"/>
          <w:szCs w:val="20"/>
          <w:color w:val="auto"/>
        </w:rPr>
      </w:pPr>
      <w:r>
        <w:rPr>
          <w:rFonts w:ascii="Arial" w:cs="Arial" w:eastAsia="Arial" w:hAnsi="Arial"/>
          <w:sz w:val="20"/>
          <w:szCs w:val="20"/>
          <w:color w:val="auto"/>
        </w:rPr>
        <w:t>In connection with all aspects of each transaction contemplated hereby (including in connection with any amendment, waiver or other modification hereof or of any other Loan Document), the Company and each other Loan Party acknowledges and agrees, and acknowledges its Affiliates’ understanding, that: (a)(i) the arranging and other services regarding this Agreement provided by the Administrative Agent and any Affiliate thereof, the Arrangers and the Lenders are arm’s-length commercial transactions between the Company, each other Loan Party and their respective Affiliates, on the one hand,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320"/>
          </w:cols>
          <w:pgMar w:left="240" w:top="1405" w:right="339" w:bottom="1440" w:gutter="0" w:footer="0" w:header="0"/>
        </w:sectPr>
      </w:pPr>
    </w:p>
    <w:bookmarkStart w:id="188" w:name="page189"/>
    <w:bookmarkEnd w:id="188"/>
    <w:p>
      <w:pPr>
        <w:jc w:val="both"/>
        <w:ind w:left="80"/>
        <w:spacing w:after="0" w:line="223" w:lineRule="auto"/>
        <w:rPr>
          <w:sz w:val="20"/>
          <w:szCs w:val="20"/>
          <w:color w:val="auto"/>
        </w:rPr>
      </w:pPr>
      <w:r>
        <w:rPr>
          <w:rFonts w:ascii="Arial" w:cs="Arial" w:eastAsia="Arial" w:hAnsi="Arial"/>
          <w:sz w:val="18"/>
          <w:szCs w:val="18"/>
          <w:color w:val="auto"/>
        </w:rPr>
        <w:t>Administrative Agent and, as applicable, its Affiliates (including any Affiliate that is an Arranger) and the Lenders and their Affiliates (including any Affiliate that is an Arranger) (collectively, solely for purposes of this Section, the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 on the other hand, (ii) each of the Company and the other Loan Parties has consulted its own legal, accounting, regulatory and tax advisors to the extent it has deemed appropriate, and (iii) the Company and each other Loan Party is capable of evaluating, and understands and accepts, the terms, risks and conditions of the transactions contemplated hereby and by the other Loan Documents; (b)(i) the Administrative Agent and its Affiliates (including any Affiliate that is an Arranger) and each Lender each is and has been acting solely as a principal and, except as expressly agreed in writing by the relevant parties, has not been, is not, and will not be acting as an advisor, agent or fiduciary, for the Company, any other Loan Party or any of their respective Affiliates, or any other Person and (ii) neither the Administrative Agent, any of its Affiliates (including any Affiliate that is an Arranger) nor any Lender has any obligation to the Company, any other Loan Party or any of their respective Affiliates with respect to the transactions contemplated hereby except those obligations expressly set forth herein and in the other Loan Documents; and (c) the Administrative Agent and its Affiliates (including any Affiliate that is an Arranger) and the Lenders may be engaged in a broad range of transactions that involve interests that differ from those of the Company, the other Loan Parties and their respective Affiliates, and neither the Administrative Agent, any of its Affiliates (including any Affiliate that is an Arranger) nor any Lender has any obligation to disclose any of such interests to the Company, any other Loan Party or any of their respective Affiliates. To the fullest extent permitted by law, each of the Company and each other Loan Party hereby waives and releases any claims that it may have against the Administrative Agent, any of its Affiliates (including any Affiliate that is an Arranger) or any Lender with respect to any breach or alleged breach of agency or fiduciary duty in connection with any aspect of any transactions contemplated hereby.</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18</w:t>
      </w:r>
      <w:r>
        <w:rPr>
          <w:sz w:val="20"/>
          <w:szCs w:val="20"/>
          <w:color w:val="auto"/>
        </w:rPr>
        <w:tab/>
      </w:r>
      <w:r>
        <w:rPr>
          <w:rFonts w:ascii="Arial" w:cs="Arial" w:eastAsia="Arial" w:hAnsi="Arial"/>
          <w:sz w:val="16"/>
          <w:szCs w:val="16"/>
          <w:b w:val="1"/>
          <w:bCs w:val="1"/>
          <w:u w:val="single" w:color="auto"/>
          <w:color w:val="auto"/>
        </w:rPr>
        <w:t>Electronic Execution; Electronic Records; Counterparts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22" w:lineRule="auto"/>
        <w:rPr>
          <w:sz w:val="20"/>
          <w:szCs w:val="20"/>
          <w:color w:val="auto"/>
        </w:rPr>
      </w:pPr>
      <w:r>
        <w:rPr>
          <w:rFonts w:ascii="Arial" w:cs="Arial" w:eastAsia="Arial" w:hAnsi="Arial"/>
          <w:sz w:val="18"/>
          <w:szCs w:val="18"/>
          <w:color w:val="auto"/>
        </w:rPr>
        <w:t xml:space="preserve">This Agreement, any other Loan Document and any other Communication, including Communications required to be in writing, may be in the form of an Electronic Record and may be executed using Electronic Signatures. Each Loan Party,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Arial" w:cs="Arial" w:eastAsia="Arial" w:hAnsi="Arial"/>
          <w:sz w:val="18"/>
          <w:szCs w:val="18"/>
          <w:u w:val="single" w:color="auto"/>
          <w:color w:val="auto"/>
        </w:rPr>
        <w:t>Section 11.18</w:t>
      </w:r>
      <w:r>
        <w:rPr>
          <w:rFonts w:ascii="Arial" w:cs="Arial" w:eastAsia="Arial" w:hAnsi="Arial"/>
          <w:sz w:val="18"/>
          <w:szCs w:val="18"/>
          <w:color w:val="auto"/>
        </w:rPr>
        <w:t xml:space="preserve"> may include use or acceptance of a manually signed paper Communication which has been converted into electronic form (such as scanned into .pdf),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(each, an “</w:t>
      </w:r>
      <w:r>
        <w:rPr>
          <w:rFonts w:ascii="Arial" w:cs="Arial" w:eastAsia="Arial" w:hAnsi="Arial"/>
          <w:sz w:val="18"/>
          <w:szCs w:val="18"/>
          <w:u w:val="single" w:color="auto"/>
          <w:color w:val="auto"/>
        </w:rPr>
        <w:t>Electronic Copy</w:t>
      </w:r>
      <w:r>
        <w:rPr>
          <w:rFonts w:ascii="Arial" w:cs="Arial" w:eastAsia="Arial" w:hAnsi="Arial"/>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any L/C Issuer or the Swingline Lender is under any obligation to accept an Electronic Signature in any form or in any format unless expressly agreed to by such Person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limiting the foregoing, (a) to the extent the Administrative Agent, such L/C Issuer or the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67" w:lineRule="exact"/>
        <w:rPr>
          <w:sz w:val="20"/>
          <w:szCs w:val="20"/>
          <w:color w:val="auto"/>
        </w:rPr>
      </w:pPr>
    </w:p>
    <w:p>
      <w:pPr>
        <w:jc w:val="both"/>
        <w:ind w:left="80" w:right="20" w:firstLine="648"/>
        <w:spacing w:after="0" w:line="244" w:lineRule="auto"/>
        <w:rPr>
          <w:sz w:val="20"/>
          <w:szCs w:val="20"/>
          <w:color w:val="auto"/>
        </w:rPr>
      </w:pPr>
      <w:r>
        <w:rPr>
          <w:rFonts w:ascii="Arial" w:cs="Arial" w:eastAsia="Arial" w:hAnsi="Arial"/>
          <w:sz w:val="18"/>
          <w:szCs w:val="18"/>
          <w:color w:val="auto"/>
        </w:rPr>
        <w:t>None of the Administrative Agent, any L/C Issuer 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the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320"/>
          </w:cols>
          <w:pgMar w:left="240" w:top="1405" w:right="339" w:bottom="1440" w:gutter="0" w:footer="0" w:header="0"/>
        </w:sectPr>
      </w:pPr>
    </w:p>
    <w:bookmarkStart w:id="189" w:name="page190"/>
    <w:bookmarkEnd w:id="189"/>
    <w:p>
      <w:pPr>
        <w:jc w:val="both"/>
        <w:ind w:left="80"/>
        <w:spacing w:after="0" w:line="207" w:lineRule="auto"/>
        <w:rPr>
          <w:sz w:val="20"/>
          <w:szCs w:val="20"/>
          <w:color w:val="auto"/>
        </w:rPr>
      </w:pPr>
      <w:r>
        <w:rPr>
          <w:rFonts w:ascii="Arial" w:cs="Arial" w:eastAsia="Arial" w:hAnsi="Arial"/>
          <w:sz w:val="20"/>
          <w:szCs w:val="20"/>
          <w:color w:val="auto"/>
        </w:rPr>
        <w:t>Lender’s reliance on any Electronic Signature transmitted by telecopy, emailed .pdf or any other electronic means). The Administrative Agent, each L/C Issuer and the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60" w:lineRule="exact"/>
        <w:rPr>
          <w:sz w:val="20"/>
          <w:szCs w:val="20"/>
          <w:color w:val="auto"/>
        </w:rPr>
      </w:pPr>
    </w:p>
    <w:p>
      <w:pPr>
        <w:jc w:val="both"/>
        <w:ind w:left="80" w:firstLine="648"/>
        <w:spacing w:after="0" w:line="207" w:lineRule="auto"/>
        <w:rPr>
          <w:sz w:val="20"/>
          <w:szCs w:val="20"/>
          <w:color w:val="auto"/>
        </w:rPr>
      </w:pPr>
      <w:r>
        <w:rPr>
          <w:rFonts w:ascii="Arial" w:cs="Arial" w:eastAsia="Arial" w:hAnsi="Arial"/>
          <w:sz w:val="20"/>
          <w:szCs w:val="20"/>
          <w:color w:val="auto"/>
        </w:rPr>
        <w:t>Each Loan Party and each Lender Party hereby waives (a) any argument, defense or right to contest the legal effect, validity or enforceability of this Agreement or any other Loan Document based solely on the lack of paper original copies of this Agreement or such other Loan Document, and (b) any claim against the Administrative Agent and each Lender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19</w:t>
      </w:r>
      <w:r>
        <w:rPr>
          <w:sz w:val="20"/>
          <w:szCs w:val="20"/>
          <w:color w:val="auto"/>
        </w:rPr>
        <w:tab/>
      </w:r>
      <w:r>
        <w:rPr>
          <w:rFonts w:ascii="Arial" w:cs="Arial" w:eastAsia="Arial" w:hAnsi="Arial"/>
          <w:sz w:val="18"/>
          <w:szCs w:val="18"/>
          <w:b w:val="1"/>
          <w:bCs w:val="1"/>
          <w:u w:val="single" w:color="auto"/>
          <w:color w:val="auto"/>
        </w:rPr>
        <w:t>USA PATRIOT Act Notice</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80" w:firstLine="648"/>
        <w:spacing w:after="0" w:line="215" w:lineRule="auto"/>
        <w:rPr>
          <w:sz w:val="20"/>
          <w:szCs w:val="20"/>
          <w:color w:val="auto"/>
        </w:rPr>
      </w:pPr>
      <w:r>
        <w:rPr>
          <w:rFonts w:ascii="Arial" w:cs="Arial" w:eastAsia="Arial" w:hAnsi="Arial"/>
          <w:sz w:val="19"/>
          <w:szCs w:val="19"/>
          <w:color w:val="auto"/>
        </w:rPr>
        <w:t>Each Lender that is subject to the Patriot Act and the Administrative Agent (for itself and not on behalf of any Lender) hereby notifies the Company and the other Loan Parties that pursuant to the requirements of the USA PATRIOT Act (Title III of Pub. L. 107–56 (signed into law October 26,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it is required to obtain, verify and record information that identifies the Company and each other Loan Party, which information includes the name and address of the Company and each other Loan Party and other information that will allow such Lender or the Administrative Agent, as applicable, to identify the Company and each other Loan Party in accordance with the Patriot Act. The Company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u w:val="single" w:color="auto"/>
          <w:color w:val="auto"/>
        </w:rPr>
        <w:t>20</w:t>
      </w:r>
      <w:r>
        <w:rPr>
          <w:sz w:val="20"/>
          <w:szCs w:val="20"/>
          <w:color w:val="auto"/>
        </w:rPr>
        <w:tab/>
      </w:r>
      <w:r>
        <w:rPr>
          <w:rFonts w:ascii="Arial" w:cs="Arial" w:eastAsia="Arial" w:hAnsi="Arial"/>
          <w:sz w:val="16"/>
          <w:szCs w:val="16"/>
          <w:b w:val="1"/>
          <w:bCs w:val="1"/>
          <w:u w:val="single" w:color="auto"/>
          <w:color w:val="auto"/>
        </w:rPr>
        <w:t>Acknowledgement and Consent to Bail-In of Affected Financial Institutions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21" w:lineRule="auto"/>
        <w:rPr>
          <w:sz w:val="20"/>
          <w:szCs w:val="20"/>
          <w:color w:val="auto"/>
        </w:rPr>
      </w:pPr>
      <w:r>
        <w:rPr>
          <w:rFonts w:ascii="Arial" w:cs="Arial" w:eastAsia="Arial" w:hAnsi="Arial"/>
          <w:sz w:val="19"/>
          <w:szCs w:val="19"/>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any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5" w:lineRule="exact"/>
        <w:rPr>
          <w:sz w:val="20"/>
          <w:szCs w:val="20"/>
          <w:color w:val="auto"/>
        </w:rPr>
      </w:pPr>
    </w:p>
    <w:p>
      <w:pPr>
        <w:jc w:val="both"/>
        <w:ind w:left="740" w:firstLine="644"/>
        <w:spacing w:after="0" w:line="269" w:lineRule="auto"/>
        <w:tabs>
          <w:tab w:leader="none" w:pos="202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any L/C Issuer that is an Affected Financial Institution; and</w:t>
      </w:r>
    </w:p>
    <w:p>
      <w:pPr>
        <w:spacing w:after="0" w:line="130" w:lineRule="exact"/>
        <w:rPr>
          <w:rFonts w:ascii="Arial" w:cs="Arial" w:eastAsia="Arial" w:hAnsi="Arial"/>
          <w:sz w:val="18"/>
          <w:szCs w:val="18"/>
          <w:color w:val="auto"/>
        </w:rPr>
      </w:pPr>
    </w:p>
    <w:p>
      <w:pPr>
        <w:ind w:left="2020" w:hanging="636"/>
        <w:spacing w:after="0"/>
        <w:tabs>
          <w:tab w:leader="none" w:pos="202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2660" w:hanging="628"/>
        <w:spacing w:after="0"/>
        <w:tabs>
          <w:tab w:leader="none" w:pos="266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75" w:lineRule="exact"/>
        <w:rPr>
          <w:rFonts w:ascii="Arial" w:cs="Arial" w:eastAsia="Arial" w:hAnsi="Arial"/>
          <w:sz w:val="20"/>
          <w:szCs w:val="20"/>
          <w:color w:val="auto"/>
        </w:rPr>
      </w:pPr>
    </w:p>
    <w:p>
      <w:pPr>
        <w:jc w:val="both"/>
        <w:ind w:left="1380" w:firstLine="652"/>
        <w:spacing w:after="0" w:line="213" w:lineRule="auto"/>
        <w:tabs>
          <w:tab w:leader="none" w:pos="2665" w:val="left"/>
        </w:tabs>
        <w:numPr>
          <w:ilvl w:val="1"/>
          <w:numId w:val="25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5" w:lineRule="exact"/>
        <w:rPr>
          <w:rFonts w:ascii="Arial" w:cs="Arial" w:eastAsia="Arial" w:hAnsi="Arial"/>
          <w:sz w:val="20"/>
          <w:szCs w:val="20"/>
          <w:color w:val="auto"/>
        </w:rPr>
      </w:pPr>
    </w:p>
    <w:p>
      <w:pPr>
        <w:ind w:left="1380" w:firstLine="652"/>
        <w:spacing w:after="0" w:line="229" w:lineRule="auto"/>
        <w:tabs>
          <w:tab w:leader="none" w:pos="2667" w:val="left"/>
        </w:tabs>
        <w:numPr>
          <w:ilvl w:val="1"/>
          <w:numId w:val="25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320"/>
          </w:cols>
          <w:pgMar w:left="240" w:top="1405" w:right="339" w:bottom="1440" w:gutter="0" w:footer="0" w:header="0"/>
        </w:sectPr>
      </w:pPr>
    </w:p>
    <w:bookmarkStart w:id="190" w:name="page191"/>
    <w:bookmarkEnd w:id="190"/>
    <w:p>
      <w:pPr>
        <w:spacing w:after="0"/>
        <w:tabs>
          <w:tab w:leader="none" w:pos="360" w:val="left"/>
        </w:tabs>
        <w:rPr>
          <w:sz w:val="20"/>
          <w:szCs w:val="20"/>
          <w:color w:val="auto"/>
        </w:rPr>
      </w:pPr>
      <w:r>
        <w:rPr>
          <w:rFonts w:ascii="Arial" w:cs="Arial" w:eastAsia="Arial" w:hAnsi="Arial"/>
          <w:sz w:val="20"/>
          <w:szCs w:val="20"/>
          <w:b w:val="1"/>
          <w:bCs w:val="1"/>
          <w:u w:val="single" w:color="auto"/>
          <w:color w:val="auto"/>
        </w:rPr>
        <w:t>21</w:t>
      </w:r>
      <w:r>
        <w:rPr>
          <w:sz w:val="20"/>
          <w:szCs w:val="20"/>
          <w:color w:val="auto"/>
        </w:rPr>
        <w:tab/>
      </w:r>
      <w:r>
        <w:rPr>
          <w:rFonts w:ascii="Arial" w:cs="Arial" w:eastAsia="Arial" w:hAnsi="Arial"/>
          <w:sz w:val="16"/>
          <w:szCs w:val="16"/>
          <w:b w:val="1"/>
          <w:bCs w:val="1"/>
          <w:u w:val="single" w:color="auto"/>
          <w:color w:val="auto"/>
        </w:rPr>
        <w:t>Acknowledgement Regarding Any Supported QFCs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22" w:lineRule="auto"/>
        <w:rPr>
          <w:sz w:val="20"/>
          <w:szCs w:val="20"/>
          <w:color w:val="auto"/>
        </w:rPr>
      </w:pPr>
      <w:r>
        <w:rPr>
          <w:rFonts w:ascii="Arial" w:cs="Arial" w:eastAsia="Arial" w:hAnsi="Arial"/>
          <w:sz w:val="18"/>
          <w:szCs w:val="18"/>
          <w:color w:val="auto"/>
        </w:rPr>
        <w:t>To the extent that the Loan Documents provide support, through a guarantee or otherwise, for any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22</w:t>
      </w:r>
      <w:r>
        <w:rPr>
          <w:sz w:val="20"/>
          <w:szCs w:val="20"/>
          <w:color w:val="auto"/>
        </w:rPr>
        <w:tab/>
      </w:r>
      <w:r>
        <w:rPr>
          <w:rFonts w:ascii="Arial" w:cs="Arial" w:eastAsia="Arial" w:hAnsi="Arial"/>
          <w:sz w:val="16"/>
          <w:szCs w:val="16"/>
          <w:b w:val="1"/>
          <w:bCs w:val="1"/>
          <w:u w:val="single" w:color="auto"/>
          <w:color w:val="auto"/>
        </w:rPr>
        <w:t>Release of Subsidiary Guarantors</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80" w:firstLine="648"/>
        <w:spacing w:after="0" w:line="227" w:lineRule="auto"/>
        <w:rPr>
          <w:sz w:val="20"/>
          <w:szCs w:val="20"/>
          <w:color w:val="auto"/>
        </w:rPr>
      </w:pPr>
      <w:r>
        <w:rPr>
          <w:rFonts w:ascii="Arial" w:cs="Arial" w:eastAsia="Arial" w:hAnsi="Arial"/>
          <w:sz w:val="18"/>
          <w:szCs w:val="18"/>
          <w:color w:val="auto"/>
        </w:rPr>
        <w:t>Notwithstanding anything to the contrary contained in this Agreement or any other Loan Document, on the first date (such date, the “</w:t>
      </w:r>
      <w:r>
        <w:rPr>
          <w:rFonts w:ascii="Arial" w:cs="Arial" w:eastAsia="Arial" w:hAnsi="Arial"/>
          <w:sz w:val="18"/>
          <w:szCs w:val="18"/>
          <w:u w:val="single" w:color="auto"/>
          <w:color w:val="auto"/>
        </w:rPr>
        <w:t>Release Date</w:t>
      </w:r>
      <w:r>
        <w:rPr>
          <w:rFonts w:ascii="Arial" w:cs="Arial" w:eastAsia="Arial" w:hAnsi="Arial"/>
          <w:sz w:val="18"/>
          <w:szCs w:val="18"/>
          <w:color w:val="auto"/>
        </w:rPr>
        <w:t xml:space="preserve">”) on which (a) the Company has an Investment Grade Rating from at least two of S&amp;P, Moody’s, and Fitch, and (b) so long as, after giving Pro Forma Effect to the releases contemplated by this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(and any other transactions to be consummated on the effective date of, or in connection with, such releases) (i) no Default exists, and (ii) none of the Subsidiary Guarantors provide a Guarantee for any other Material Indebtedness, all Subsidiary Guarantors shall be automatically released from the Guaranty made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without the requirement for any further action by any Person and, at the request and sole expense of the Company, the Administrative Agent shall promptly (and the Lenders and the L/C Issuers hereby authorize the Administrative Agent to) take such actions and execute and deliver to the applicable Loan Party such documents as the Company may reasonably request to further document and evidence the release of the Subsidiary Guarantors from their respective obligations under the Guaranty made under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55" w:lineRule="exact"/>
        <w:rPr>
          <w:sz w:val="20"/>
          <w:szCs w:val="20"/>
          <w:color w:val="auto"/>
        </w:rPr>
      </w:pPr>
    </w:p>
    <w:p>
      <w:pPr>
        <w:jc w:val="both"/>
        <w:ind w:left="80" w:firstLine="648"/>
        <w:spacing w:after="0" w:line="218" w:lineRule="auto"/>
        <w:rPr>
          <w:sz w:val="20"/>
          <w:szCs w:val="20"/>
          <w:color w:val="auto"/>
        </w:rPr>
      </w:pPr>
      <w:r>
        <w:rPr>
          <w:rFonts w:ascii="Arial" w:cs="Arial" w:eastAsia="Arial" w:hAnsi="Arial"/>
          <w:sz w:val="20"/>
          <w:szCs w:val="20"/>
          <w:color w:val="auto"/>
        </w:rPr>
        <w:t xml:space="preserve">The Administrative Agent and the Company, without the consent of any other party hereto, may amend this Agreement and the other Loan Documents as may be necessary, desirable or appropriate, in the mutual reasonable opinion of the Administrative Agent and the Company, to further document and evidence the releases contemplated by this </w:t>
      </w:r>
      <w:r>
        <w:rPr>
          <w:rFonts w:ascii="Arial" w:cs="Arial" w:eastAsia="Arial" w:hAnsi="Arial"/>
          <w:sz w:val="20"/>
          <w:szCs w:val="20"/>
          <w:u w:val="single" w:color="auto"/>
          <w:color w:val="auto"/>
        </w:rPr>
        <w:t>Section 11.22</w:t>
      </w:r>
      <w:r>
        <w:rPr>
          <w:rFonts w:ascii="Arial" w:cs="Arial" w:eastAsia="Arial" w:hAnsi="Arial"/>
          <w:sz w:val="20"/>
          <w:szCs w:val="20"/>
          <w:color w:val="auto"/>
        </w:rPr>
        <w:t>.</w:t>
      </w:r>
    </w:p>
    <w:p>
      <w:pPr>
        <w:spacing w:after="0" w:line="15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23</w:t>
      </w:r>
      <w:r>
        <w:rPr>
          <w:sz w:val="20"/>
          <w:szCs w:val="20"/>
          <w:color w:val="auto"/>
        </w:rPr>
        <w:tab/>
      </w:r>
      <w:r>
        <w:rPr>
          <w:rFonts w:ascii="Arial" w:cs="Arial" w:eastAsia="Arial" w:hAnsi="Arial"/>
          <w:sz w:val="18"/>
          <w:szCs w:val="18"/>
          <w:b w:val="1"/>
          <w:bCs w:val="1"/>
          <w:u w:val="single" w:color="auto"/>
          <w:color w:val="auto"/>
        </w:rPr>
        <w:t>Judgment Currency</w:t>
      </w:r>
      <w:r>
        <w:rPr>
          <w:rFonts w:ascii="Arial" w:cs="Arial" w:eastAsia="Arial" w:hAnsi="Arial"/>
          <w:sz w:val="18"/>
          <w:szCs w:val="18"/>
          <w:b w:val="1"/>
          <w:bCs w:val="1"/>
          <w:color w:val="auto"/>
        </w:rPr>
        <w:t>.</w:t>
      </w:r>
    </w:p>
    <w:p>
      <w:pPr>
        <w:spacing w:after="0" w:line="181" w:lineRule="exact"/>
        <w:rPr>
          <w:sz w:val="20"/>
          <w:szCs w:val="20"/>
          <w:color w:val="auto"/>
        </w:rPr>
      </w:pPr>
    </w:p>
    <w:p>
      <w:pPr>
        <w:jc w:val="both"/>
        <w:ind w:left="80" w:firstLine="648"/>
        <w:spacing w:after="0" w:line="231" w:lineRule="auto"/>
        <w:rPr>
          <w:sz w:val="20"/>
          <w:szCs w:val="20"/>
          <w:color w:val="auto"/>
        </w:rPr>
      </w:pPr>
      <w:r>
        <w:rPr>
          <w:rFonts w:ascii="Arial" w:cs="Arial" w:eastAsia="Arial" w:hAnsi="Arial"/>
          <w:sz w:val="18"/>
          <w:szCs w:val="18"/>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320"/>
          </w:cols>
          <w:pgMar w:left="240" w:top="1399" w:right="339" w:bottom="1440" w:gutter="0" w:footer="0" w:header="0"/>
        </w:sectPr>
      </w:pPr>
    </w:p>
    <w:bookmarkStart w:id="191" w:name="page192"/>
    <w:bookmarkEnd w:id="191"/>
    <w:p>
      <w:pPr>
        <w:jc w:val="both"/>
        <w:ind w:left="80"/>
        <w:spacing w:after="0" w:line="228" w:lineRule="auto"/>
        <w:rPr>
          <w:sz w:val="20"/>
          <w:szCs w:val="20"/>
          <w:color w:val="auto"/>
        </w:rPr>
      </w:pPr>
      <w:r>
        <w:rPr>
          <w:rFonts w:ascii="Arial" w:cs="Arial" w:eastAsia="Arial" w:hAnsi="Arial"/>
          <w:sz w:val="18"/>
          <w:szCs w:val="18"/>
          <w:color w:val="auto"/>
        </w:rPr>
        <w:t>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pacing w:after="0" w:line="14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u w:val="single" w:color="auto"/>
          <w:color w:val="auto"/>
        </w:rPr>
        <w:t>24</w:t>
      </w:r>
      <w:r>
        <w:rPr>
          <w:sz w:val="20"/>
          <w:szCs w:val="20"/>
          <w:color w:val="auto"/>
        </w:rPr>
        <w:tab/>
      </w: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w:t>
      </w:r>
    </w:p>
    <w:p>
      <w:pPr>
        <w:spacing w:after="0" w:line="175" w:lineRule="exact"/>
        <w:rPr>
          <w:sz w:val="20"/>
          <w:szCs w:val="20"/>
          <w:color w:val="auto"/>
        </w:rPr>
      </w:pPr>
    </w:p>
    <w:p>
      <w:pPr>
        <w:jc w:val="both"/>
        <w:ind w:left="80" w:firstLine="648"/>
        <w:spacing w:after="0" w:line="220" w:lineRule="auto"/>
        <w:rPr>
          <w:sz w:val="20"/>
          <w:szCs w:val="20"/>
          <w:color w:val="auto"/>
        </w:rPr>
      </w:pPr>
      <w:r>
        <w:rPr>
          <w:rFonts w:ascii="Arial" w:cs="Arial" w:eastAsia="Arial" w:hAnsi="Arial"/>
          <w:sz w:val="20"/>
          <w:szCs w:val="20"/>
          <w:b w:val="1"/>
          <w:bCs w:val="1"/>
          <w:color w:val="auto"/>
        </w:rPr>
        <w:t>THIS AGREEMENT AND THE OTHER LOAN DOCUMENTS REPRESENT THE FINAL AGREEMENT AMONG THE PARTIES AND MAY NOT BE CONTRADICTED BY EVIDENCE OF PRIOR, CONTEMPORANEOUS, OR SUBSEQUENT ORAL AGREEMENTS OF THE PARTIES. THERE ARE NO UNWRITTEN ORAL AGREEMENTS AMONG THE PARTIES</w:t>
      </w:r>
      <w:r>
        <w:rPr>
          <w:rFonts w:ascii="Arial" w:cs="Arial" w:eastAsia="Arial" w:hAnsi="Arial"/>
          <w:sz w:val="20"/>
          <w:szCs w:val="20"/>
          <w:color w:val="auto"/>
        </w:rPr>
        <w: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 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320"/>
          </w:cols>
          <w:pgMar w:left="240" w:top="1405" w:right="339" w:bottom="1440" w:gutter="0" w:footer="0" w:header="0"/>
        </w:sectPr>
      </w:pPr>
    </w:p>
    <w:bookmarkStart w:id="192" w:name="page193"/>
    <w:bookmarkEnd w:id="192"/>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as of the date first above written.</w:t>
      </w:r>
    </w:p>
    <w:p>
      <w:pPr>
        <w:spacing w:after="0" w:line="287"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VERTEX PHARMACEUTICALS INCORPORATED</w:t>
      </w:r>
      <w:r>
        <w:rPr>
          <w:rFonts w:ascii="Arial" w:cs="Arial" w:eastAsia="Arial" w:hAnsi="Arial"/>
          <w:sz w:val="20"/>
          <w:szCs w:val="20"/>
          <w:color w:val="auto"/>
        </w:rPr>
        <w:t>,</w:t>
      </w:r>
    </w:p>
    <w:p>
      <w:pPr>
        <w:ind w:left="3900"/>
        <w:spacing w:after="0" w:line="197" w:lineRule="auto"/>
        <w:rPr>
          <w:sz w:val="20"/>
          <w:szCs w:val="20"/>
          <w:color w:val="auto"/>
        </w:rPr>
      </w:pPr>
      <w:r>
        <w:rPr>
          <w:rFonts w:ascii="Arial" w:cs="Arial" w:eastAsia="Arial" w:hAnsi="Arial"/>
          <w:sz w:val="20"/>
          <w:szCs w:val="20"/>
          <w:color w:val="auto"/>
        </w:rPr>
        <w:t>a Massachusetts corporation,</w:t>
      </w:r>
    </w:p>
    <w:p>
      <w:pPr>
        <w:ind w:left="3900"/>
        <w:spacing w:after="0"/>
        <w:rPr>
          <w:sz w:val="20"/>
          <w:szCs w:val="20"/>
          <w:color w:val="auto"/>
        </w:rPr>
      </w:pPr>
      <w:r>
        <w:rPr>
          <w:rFonts w:ascii="Arial" w:cs="Arial" w:eastAsia="Arial" w:hAnsi="Arial"/>
          <w:sz w:val="20"/>
          <w:szCs w:val="20"/>
          <w:color w:val="auto"/>
        </w:rPr>
        <w:t>as a Borrower and a Guarantor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Charles F. Wagner, Jr.</w:t>
      </w:r>
    </w:p>
    <w:p>
      <w:pPr>
        <w:ind w:left="3900"/>
        <w:spacing w:after="0" w:line="197" w:lineRule="auto"/>
        <w:rPr>
          <w:sz w:val="20"/>
          <w:szCs w:val="20"/>
          <w:color w:val="auto"/>
        </w:rPr>
      </w:pPr>
      <w:r>
        <w:rPr>
          <w:rFonts w:ascii="Arial" w:cs="Arial" w:eastAsia="Arial" w:hAnsi="Arial"/>
          <w:sz w:val="20"/>
          <w:szCs w:val="20"/>
          <w:color w:val="auto"/>
        </w:rPr>
        <w:t>Name: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374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Executive Vice President and Chief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DESIGNATED FOREIGN</w:t>
      </w:r>
    </w:p>
    <w:p>
      <w:pPr>
        <w:spacing w:after="0" w:line="197" w:lineRule="auto"/>
        <w:tabs>
          <w:tab w:leader="none" w:pos="1560" w:val="left"/>
        </w:tabs>
        <w:rPr>
          <w:sz w:val="20"/>
          <w:szCs w:val="20"/>
          <w:color w:val="auto"/>
        </w:rPr>
      </w:pPr>
      <w:r>
        <w:rPr>
          <w:rFonts w:ascii="Arial" w:cs="Arial" w:eastAsia="Arial" w:hAnsi="Arial"/>
          <w:sz w:val="20"/>
          <w:szCs w:val="20"/>
          <w:b w:val="1"/>
          <w:bCs w:val="1"/>
          <w:u w:val="single" w:color="auto"/>
          <w:color w:val="auto"/>
        </w:rPr>
        <w:t>BORROWERS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VERTEX PHARMACEUTICALS (EUROPE) LIMITED</w:t>
      </w:r>
      <w:r>
        <w:rPr>
          <w:rFonts w:ascii="Arial" w:cs="Arial" w:eastAsia="Arial" w:hAnsi="Arial"/>
          <w:sz w:val="20"/>
          <w:szCs w:val="20"/>
          <w:color w:val="auto"/>
        </w:rPr>
        <w:t>,</w:t>
      </w:r>
    </w:p>
    <w:p>
      <w:pPr>
        <w:ind w:left="3900" w:right="500"/>
        <w:spacing w:after="0" w:line="197" w:lineRule="auto"/>
        <w:rPr>
          <w:sz w:val="20"/>
          <w:szCs w:val="20"/>
          <w:color w:val="auto"/>
        </w:rPr>
      </w:pPr>
      <w:r>
        <w:rPr>
          <w:rFonts w:ascii="Arial" w:cs="Arial" w:eastAsia="Arial" w:hAnsi="Arial"/>
          <w:sz w:val="20"/>
          <w:szCs w:val="20"/>
          <w:color w:val="auto"/>
        </w:rPr>
        <w:t>a private limited company incorporated in England and Wales with registered number 02907620,</w:t>
      </w:r>
    </w:p>
    <w:p>
      <w:pPr>
        <w:ind w:left="3900"/>
        <w:spacing w:after="0"/>
        <w:rPr>
          <w:sz w:val="20"/>
          <w:szCs w:val="20"/>
          <w:color w:val="auto"/>
        </w:rPr>
      </w:pPr>
      <w:r>
        <w:rPr>
          <w:rFonts w:ascii="Arial" w:cs="Arial" w:eastAsia="Arial" w:hAnsi="Arial"/>
          <w:sz w:val="20"/>
          <w:szCs w:val="20"/>
          <w:color w:val="auto"/>
        </w:rPr>
        <w:t>as a Borrower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Jonathan Richard Oppenheim</w:t>
      </w:r>
    </w:p>
    <w:p>
      <w:pPr>
        <w:ind w:left="3900"/>
        <w:spacing w:after="0" w:line="197" w:lineRule="auto"/>
        <w:rPr>
          <w:sz w:val="20"/>
          <w:szCs w:val="20"/>
          <w:color w:val="auto"/>
        </w:rPr>
      </w:pPr>
      <w:r>
        <w:rPr>
          <w:rFonts w:ascii="Arial" w:cs="Arial" w:eastAsia="Arial" w:hAnsi="Arial"/>
          <w:sz w:val="20"/>
          <w:szCs w:val="20"/>
          <w:color w:val="auto"/>
        </w:rPr>
        <w:t>Name: Jonathan Richard Oppenheim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7691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6911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13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VERTEX PHARMACEUTICALS (IRELAND) LIMITED</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16"/>
          <w:szCs w:val="16"/>
          <w:color w:val="auto"/>
        </w:rPr>
        <w:t>a private company limited by shares incorporated and existing under the laws of Ireland and</w:t>
      </w:r>
    </w:p>
    <w:p>
      <w:pPr>
        <w:ind w:left="3900"/>
        <w:spacing w:after="0" w:line="202" w:lineRule="auto"/>
        <w:rPr>
          <w:sz w:val="20"/>
          <w:szCs w:val="20"/>
          <w:color w:val="auto"/>
        </w:rPr>
      </w:pPr>
      <w:r>
        <w:rPr>
          <w:rFonts w:ascii="Arial" w:cs="Arial" w:eastAsia="Arial" w:hAnsi="Arial"/>
          <w:sz w:val="20"/>
          <w:szCs w:val="20"/>
          <w:color w:val="auto"/>
        </w:rPr>
        <w:t>registered with company number 502558,</w:t>
      </w:r>
    </w:p>
    <w:p>
      <w:pPr>
        <w:ind w:left="3900"/>
        <w:spacing w:after="0"/>
        <w:rPr>
          <w:sz w:val="20"/>
          <w:szCs w:val="20"/>
          <w:color w:val="auto"/>
        </w:rPr>
      </w:pPr>
      <w:r>
        <w:rPr>
          <w:rFonts w:ascii="Arial" w:cs="Arial" w:eastAsia="Arial" w:hAnsi="Arial"/>
          <w:sz w:val="20"/>
          <w:szCs w:val="20"/>
          <w:color w:val="auto"/>
        </w:rPr>
        <w:t>as a Borrower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Mark Organisak</w:t>
      </w:r>
    </w:p>
    <w:p>
      <w:pPr>
        <w:ind w:left="3900"/>
        <w:spacing w:after="0" w:line="197" w:lineRule="auto"/>
        <w:rPr>
          <w:sz w:val="20"/>
          <w:szCs w:val="20"/>
          <w:color w:val="auto"/>
        </w:rPr>
      </w:pPr>
      <w:r>
        <w:rPr>
          <w:rFonts w:ascii="Arial" w:cs="Arial" w:eastAsia="Arial" w:hAnsi="Arial"/>
          <w:sz w:val="20"/>
          <w:szCs w:val="20"/>
          <w:color w:val="auto"/>
        </w:rPr>
        <w:t>Name: Mark Organisak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093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180"/>
          </w:cols>
          <w:pgMar w:left="320" w:top="1399" w:right="399" w:bottom="1440" w:gutter="0" w:footer="0" w:header="0"/>
        </w:sectPr>
      </w:pPr>
    </w:p>
    <w:bookmarkStart w:id="193" w:name="page194"/>
    <w:bookmarkEnd w:id="193"/>
    <w:p>
      <w:pPr>
        <w:ind w:left="2940" w:right="939" w:hanging="3887"/>
        <w:spacing w:after="0" w:line="208" w:lineRule="auto"/>
        <w:tabs>
          <w:tab w:leader="none" w:pos="2920" w:val="left"/>
        </w:tabs>
        <w:rPr>
          <w:sz w:val="20"/>
          <w:szCs w:val="20"/>
          <w:color w:val="auto"/>
        </w:rPr>
      </w:pPr>
      <w:r>
        <w:rPr>
          <w:rFonts w:ascii="Arial" w:cs="Arial" w:eastAsia="Arial" w:hAnsi="Arial"/>
          <w:sz w:val="20"/>
          <w:szCs w:val="20"/>
          <w:b w:val="1"/>
          <w:bCs w:val="1"/>
          <w:u w:val="single" w:color="auto"/>
          <w:color w:val="auto"/>
        </w:rPr>
        <w:t>SUBSIDIARY GUARANTORS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VERTEX PHARMACEUTICALS (DISTRIBUTION) INCORPORATED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Delaware corporation,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Subsidiary Guarantor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Charles F. Wagner, Jr.</w:t>
      </w:r>
    </w:p>
    <w:p>
      <w:pPr>
        <w:ind w:left="3900"/>
        <w:spacing w:after="0" w:line="197" w:lineRule="auto"/>
        <w:rPr>
          <w:sz w:val="20"/>
          <w:szCs w:val="20"/>
          <w:color w:val="auto"/>
        </w:rPr>
      </w:pPr>
      <w:r>
        <w:rPr>
          <w:rFonts w:ascii="Arial" w:cs="Arial" w:eastAsia="Arial" w:hAnsi="Arial"/>
          <w:sz w:val="20"/>
          <w:szCs w:val="20"/>
          <w:color w:val="auto"/>
        </w:rPr>
        <w:t>Name: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3741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Treasurer</w:t>
      </w:r>
    </w:p>
    <w:p>
      <w:pPr>
        <w:spacing w:after="0" w:line="13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VERTEX HOLDINGS, INC.</w:t>
      </w:r>
      <w:r>
        <w:rPr>
          <w:rFonts w:ascii="Arial" w:cs="Arial" w:eastAsia="Arial" w:hAnsi="Arial"/>
          <w:sz w:val="20"/>
          <w:szCs w:val="20"/>
          <w:color w:val="auto"/>
        </w:rPr>
        <w:t>,</w:t>
      </w:r>
    </w:p>
    <w:p>
      <w:pPr>
        <w:ind w:left="3900"/>
        <w:spacing w:after="0" w:line="197" w:lineRule="auto"/>
        <w:rPr>
          <w:sz w:val="20"/>
          <w:szCs w:val="20"/>
          <w:color w:val="auto"/>
        </w:rPr>
      </w:pPr>
      <w:r>
        <w:rPr>
          <w:rFonts w:ascii="Arial" w:cs="Arial" w:eastAsia="Arial" w:hAnsi="Arial"/>
          <w:sz w:val="20"/>
          <w:szCs w:val="20"/>
          <w:color w:val="auto"/>
        </w:rPr>
        <w:t>a Delaware corporation,</w:t>
      </w:r>
    </w:p>
    <w:p>
      <w:pPr>
        <w:ind w:left="3900"/>
        <w:spacing w:after="0"/>
        <w:rPr>
          <w:sz w:val="20"/>
          <w:szCs w:val="20"/>
          <w:color w:val="auto"/>
        </w:rPr>
      </w:pPr>
      <w:r>
        <w:rPr>
          <w:rFonts w:ascii="Arial" w:cs="Arial" w:eastAsia="Arial" w:hAnsi="Arial"/>
          <w:sz w:val="20"/>
          <w:szCs w:val="20"/>
          <w:color w:val="auto"/>
        </w:rPr>
        <w:t>as a Subsidiary Guarantor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Charles F. Wagner, Jr.</w:t>
      </w:r>
    </w:p>
    <w:p>
      <w:pPr>
        <w:ind w:left="3900"/>
        <w:spacing w:after="0" w:line="197" w:lineRule="auto"/>
        <w:rPr>
          <w:sz w:val="20"/>
          <w:szCs w:val="20"/>
          <w:color w:val="auto"/>
        </w:rPr>
      </w:pPr>
      <w:r>
        <w:rPr>
          <w:rFonts w:ascii="Arial" w:cs="Arial" w:eastAsia="Arial" w:hAnsi="Arial"/>
          <w:sz w:val="20"/>
          <w:szCs w:val="20"/>
          <w:color w:val="auto"/>
        </w:rPr>
        <w:t>Name: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3741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39"/>
          </w:cols>
          <w:pgMar w:left="320" w:top="1399" w:right="1440" w:bottom="1440" w:gutter="0" w:footer="0" w:header="0"/>
        </w:sectPr>
      </w:pPr>
    </w:p>
    <w:bookmarkStart w:id="194" w:name="page195"/>
    <w:bookmarkEnd w:id="194"/>
    <w:p>
      <w:pPr>
        <w:spacing w:after="0"/>
        <w:tabs>
          <w:tab w:leader="none" w:pos="1660" w:val="left"/>
        </w:tabs>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VERTEX PHARMACEUTICALS (EUROPE) LIMITED</w:t>
      </w:r>
      <w:r>
        <w:rPr>
          <w:rFonts w:ascii="Arial" w:cs="Arial" w:eastAsia="Arial" w:hAnsi="Arial"/>
          <w:sz w:val="20"/>
          <w:szCs w:val="20"/>
          <w:color w:val="auto"/>
        </w:rPr>
        <w:t>,</w:t>
      </w:r>
    </w:p>
    <w:p>
      <w:pPr>
        <w:ind w:left="3900" w:right="500"/>
        <w:spacing w:after="0" w:line="197" w:lineRule="auto"/>
        <w:rPr>
          <w:sz w:val="20"/>
          <w:szCs w:val="20"/>
          <w:color w:val="auto"/>
        </w:rPr>
      </w:pPr>
      <w:r>
        <w:rPr>
          <w:rFonts w:ascii="Arial" w:cs="Arial" w:eastAsia="Arial" w:hAnsi="Arial"/>
          <w:sz w:val="20"/>
          <w:szCs w:val="20"/>
          <w:color w:val="auto"/>
        </w:rPr>
        <w:t>a private limited company incorporated in England and Wales with registered number 02907620,</w:t>
      </w:r>
    </w:p>
    <w:p>
      <w:pPr>
        <w:ind w:left="3900"/>
        <w:spacing w:after="0"/>
        <w:rPr>
          <w:sz w:val="20"/>
          <w:szCs w:val="20"/>
          <w:color w:val="auto"/>
        </w:rPr>
      </w:pPr>
      <w:r>
        <w:rPr>
          <w:rFonts w:ascii="Arial" w:cs="Arial" w:eastAsia="Arial" w:hAnsi="Arial"/>
          <w:sz w:val="20"/>
          <w:szCs w:val="20"/>
          <w:color w:val="auto"/>
        </w:rPr>
        <w:t>as a Guarantor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Jonathan Richard Oppenheim</w:t>
      </w:r>
    </w:p>
    <w:p>
      <w:pPr>
        <w:ind w:left="3900"/>
        <w:spacing w:after="0" w:line="197" w:lineRule="auto"/>
        <w:rPr>
          <w:sz w:val="20"/>
          <w:szCs w:val="20"/>
          <w:color w:val="auto"/>
        </w:rPr>
      </w:pPr>
      <w:r>
        <w:rPr>
          <w:rFonts w:ascii="Arial" w:cs="Arial" w:eastAsia="Arial" w:hAnsi="Arial"/>
          <w:sz w:val="20"/>
          <w:szCs w:val="20"/>
          <w:color w:val="auto"/>
        </w:rPr>
        <w:t>Name: Jonathan Richard Oppenheim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7691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691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13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VERTEX PHARMACEUTICALS (IRELAND) LIMITED</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16"/>
          <w:szCs w:val="16"/>
          <w:color w:val="auto"/>
        </w:rPr>
        <w:t>a private company limited by shares incorporated and existing under the laws of Ireland and</w:t>
      </w:r>
    </w:p>
    <w:p>
      <w:pPr>
        <w:ind w:left="3900"/>
        <w:spacing w:after="0" w:line="202" w:lineRule="auto"/>
        <w:rPr>
          <w:sz w:val="20"/>
          <w:szCs w:val="20"/>
          <w:color w:val="auto"/>
        </w:rPr>
      </w:pPr>
      <w:r>
        <w:rPr>
          <w:rFonts w:ascii="Arial" w:cs="Arial" w:eastAsia="Arial" w:hAnsi="Arial"/>
          <w:sz w:val="20"/>
          <w:szCs w:val="20"/>
          <w:color w:val="auto"/>
        </w:rPr>
        <w:t>registered with company number 502558,</w:t>
      </w:r>
    </w:p>
    <w:p>
      <w:pPr>
        <w:ind w:left="3900"/>
        <w:spacing w:after="0"/>
        <w:rPr>
          <w:sz w:val="20"/>
          <w:szCs w:val="20"/>
          <w:color w:val="auto"/>
        </w:rPr>
      </w:pPr>
      <w:r>
        <w:rPr>
          <w:rFonts w:ascii="Arial" w:cs="Arial" w:eastAsia="Arial" w:hAnsi="Arial"/>
          <w:sz w:val="20"/>
          <w:szCs w:val="20"/>
          <w:color w:val="auto"/>
        </w:rPr>
        <w:t>as a Guarantor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Mark Organisak</w:t>
      </w:r>
    </w:p>
    <w:p>
      <w:pPr>
        <w:ind w:left="3900"/>
        <w:spacing w:after="0" w:line="197" w:lineRule="auto"/>
        <w:rPr>
          <w:sz w:val="20"/>
          <w:szCs w:val="20"/>
          <w:color w:val="auto"/>
        </w:rPr>
      </w:pPr>
      <w:r>
        <w:rPr>
          <w:rFonts w:ascii="Arial" w:cs="Arial" w:eastAsia="Arial" w:hAnsi="Arial"/>
          <w:sz w:val="20"/>
          <w:szCs w:val="20"/>
          <w:color w:val="auto"/>
        </w:rPr>
        <w:t>Name: Mark Organisak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093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9347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20" w:top="1380" w:right="399" w:bottom="1440" w:gutter="0" w:footer="0" w:header="0"/>
        </w:sectPr>
      </w:pPr>
    </w:p>
    <w:bookmarkStart w:id="195" w:name="page196"/>
    <w:bookmarkEnd w:id="195"/>
    <w:p>
      <w:pPr>
        <w:spacing w:after="0"/>
        <w:tabs>
          <w:tab w:leader="none" w:pos="2760" w:val="left"/>
        </w:tabs>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ind w:left="3900"/>
        <w:spacing w:after="0"/>
        <w:rPr>
          <w:sz w:val="20"/>
          <w:szCs w:val="20"/>
          <w:color w:val="auto"/>
        </w:rPr>
      </w:pPr>
      <w:r>
        <w:rPr>
          <w:rFonts w:ascii="Arial" w:cs="Arial" w:eastAsia="Arial" w:hAnsi="Arial"/>
          <w:sz w:val="19"/>
          <w:szCs w:val="19"/>
          <w:color w:val="auto"/>
        </w:rPr>
        <w:t>as the Administrative Agent</w:t>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Elizabeth Uribe</w:t>
      </w:r>
    </w:p>
    <w:p>
      <w:pPr>
        <w:ind w:left="3900"/>
        <w:spacing w:after="0" w:line="197" w:lineRule="auto"/>
        <w:rPr>
          <w:sz w:val="20"/>
          <w:szCs w:val="20"/>
          <w:color w:val="auto"/>
        </w:rPr>
      </w:pPr>
      <w:r>
        <w:rPr>
          <w:rFonts w:ascii="Arial" w:cs="Arial" w:eastAsia="Arial" w:hAnsi="Arial"/>
          <w:sz w:val="20"/>
          <w:szCs w:val="20"/>
          <w:color w:val="auto"/>
        </w:rPr>
        <w:t>Name: Elizabeth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067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jc w:val="right"/>
        <w:ind w:right="3859"/>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39"/>
          </w:cols>
          <w:pgMar w:left="320" w:top="1380" w:right="1440" w:bottom="1440" w:gutter="0" w:footer="0" w:header="0"/>
        </w:sectPr>
      </w:pPr>
    </w:p>
    <w:bookmarkStart w:id="196" w:name="page197"/>
    <w:bookmarkEnd w:id="196"/>
    <w:p>
      <w:pPr>
        <w:spacing w:after="0"/>
        <w:tabs>
          <w:tab w:leader="none" w:pos="1180" w:val="left"/>
        </w:tabs>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ind w:left="3900"/>
        <w:spacing w:after="0"/>
        <w:rPr>
          <w:sz w:val="20"/>
          <w:szCs w:val="20"/>
          <w:color w:val="auto"/>
        </w:rPr>
      </w:pPr>
      <w:r>
        <w:rPr>
          <w:rFonts w:ascii="Arial" w:cs="Arial" w:eastAsia="Arial" w:hAnsi="Arial"/>
          <w:sz w:val="16"/>
          <w:szCs w:val="16"/>
          <w:color w:val="auto"/>
        </w:rPr>
        <w:t>as a Lender, an L/C Issuer and the Swingline Lender</w:t>
      </w: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Irina Froment</w:t>
      </w:r>
    </w:p>
    <w:p>
      <w:pPr>
        <w:ind w:left="3900"/>
        <w:spacing w:after="0" w:line="197" w:lineRule="auto"/>
        <w:rPr>
          <w:sz w:val="20"/>
          <w:szCs w:val="20"/>
          <w:color w:val="auto"/>
        </w:rPr>
      </w:pPr>
      <w:r>
        <w:rPr>
          <w:rFonts w:ascii="Arial" w:cs="Arial" w:eastAsia="Arial" w:hAnsi="Arial"/>
          <w:sz w:val="20"/>
          <w:szCs w:val="20"/>
          <w:color w:val="auto"/>
        </w:rPr>
        <w:t>Name: Irina Froment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9702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702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39"/>
          </w:cols>
          <w:pgMar w:left="320" w:top="1380" w:right="1440" w:bottom="1440" w:gutter="0" w:footer="0" w:header="0"/>
        </w:sectPr>
      </w:pPr>
    </w:p>
    <w:bookmarkStart w:id="197" w:name="page198"/>
    <w:bookmarkEnd w:id="197"/>
    <w:p>
      <w:pPr>
        <w:ind w:left="390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6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Richard Rivera</w:t>
      </w:r>
    </w:p>
    <w:p>
      <w:pPr>
        <w:jc w:val="right"/>
        <w:ind w:right="4459"/>
        <w:spacing w:after="0" w:line="197" w:lineRule="auto"/>
        <w:rPr>
          <w:sz w:val="20"/>
          <w:szCs w:val="20"/>
          <w:color w:val="auto"/>
        </w:rPr>
      </w:pPr>
      <w:r>
        <w:rPr>
          <w:rFonts w:ascii="Arial" w:cs="Arial" w:eastAsia="Arial" w:hAnsi="Arial"/>
          <w:sz w:val="20"/>
          <w:szCs w:val="20"/>
          <w:color w:val="auto"/>
        </w:rPr>
        <w:t>Name: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0394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3949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39"/>
          </w:cols>
          <w:pgMar w:left="320" w:top="1380" w:right="1440" w:bottom="1440" w:gutter="0" w:footer="0" w:header="0"/>
        </w:sectPr>
      </w:pPr>
    </w:p>
    <w:bookmarkStart w:id="198" w:name="page199"/>
    <w:bookmarkEnd w:id="198"/>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JPMORGAN CHASE BANK, N.A.</w:t>
      </w:r>
      <w:r>
        <w:rPr>
          <w:rFonts w:ascii="Arial" w:cs="Arial" w:eastAsia="Arial" w:hAnsi="Arial"/>
          <w:sz w:val="19"/>
          <w:szCs w:val="19"/>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Charles W. Shaw</w:t>
      </w:r>
    </w:p>
    <w:p>
      <w:pPr>
        <w:ind w:left="3900"/>
        <w:spacing w:after="0" w:line="197" w:lineRule="auto"/>
        <w:rPr>
          <w:sz w:val="20"/>
          <w:szCs w:val="20"/>
          <w:color w:val="auto"/>
        </w:rPr>
      </w:pPr>
      <w:r>
        <w:rPr>
          <w:rFonts w:ascii="Arial" w:cs="Arial" w:eastAsia="Arial" w:hAnsi="Arial"/>
          <w:sz w:val="20"/>
          <w:szCs w:val="20"/>
          <w:color w:val="auto"/>
        </w:rPr>
        <w:t>Name: Charles W.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1398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39"/>
          </w:cols>
          <w:pgMar w:left="320" w:top="1440" w:right="1440" w:bottom="1440" w:gutter="0" w:footer="0" w:header="0"/>
        </w:sectPr>
      </w:pPr>
    </w:p>
    <w:bookmarkStart w:id="199" w:name="page200"/>
    <w:bookmarkEnd w:id="199"/>
    <w:p>
      <w:pPr>
        <w:spacing w:after="0" w:line="40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6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Katie Lundin</w:t>
      </w:r>
    </w:p>
    <w:p>
      <w:pPr>
        <w:jc w:val="right"/>
        <w:ind w:right="4619"/>
        <w:spacing w:after="0" w:line="197" w:lineRule="auto"/>
        <w:rPr>
          <w:sz w:val="20"/>
          <w:szCs w:val="20"/>
          <w:color w:val="auto"/>
        </w:rPr>
      </w:pPr>
      <w:r>
        <w:rPr>
          <w:rFonts w:ascii="Arial" w:cs="Arial" w:eastAsia="Arial" w:hAnsi="Arial"/>
          <w:sz w:val="20"/>
          <w:szCs w:val="20"/>
          <w:color w:val="auto"/>
        </w:rPr>
        <w:t>Name: Katie Lundin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9423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39"/>
          </w:cols>
          <w:pgMar w:left="320" w:top="1440" w:right="1440" w:bottom="1440" w:gutter="0" w:footer="0" w:header="0"/>
        </w:sectPr>
      </w:pPr>
    </w:p>
    <w:bookmarkStart w:id="200" w:name="page201"/>
    <w:bookmarkEnd w:id="200"/>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Kirk Tesch</w:t>
      </w:r>
    </w:p>
    <w:p>
      <w:pPr>
        <w:ind w:left="3900"/>
        <w:spacing w:after="0" w:line="197" w:lineRule="auto"/>
        <w:rPr>
          <w:sz w:val="20"/>
          <w:szCs w:val="20"/>
          <w:color w:val="auto"/>
        </w:rPr>
      </w:pPr>
      <w:r>
        <w:rPr>
          <w:rFonts w:ascii="Arial" w:cs="Arial" w:eastAsia="Arial" w:hAnsi="Arial"/>
          <w:sz w:val="20"/>
          <w:szCs w:val="20"/>
          <w:color w:val="auto"/>
        </w:rPr>
        <w:t>Name: Kirk Tesch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8286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39"/>
          </w:cols>
          <w:pgMar w:left="320" w:top="1440" w:right="1440" w:bottom="1440" w:gutter="0" w:footer="0" w:header="0"/>
        </w:sectPr>
      </w:pPr>
    </w:p>
    <w:bookmarkStart w:id="201" w:name="page202"/>
    <w:bookmarkEnd w:id="201"/>
    <w:p>
      <w:pPr>
        <w:spacing w:after="0" w:line="40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DNB CAPITAL LLC</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Kristie Li</w:t>
      </w:r>
    </w:p>
    <w:p>
      <w:pPr>
        <w:ind w:left="3900"/>
        <w:spacing w:after="0" w:line="197" w:lineRule="auto"/>
        <w:rPr>
          <w:sz w:val="20"/>
          <w:szCs w:val="20"/>
          <w:color w:val="auto"/>
        </w:rPr>
      </w:pPr>
      <w:r>
        <w:rPr>
          <w:rFonts w:ascii="Arial" w:cs="Arial" w:eastAsia="Arial" w:hAnsi="Arial"/>
          <w:sz w:val="20"/>
          <w:szCs w:val="20"/>
          <w:color w:val="auto"/>
        </w:rPr>
        <w:t>Name: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7607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jc w:val="right"/>
        <w:ind w:right="4059"/>
        <w:spacing w:after="0"/>
        <w:rPr>
          <w:sz w:val="20"/>
          <w:szCs w:val="20"/>
          <w:color w:val="auto"/>
        </w:rPr>
      </w:pPr>
      <w:r>
        <w:rPr>
          <w:rFonts w:ascii="Arial" w:cs="Arial" w:eastAsia="Arial" w:hAnsi="Arial"/>
          <w:sz w:val="20"/>
          <w:szCs w:val="20"/>
          <w:color w:val="auto"/>
        </w:rPr>
        <w:t>Title: Senior Vice President</w:t>
      </w:r>
    </w:p>
    <w:p>
      <w:pPr>
        <w:spacing w:after="0" w:line="16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Bret Douglas</w:t>
      </w:r>
    </w:p>
    <w:p>
      <w:pPr>
        <w:ind w:left="3900"/>
        <w:spacing w:after="0" w:line="197" w:lineRule="auto"/>
        <w:rPr>
          <w:sz w:val="20"/>
          <w:szCs w:val="20"/>
          <w:color w:val="auto"/>
        </w:rPr>
      </w:pPr>
      <w:r>
        <w:rPr>
          <w:rFonts w:ascii="Arial" w:cs="Arial" w:eastAsia="Arial" w:hAnsi="Arial"/>
          <w:sz w:val="20"/>
          <w:szCs w:val="20"/>
          <w:color w:val="auto"/>
        </w:rPr>
        <w:t>Name: Bret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9423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jc w:val="right"/>
        <w:ind w:right="4059"/>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39"/>
          </w:cols>
          <w:pgMar w:left="320" w:top="1440" w:right="1440"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MIZUHO BANK, LTD.</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John Davies</w:t>
      </w:r>
    </w:p>
    <w:p>
      <w:pPr>
        <w:ind w:left="3900"/>
        <w:spacing w:after="0" w:line="197" w:lineRule="auto"/>
        <w:rPr>
          <w:sz w:val="20"/>
          <w:szCs w:val="20"/>
          <w:color w:val="auto"/>
        </w:rPr>
      </w:pPr>
      <w:r>
        <w:rPr>
          <w:rFonts w:ascii="Arial" w:cs="Arial" w:eastAsia="Arial" w:hAnsi="Arial"/>
          <w:sz w:val="20"/>
          <w:szCs w:val="20"/>
          <w:color w:val="auto"/>
        </w:rPr>
        <w:t>Name: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8934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93445" cy="8255"/>
                    </a:xfrm>
                    <a:prstGeom prst="rect">
                      <a:avLst/>
                    </a:prstGeom>
                    <a:noFill/>
                  </pic:spPr>
                </pic:pic>
              </a:graphicData>
            </a:graphic>
          </wp:anchor>
        </w:drawing>
      </w:r>
    </w:p>
    <w:p>
      <w:pPr>
        <w:jc w:val="right"/>
        <w:ind w:right="4059"/>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39"/>
          </w:cols>
          <w:pgMar w:left="320" w:top="1440" w:right="1440"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MUFG BANK, LTD.</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Jack Lonker</w:t>
      </w:r>
    </w:p>
    <w:p>
      <w:pPr>
        <w:ind w:left="3900"/>
        <w:spacing w:after="0" w:line="197" w:lineRule="auto"/>
        <w:rPr>
          <w:sz w:val="20"/>
          <w:szCs w:val="20"/>
          <w:color w:val="auto"/>
        </w:rPr>
      </w:pPr>
      <w:r>
        <w:rPr>
          <w:rFonts w:ascii="Arial" w:cs="Arial" w:eastAsia="Arial" w:hAnsi="Arial"/>
          <w:sz w:val="20"/>
          <w:szCs w:val="20"/>
          <w:color w:val="auto"/>
        </w:rPr>
        <w:t>Name: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8934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93445" cy="8255"/>
                    </a:xfrm>
                    <a:prstGeom prst="rect">
                      <a:avLst/>
                    </a:prstGeom>
                    <a:noFill/>
                  </pic:spPr>
                </pic:pic>
              </a:graphicData>
            </a:graphic>
          </wp:anchor>
        </w:drawing>
      </w:r>
    </w:p>
    <w:p>
      <w:pPr>
        <w:jc w:val="right"/>
        <w:ind w:right="4059"/>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39"/>
          </w:cols>
          <w:pgMar w:left="320" w:top="1440" w:right="1440"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PNC BANK, NATIONAL ASSOCIATION</w:t>
      </w:r>
      <w:r>
        <w:rPr>
          <w:rFonts w:ascii="Arial" w:cs="Arial" w:eastAsia="Arial" w:hAnsi="Arial"/>
          <w:sz w:val="19"/>
          <w:szCs w:val="19"/>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Terence J. O’Malley</w:t>
      </w:r>
    </w:p>
    <w:p>
      <w:pPr>
        <w:ind w:left="3900"/>
        <w:spacing w:after="0" w:line="197" w:lineRule="auto"/>
        <w:rPr>
          <w:sz w:val="20"/>
          <w:szCs w:val="20"/>
          <w:color w:val="auto"/>
        </w:rPr>
      </w:pPr>
      <w:r>
        <w:rPr>
          <w:rFonts w:ascii="Arial" w:cs="Arial" w:eastAsia="Arial" w:hAnsi="Arial"/>
          <w:sz w:val="20"/>
          <w:szCs w:val="20"/>
          <w:color w:val="auto"/>
        </w:rPr>
        <w:t>Name: Terence J. O’Malley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3030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39"/>
          </w:cols>
          <w:pgMar w:left="320" w:top="1440" w:right="1440" w:bottom="1440" w:gutter="0" w:footer="0" w:header="0"/>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SOCIÉTÉ GÉNÉRALE</w:t>
      </w:r>
      <w:r>
        <w:rPr>
          <w:rFonts w:ascii="Arial" w:cs="Arial" w:eastAsia="Arial" w:hAnsi="Arial"/>
          <w:sz w:val="19"/>
          <w:szCs w:val="19"/>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Kimberly Metzger</w:t>
      </w:r>
    </w:p>
    <w:p>
      <w:pPr>
        <w:ind w:left="3900"/>
        <w:spacing w:after="0" w:line="219" w:lineRule="auto"/>
        <w:rPr>
          <w:sz w:val="20"/>
          <w:szCs w:val="20"/>
          <w:color w:val="auto"/>
        </w:rPr>
      </w:pPr>
      <w:r>
        <w:rPr>
          <w:rFonts w:ascii="Arial" w:cs="Arial" w:eastAsia="Arial" w:hAnsi="Arial"/>
          <w:sz w:val="18"/>
          <w:szCs w:val="18"/>
          <w:color w:val="auto"/>
        </w:rPr>
        <w:t>Name: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2071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39"/>
          </w:cols>
          <w:pgMar w:left="320" w:top="1440" w:right="1440"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SUMITOMO MITSUI BANKING CORPORATION</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Gail Motonaga</w:t>
      </w:r>
    </w:p>
    <w:p>
      <w:pPr>
        <w:ind w:left="3900"/>
        <w:spacing w:after="0" w:line="197" w:lineRule="auto"/>
        <w:rPr>
          <w:sz w:val="20"/>
          <w:szCs w:val="20"/>
          <w:color w:val="auto"/>
        </w:rPr>
      </w:pPr>
      <w:r>
        <w:rPr>
          <w:rFonts w:ascii="Arial" w:cs="Arial" w:eastAsia="Arial" w:hAnsi="Arial"/>
          <w:sz w:val="20"/>
          <w:szCs w:val="20"/>
          <w:color w:val="auto"/>
        </w:rPr>
        <w:t>Name: Gail Motonaga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0331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39"/>
          </w:cols>
          <w:pgMar w:left="320" w:top="1440" w:right="1440" w:bottom="1440" w:gutter="0" w:footer="0" w:header="0"/>
        </w:sectPr>
      </w:pPr>
    </w:p>
    <w:bookmarkStart w:id="207" w:name="page208"/>
    <w:bookmarkEnd w:id="207"/>
    <w:p>
      <w:pPr>
        <w:ind w:left="278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ind w:left="278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Maria Massimino</w:t>
      </w:r>
    </w:p>
    <w:p>
      <w:pPr>
        <w:ind w:left="2780"/>
        <w:spacing w:after="0" w:line="197" w:lineRule="auto"/>
        <w:rPr>
          <w:sz w:val="20"/>
          <w:szCs w:val="20"/>
          <w:color w:val="auto"/>
        </w:rPr>
      </w:pPr>
      <w:r>
        <w:rPr>
          <w:rFonts w:ascii="Arial" w:cs="Arial" w:eastAsia="Arial" w:hAnsi="Arial"/>
          <w:sz w:val="20"/>
          <w:szCs w:val="20"/>
          <w:color w:val="auto"/>
        </w:rPr>
        <w:t>Name: Maria Massimino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165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VERTEX</w:t>
      </w:r>
    </w:p>
    <w:p>
      <w:pPr>
        <w:jc w:val="right"/>
        <w:spacing w:after="0"/>
        <w:rPr>
          <w:sz w:val="20"/>
          <w:szCs w:val="20"/>
          <w:color w:val="auto"/>
        </w:rPr>
      </w:pPr>
      <w:r>
        <w:rPr>
          <w:rFonts w:ascii="Arial" w:cs="Arial" w:eastAsia="Arial" w:hAnsi="Arial"/>
          <w:sz w:val="14"/>
          <w:szCs w:val="14"/>
          <w:color w:val="auto"/>
        </w:rPr>
        <w:t>CREDIT AGREEMENT</w:t>
      </w:r>
    </w:p>
    <w:p>
      <w:pPr>
        <w:sectPr>
          <w:pgSz w:w="11900" w:h="16838" w:orient="portrait"/>
          <w:cols w:equalWidth="0" w:num="1">
            <w:col w:w="10120"/>
          </w:cols>
          <w:pgMar w:left="1440" w:top="1380"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Reshma Kewalramani, certify that:</w:t>
      </w:r>
    </w:p>
    <w:p>
      <w:pPr>
        <w:spacing w:after="0" w:line="104" w:lineRule="exact"/>
        <w:rPr>
          <w:sz w:val="20"/>
          <w:szCs w:val="20"/>
          <w:color w:val="auto"/>
        </w:rPr>
      </w:pPr>
    </w:p>
    <w:p>
      <w:pPr>
        <w:ind w:left="660" w:hanging="652"/>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Pharmaceuticals Incorporated;</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right="220" w:hanging="644"/>
        <w:spacing w:after="0" w:line="334" w:lineRule="auto"/>
        <w:tabs>
          <w:tab w:leader="none" w:pos="129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2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34" w:lineRule="auto"/>
        <w:tabs>
          <w:tab w:leader="none" w:pos="129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77" w:lineRule="auto"/>
        <w:tabs>
          <w:tab w:leader="none" w:pos="12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72" w:lineRule="exact"/>
        <w:rPr>
          <w:sz w:val="20"/>
          <w:szCs w:val="20"/>
          <w:color w:val="auto"/>
        </w:rPr>
      </w:pPr>
    </w:p>
    <w:p>
      <w:pPr>
        <w:ind w:left="40"/>
        <w:spacing w:after="0"/>
        <w:tabs>
          <w:tab w:leader="none" w:pos="620" w:val="left"/>
          <w:tab w:leader="none" w:pos="3860" w:val="left"/>
        </w:tabs>
        <w:rPr>
          <w:sz w:val="20"/>
          <w:szCs w:val="20"/>
          <w:color w:val="auto"/>
        </w:rPr>
      </w:pPr>
      <w:r>
        <w:rPr>
          <w:rFonts w:ascii="Arial" w:cs="Arial" w:eastAsia="Arial" w:hAnsi="Arial"/>
          <w:sz w:val="18"/>
          <w:szCs w:val="18"/>
          <w:color w:val="auto"/>
        </w:rPr>
        <w:t>Date:</w:t>
        <w:tab/>
        <w:t>August 5, 2022</w:t>
      </w:r>
      <w:r>
        <w:rPr>
          <w:sz w:val="20"/>
          <w:szCs w:val="20"/>
          <w:color w:val="auto"/>
        </w:rPr>
        <w:tab/>
      </w:r>
      <w:r>
        <w:rPr>
          <w:rFonts w:ascii="Arial" w:cs="Arial" w:eastAsia="Arial" w:hAnsi="Arial"/>
          <w:sz w:val="16"/>
          <w:szCs w:val="16"/>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716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Reshma Kewalramani</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985"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Charles F. Wagner, Jr., certify that:</w:t>
      </w:r>
    </w:p>
    <w:p>
      <w:pPr>
        <w:spacing w:after="0" w:line="104"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Pharmaceuticals Incorporated;</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right="220" w:hanging="644"/>
        <w:spacing w:after="0" w:line="334" w:lineRule="auto"/>
        <w:tabs>
          <w:tab w:leader="none" w:pos="129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2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34" w:lineRule="auto"/>
        <w:tabs>
          <w:tab w:leader="none" w:pos="129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77" w:lineRule="auto"/>
        <w:tabs>
          <w:tab w:leader="none" w:pos="12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72" w:lineRule="exact"/>
        <w:rPr>
          <w:sz w:val="20"/>
          <w:szCs w:val="20"/>
          <w:color w:val="auto"/>
        </w:rPr>
      </w:pPr>
    </w:p>
    <w:p>
      <w:pPr>
        <w:ind w:left="40"/>
        <w:spacing w:after="0"/>
        <w:tabs>
          <w:tab w:leader="none" w:pos="620" w:val="left"/>
          <w:tab w:leader="none" w:pos="3860" w:val="left"/>
        </w:tabs>
        <w:rPr>
          <w:sz w:val="20"/>
          <w:szCs w:val="20"/>
          <w:color w:val="auto"/>
        </w:rPr>
      </w:pPr>
      <w:r>
        <w:rPr>
          <w:rFonts w:ascii="Arial" w:cs="Arial" w:eastAsia="Arial" w:hAnsi="Arial"/>
          <w:sz w:val="18"/>
          <w:szCs w:val="18"/>
          <w:color w:val="auto"/>
        </w:rPr>
        <w:t>Date:</w:t>
        <w:tab/>
        <w:t>August 5, 2022</w:t>
      </w:r>
      <w:r>
        <w:rPr>
          <w:sz w:val="20"/>
          <w:szCs w:val="20"/>
          <w:color w:val="auto"/>
        </w:rPr>
        <w:tab/>
      </w:r>
      <w:r>
        <w:rPr>
          <w:rFonts w:ascii="Arial" w:cs="Arial" w:eastAsia="Arial" w:hAnsi="Arial"/>
          <w:sz w:val="15"/>
          <w:szCs w:val="15"/>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716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5"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CEO/CFO CERTIFICATION</w:t>
      </w:r>
    </w:p>
    <w:p>
      <w:pPr>
        <w:spacing w:after="0" w:line="10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 the Quarterly Report on Form 10-Q for the quarter ended June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0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August 5, 2022</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Reshma Kewalramani</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August 5, 2022</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4877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Charles F. Wagner, Jr.</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1."/>
      <w:numFmt w:val="upperLetter"/>
      <w:start w:val="4"/>
    </w:lvl>
  </w:abstractNum>
  <w:abstractNum w:abstractNumId="3">
    <w:nsid w:val="2A082C70"/>
    <w:multiLevelType w:val="hybridMultilevel"/>
    <w:lvl w:ilvl="0">
      <w:lvlJc w:val="left"/>
      <w:lvlText w:val="%1."/>
      <w:numFmt w:val="upperLetter"/>
      <w:start w:val="7"/>
    </w:lvl>
  </w:abstractNum>
  <w:abstractNum w:abstractNumId="4">
    <w:nsid w:val="5EC6AFD4"/>
    <w:multiLevelType w:val="hybridMultilevel"/>
    <w:lvl w:ilvl="0">
      <w:lvlJc w:val="left"/>
      <w:lvlText w:val="%1."/>
      <w:numFmt w:val="upperLetter"/>
      <w:start w:val="9"/>
    </w:lvl>
  </w:abstractNum>
  <w:abstractNum w:abstractNumId="5">
    <w:nsid w:val="19E21BB2"/>
    <w:multiLevelType w:val="hybridMultilevel"/>
    <w:lvl w:ilvl="0">
      <w:lvlJc w:val="left"/>
      <w:lvlText w:val="%1."/>
      <w:numFmt w:val="upperLetter"/>
      <w:start w:val="10"/>
    </w:lvl>
  </w:abstractNum>
  <w:abstractNum w:abstractNumId="6">
    <w:nsid w:val="75E0858A"/>
    <w:multiLevelType w:val="hybridMultilevel"/>
    <w:lvl w:ilvl="0">
      <w:lvlJc w:val="left"/>
      <w:lvlText w:val="•"/>
      <w:numFmt w:val="bullet"/>
      <w:start w:val="1"/>
    </w:lvl>
  </w:abstractNum>
  <w:abstractNum w:abstractNumId="7">
    <w:nsid w:val="57A61A29"/>
    <w:multiLevelType w:val="hybridMultilevel"/>
    <w:lvl w:ilvl="0">
      <w:lvlJc w:val="left"/>
      <w:lvlText w:val="•"/>
      <w:numFmt w:val="bullet"/>
      <w:start w:val="1"/>
    </w:lvl>
  </w:abstractNum>
  <w:abstractNum w:abstractNumId="8">
    <w:nsid w:val="5399C654"/>
    <w:multiLevelType w:val="hybridMultilevel"/>
    <w:lvl w:ilvl="0">
      <w:lvlJc w:val="left"/>
      <w:lvlText w:val="•"/>
      <w:numFmt w:val="bullet"/>
      <w:start w:val="1"/>
    </w:lvl>
  </w:abstractNum>
  <w:abstractNum w:abstractNumId="9">
    <w:nsid w:val="20EE1348"/>
    <w:multiLevelType w:val="hybridMultilevel"/>
    <w:lvl w:ilvl="0">
      <w:lvlJc w:val="left"/>
      <w:lvlText w:val="•"/>
      <w:numFmt w:val="bullet"/>
      <w:start w:val="1"/>
    </w:lvl>
  </w:abstractNum>
  <w:abstractNum w:abstractNumId="10">
    <w:nsid w:val="4427069A"/>
    <w:multiLevelType w:val="hybridMultilevel"/>
    <w:lvl w:ilvl="0">
      <w:lvlJc w:val="left"/>
      <w:lvlText w:val="•"/>
      <w:numFmt w:val="bullet"/>
      <w:start w:val="1"/>
    </w:lvl>
  </w:abstractNum>
  <w:abstractNum w:abstractNumId="11">
    <w:nsid w:val="B37E80A"/>
    <w:multiLevelType w:val="hybridMultilevel"/>
    <w:lvl w:ilvl="0">
      <w:lvlJc w:val="left"/>
      <w:lvlText w:val="•"/>
      <w:numFmt w:val="bullet"/>
      <w:start w:val="1"/>
    </w:lvl>
  </w:abstractNum>
  <w:abstractNum w:abstractNumId="12">
    <w:nsid w:val="2157F6BC"/>
    <w:multiLevelType w:val="hybridMultilevel"/>
    <w:lvl w:ilvl="0">
      <w:lvlJc w:val="left"/>
      <w:lvlText w:val="•"/>
      <w:numFmt w:val="bullet"/>
      <w:start w:val="1"/>
    </w:lvl>
  </w:abstractNum>
  <w:abstractNum w:abstractNumId="13">
    <w:nsid w:val="704E1DD5"/>
    <w:multiLevelType w:val="hybridMultilevel"/>
    <w:lvl w:ilvl="0">
      <w:lvlJc w:val="left"/>
      <w:lvlText w:val="•"/>
      <w:numFmt w:val="bullet"/>
      <w:start w:val="1"/>
    </w:lvl>
  </w:abstractNum>
  <w:abstractNum w:abstractNumId="14">
    <w:nsid w:val="57D2F10E"/>
    <w:multiLevelType w:val="hybridMultilevel"/>
    <w:lvl w:ilvl="0">
      <w:lvlJc w:val="left"/>
      <w:lvlText w:val="•"/>
      <w:numFmt w:val="bullet"/>
      <w:start w:val="1"/>
    </w:lvl>
  </w:abstractNum>
  <w:abstractNum w:abstractNumId="15">
    <w:nsid w:val="BFFAE18"/>
    <w:multiLevelType w:val="hybridMultilevel"/>
    <w:lvl w:ilvl="0">
      <w:lvlJc w:val="left"/>
      <w:lvlText w:val="•"/>
      <w:numFmt w:val="bullet"/>
      <w:start w:val="1"/>
    </w:lvl>
  </w:abstractNum>
  <w:abstractNum w:abstractNumId="16">
    <w:nsid w:val="E3E47A8"/>
    <w:multiLevelType w:val="hybridMultilevel"/>
    <w:lvl w:ilvl="0">
      <w:lvlJc w:val="left"/>
      <w:lvlText w:val="•"/>
      <w:numFmt w:val="bullet"/>
      <w:start w:val="1"/>
    </w:lvl>
  </w:abstractNum>
  <w:abstractNum w:abstractNumId="17">
    <w:nsid w:val="2E48F044"/>
    <w:multiLevelType w:val="hybridMultilevel"/>
    <w:lvl w:ilvl="0">
      <w:lvlJc w:val="left"/>
      <w:lvlText w:val="•"/>
      <w:numFmt w:val="bullet"/>
      <w:start w:val="1"/>
    </w:lvl>
  </w:abstractNum>
  <w:abstractNum w:abstractNumId="18">
    <w:nsid w:val="49D0FEAC"/>
    <w:multiLevelType w:val="hybridMultilevel"/>
    <w:lvl w:ilvl="0">
      <w:lvlJc w:val="left"/>
      <w:lvlText w:val="•"/>
      <w:numFmt w:val="bullet"/>
      <w:start w:val="1"/>
    </w:lvl>
  </w:abstractNum>
  <w:abstractNum w:abstractNumId="19">
    <w:nsid w:val="4BEE5A5B"/>
    <w:multiLevelType w:val="hybridMultilevel"/>
    <w:lvl w:ilvl="0">
      <w:lvlJc w:val="left"/>
      <w:lvlText w:val="(%1)"/>
      <w:numFmt w:val="lowerLetter"/>
      <w:start w:val="25"/>
    </w:lvl>
  </w:abstractNum>
  <w:abstractNum w:abstractNumId="20">
    <w:nsid w:val="5551B9F3"/>
    <w:multiLevelType w:val="hybridMultilevel"/>
    <w:lvl w:ilvl="0">
      <w:lvlJc w:val="left"/>
      <w:lvlText w:val="(%1)"/>
      <w:numFmt w:val="lowerLetter"/>
      <w:start w:val="2"/>
    </w:lvl>
  </w:abstractNum>
  <w:abstractNum w:abstractNumId="21">
    <w:nsid w:val="24F6AB8E"/>
    <w:multiLevelType w:val="hybridMultilevel"/>
    <w:lvl w:ilvl="0">
      <w:lvlJc w:val="left"/>
      <w:lvlText w:val="(%1)"/>
      <w:numFmt w:val="lowerLetter"/>
      <w:start w:val="1"/>
    </w:lvl>
  </w:abstractNum>
  <w:abstractNum w:abstractNumId="22">
    <w:nsid w:val="634C574C"/>
    <w:multiLevelType w:val="hybridMultilevel"/>
    <w:lvl w:ilvl="0">
      <w:lvlJc w:val="left"/>
      <w:lvlText w:val="(%1)"/>
      <w:numFmt w:val="lowerLetter"/>
      <w:start w:val="5"/>
    </w:lvl>
  </w:abstractNum>
  <w:abstractNum w:abstractNumId="23">
    <w:nsid w:val="24E99DD7"/>
    <w:multiLevelType w:val="hybridMultilevel"/>
    <w:lvl w:ilvl="0">
      <w:lvlJc w:val="left"/>
      <w:lvlText w:val="(%1)"/>
      <w:numFmt w:val="lowerLetter"/>
      <w:start w:val="1"/>
    </w:lvl>
    <w:lvl w:ilvl="1">
      <w:lvlJc w:val="left"/>
      <w:lvlText w:val="(%2)"/>
      <w:numFmt w:val="lowerRoman"/>
      <w:start w:val="1"/>
    </w:lvl>
  </w:abstractNum>
  <w:abstractNum w:abstractNumId="24">
    <w:nsid w:val="2A31B62D"/>
    <w:multiLevelType w:val="hybridMultilevel"/>
    <w:lvl w:ilvl="0">
      <w:lvlJc w:val="left"/>
      <w:lvlText w:val="%1"/>
      <w:numFmt w:val="lowerLetter"/>
      <w:start w:val="1"/>
    </w:lvl>
    <w:lvl w:ilvl="1">
      <w:lvlJc w:val="left"/>
      <w:lvlText w:val="(%2)"/>
      <w:numFmt w:val="lowerRoman"/>
      <w:start w:val="10"/>
    </w:lvl>
  </w:abstractNum>
  <w:abstractNum w:abstractNumId="25">
    <w:nsid w:val="1849C29B"/>
    <w:multiLevelType w:val="hybridMultilevel"/>
    <w:lvl w:ilvl="0">
      <w:lvlJc w:val="left"/>
      <w:lvlText w:val="(%1)"/>
      <w:numFmt w:val="lowerLetter"/>
      <w:start w:val="3"/>
    </w:lvl>
    <w:lvl w:ilvl="1">
      <w:lvlJc w:val="left"/>
      <w:lvlText w:val="%2"/>
      <w:numFmt w:val="lowerRoman"/>
      <w:start w:val="1"/>
    </w:lvl>
  </w:abstractNum>
  <w:abstractNum w:abstractNumId="26">
    <w:nsid w:val="7DFF9D09"/>
    <w:multiLevelType w:val="hybridMultilevel"/>
    <w:lvl w:ilvl="0">
      <w:lvlJc w:val="left"/>
      <w:lvlText w:val="(%1)"/>
      <w:numFmt w:val="lowerLetter"/>
      <w:start w:val="2"/>
    </w:lvl>
  </w:abstractNum>
  <w:abstractNum w:abstractNumId="27">
    <w:nsid w:val="754342"/>
    <w:multiLevelType w:val="hybridMultilevel"/>
    <w:lvl w:ilvl="0">
      <w:lvlJc w:val="left"/>
      <w:lvlText w:val="(%1)"/>
      <w:numFmt w:val="lowerLetter"/>
      <w:start w:val="3"/>
    </w:lvl>
  </w:abstractNum>
  <w:abstractNum w:abstractNumId="28">
    <w:nsid w:val="69E7F3E5"/>
    <w:multiLevelType w:val="hybridMultilevel"/>
    <w:lvl w:ilvl="0">
      <w:lvlJc w:val="left"/>
      <w:lvlText w:val="(%1)"/>
      <w:numFmt w:val="lowerLetter"/>
      <w:start w:val="4"/>
    </w:lvl>
  </w:abstractNum>
  <w:abstractNum w:abstractNumId="29">
    <w:nsid w:val="2A6DE806"/>
    <w:multiLevelType w:val="hybridMultilevel"/>
    <w:lvl w:ilvl="0">
      <w:lvlJc w:val="left"/>
      <w:lvlText w:val="(%1)"/>
      <w:numFmt w:val="lowerRoman"/>
      <w:start w:val="2"/>
    </w:lvl>
  </w:abstractNum>
  <w:abstractNum w:abstractNumId="30">
    <w:nsid w:val="1816F8C4"/>
    <w:multiLevelType w:val="hybridMultilevel"/>
    <w:lvl w:ilvl="0">
      <w:lvlJc w:val="left"/>
      <w:lvlText w:val="(%1)"/>
      <w:numFmt w:val="lowerRoman"/>
      <w:start w:val="2"/>
    </w:lvl>
  </w:abstractNum>
  <w:abstractNum w:abstractNumId="31">
    <w:nsid w:val="37DF2233"/>
    <w:multiLevelType w:val="hybridMultilevel"/>
    <w:lvl w:ilvl="0">
      <w:lvlJc w:val="left"/>
      <w:lvlText w:val="(%1)"/>
      <w:numFmt w:val="lowerLetter"/>
      <w:start w:val="2"/>
    </w:lvl>
  </w:abstractNum>
  <w:abstractNum w:abstractNumId="32">
    <w:nsid w:val="7AB49DAF"/>
    <w:multiLevelType w:val="hybridMultilevel"/>
    <w:lvl w:ilvl="0">
      <w:lvlJc w:val="left"/>
      <w:lvlText w:val="(%1)"/>
      <w:numFmt w:val="lowerRoman"/>
      <w:start w:val="1"/>
    </w:lvl>
  </w:abstractNum>
  <w:abstractNum w:abstractNumId="33">
    <w:nsid w:val="759F82CD"/>
    <w:multiLevelType w:val="hybridMultilevel"/>
    <w:lvl w:ilvl="0">
      <w:lvlJc w:val="left"/>
      <w:lvlText w:val="(%1)"/>
      <w:numFmt w:val="lowerLetter"/>
      <w:start w:val="1"/>
    </w:lvl>
  </w:abstractNum>
  <w:abstractNum w:abstractNumId="34">
    <w:nsid w:val="61E74EA3"/>
    <w:multiLevelType w:val="hybridMultilevel"/>
    <w:lvl w:ilvl="0">
      <w:lvlJc w:val="left"/>
      <w:lvlText w:val="(%1)"/>
      <w:numFmt w:val="lowerLetter"/>
      <w:start w:val="1"/>
    </w:lvl>
  </w:abstractNum>
  <w:abstractNum w:abstractNumId="35">
    <w:nsid w:val="597B4D84"/>
    <w:multiLevelType w:val="hybridMultilevel"/>
    <w:lvl w:ilvl="0">
      <w:lvlJc w:val="left"/>
      <w:lvlText w:val="(%1)"/>
      <w:numFmt w:val="lowerLetter"/>
      <w:start w:val="3"/>
    </w:lvl>
  </w:abstractNum>
  <w:abstractNum w:abstractNumId="36">
    <w:nsid w:val="F819E7F"/>
    <w:multiLevelType w:val="hybridMultilevel"/>
    <w:lvl w:ilvl="0">
      <w:lvlJc w:val="left"/>
      <w:lvlText w:val="(%1)"/>
      <w:numFmt w:val="lowerLetter"/>
      <w:start w:val="3"/>
    </w:lvl>
  </w:abstractNum>
  <w:abstractNum w:abstractNumId="37">
    <w:nsid w:val="57C7D42D"/>
    <w:multiLevelType w:val="hybridMultilevel"/>
    <w:lvl w:ilvl="0">
      <w:lvlJc w:val="left"/>
      <w:lvlText w:val="(%1)"/>
      <w:numFmt w:val="lowerLetter"/>
      <w:start w:val="1"/>
    </w:lvl>
  </w:abstractNum>
  <w:abstractNum w:abstractNumId="38">
    <w:nsid w:val="312167AD"/>
    <w:multiLevelType w:val="hybridMultilevel"/>
    <w:lvl w:ilvl="0">
      <w:lvlJc w:val="left"/>
      <w:lvlText w:val="(%1)"/>
      <w:numFmt w:val="lowerLetter"/>
      <w:start w:val="1"/>
    </w:lvl>
  </w:abstractNum>
  <w:abstractNum w:abstractNumId="39">
    <w:nsid w:val="631B64D4"/>
    <w:multiLevelType w:val="hybridMultilevel"/>
    <w:lvl w:ilvl="0">
      <w:lvlJc w:val="left"/>
      <w:lvlText w:val="(%1)"/>
      <w:numFmt w:val="decimal"/>
      <w:start w:val="1"/>
    </w:lvl>
  </w:abstractNum>
  <w:abstractNum w:abstractNumId="40">
    <w:nsid w:val="78B5E776"/>
    <w:multiLevelType w:val="hybridMultilevel"/>
    <w:lvl w:ilvl="0">
      <w:lvlJc w:val="left"/>
      <w:lvlText w:val="(%1)"/>
      <w:numFmt w:val="upperLetter"/>
      <w:start w:val="2"/>
    </w:lvl>
    <w:lvl w:ilvl="1">
      <w:lvlJc w:val="left"/>
      <w:lvlText w:val="(%2)"/>
      <w:numFmt w:val="decimal"/>
      <w:start w:val="2"/>
    </w:lvl>
  </w:abstractNum>
  <w:abstractNum w:abstractNumId="41">
    <w:nsid w:val="75486E47"/>
    <w:multiLevelType w:val="hybridMultilevel"/>
    <w:lvl w:ilvl="0">
      <w:lvlJc w:val="left"/>
      <w:lvlText w:val="(%1)"/>
      <w:numFmt w:val="lowerLetter"/>
      <w:start w:val="1"/>
    </w:lvl>
  </w:abstractNum>
  <w:abstractNum w:abstractNumId="42">
    <w:nsid w:val="6E534CDE"/>
    <w:multiLevelType w:val="hybridMultilevel"/>
    <w:lvl w:ilvl="0">
      <w:lvlJc w:val="left"/>
      <w:lvlText w:val="(%1)"/>
      <w:numFmt w:val="lowerLetter"/>
      <w:start w:val="2"/>
    </w:lvl>
  </w:abstractNum>
  <w:abstractNum w:abstractNumId="43">
    <w:nsid w:val="1A0DDE32"/>
    <w:multiLevelType w:val="hybridMultilevel"/>
    <w:lvl w:ilvl="0">
      <w:lvlJc w:val="left"/>
      <w:lvlText w:val="(%1)"/>
      <w:numFmt w:val="lowerLetter"/>
      <w:start w:val="1"/>
    </w:lvl>
  </w:abstractNum>
  <w:abstractNum w:abstractNumId="44">
    <w:nsid w:val="65968C1C"/>
    <w:multiLevelType w:val="hybridMultilevel"/>
    <w:lvl w:ilvl="0">
      <w:lvlJc w:val="left"/>
      <w:lvlText w:val="(%1)"/>
      <w:numFmt w:val="lowerLetter"/>
      <w:start w:val="4"/>
    </w:lvl>
  </w:abstractNum>
  <w:abstractNum w:abstractNumId="45">
    <w:nsid w:val="46263DEC"/>
    <w:multiLevelType w:val="hybridMultilevel"/>
    <w:lvl w:ilvl="0">
      <w:lvlJc w:val="left"/>
      <w:lvlText w:val="(%1)"/>
      <w:numFmt w:val="lowerLetter"/>
      <w:start w:val="1"/>
    </w:lvl>
  </w:abstractNum>
  <w:abstractNum w:abstractNumId="46">
    <w:nsid w:val="260D8C4A"/>
    <w:multiLevelType w:val="hybridMultilevel"/>
    <w:lvl w:ilvl="0">
      <w:lvlJc w:val="left"/>
      <w:lvlText w:val="(%1)"/>
      <w:numFmt w:val="lowerLetter"/>
      <w:start w:val="3"/>
    </w:lvl>
  </w:abstractNum>
  <w:abstractNum w:abstractNumId="47">
    <w:nsid w:val="73D4D3C4"/>
    <w:multiLevelType w:val="hybridMultilevel"/>
    <w:lvl w:ilvl="0">
      <w:lvlJc w:val="left"/>
      <w:lvlText w:val="(%1)"/>
      <w:numFmt w:val="lowerLetter"/>
      <w:start w:val="1"/>
    </w:lvl>
  </w:abstractNum>
  <w:abstractNum w:abstractNumId="48">
    <w:nsid w:val="746F2E30"/>
    <w:multiLevelType w:val="hybridMultilevel"/>
    <w:lvl w:ilvl="0">
      <w:lvlJc w:val="left"/>
      <w:lvlText w:val="(%1)"/>
      <w:numFmt w:val="lowerLetter"/>
      <w:start w:val="3"/>
    </w:lvl>
  </w:abstractNum>
  <w:abstractNum w:abstractNumId="49">
    <w:nsid w:val="6FDE8AF6"/>
    <w:multiLevelType w:val="hybridMultilevel"/>
    <w:lvl w:ilvl="0">
      <w:lvlJc w:val="left"/>
      <w:lvlText w:val="(%1)"/>
      <w:numFmt w:val="lowerLetter"/>
      <w:start w:val="1"/>
    </w:lvl>
  </w:abstractNum>
  <w:abstractNum w:abstractNumId="50">
    <w:nsid w:val="3FC32E20"/>
    <w:multiLevelType w:val="hybridMultilevel"/>
    <w:lvl w:ilvl="0">
      <w:lvlJc w:val="left"/>
      <w:lvlText w:val="1"/>
      <w:numFmt w:val="bullet"/>
      <w:start w:val="1"/>
    </w:lvl>
  </w:abstractNum>
  <w:abstractNum w:abstractNumId="51">
    <w:nsid w:val="49C0E823"/>
    <w:multiLevelType w:val="hybridMultilevel"/>
    <w:lvl w:ilvl="0">
      <w:lvlJc w:val="left"/>
      <w:lvlText w:val="2"/>
      <w:numFmt w:val="bullet"/>
      <w:start w:val="1"/>
    </w:lvl>
    <w:lvl w:ilvl="1">
      <w:lvlJc w:val="left"/>
      <w:lvlText w:val="(%2)"/>
      <w:numFmt w:val="lowerLetter"/>
      <w:start w:val="1"/>
    </w:lvl>
  </w:abstractNum>
  <w:abstractNum w:abstractNumId="52">
    <w:nsid w:val="14D53685"/>
    <w:multiLevelType w:val="hybridMultilevel"/>
    <w:lvl w:ilvl="0">
      <w:lvlJc w:val="left"/>
      <w:lvlText w:val="(%1)"/>
      <w:numFmt w:val="lowerLetter"/>
      <w:start w:val="2"/>
    </w:lvl>
  </w:abstractNum>
  <w:abstractNum w:abstractNumId="53">
    <w:nsid w:val="230F856C"/>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4">
    <w:nsid w:val="6EAA85FB"/>
    <w:multiLevelType w:val="hybridMultilevel"/>
    <w:lvl w:ilvl="0">
      <w:lvlJc w:val="left"/>
      <w:lvlText w:val="3"/>
      <w:numFmt w:val="bullet"/>
      <w:start w:val="1"/>
    </w:lvl>
    <w:lvl w:ilvl="1">
      <w:lvlJc w:val="left"/>
      <w:lvlText w:val="(%2)"/>
      <w:numFmt w:val="lowerLetter"/>
      <w:start w:val="24"/>
    </w:lvl>
    <w:lvl w:ilvl="2">
      <w:lvlJc w:val="left"/>
      <w:lvlText w:val="(%3)"/>
      <w:numFmt w:val="lowerRoman"/>
      <w:start w:val="2"/>
    </w:lvl>
    <w:lvl w:ilvl="3">
      <w:lvlJc w:val="left"/>
      <w:lvlText w:val="(%4)"/>
      <w:numFmt w:val="upperLetter"/>
      <w:start w:val="1"/>
    </w:lvl>
  </w:abstractNum>
  <w:abstractNum w:abstractNumId="55">
    <w:nsid w:val="3F06ECB2"/>
    <w:multiLevelType w:val="hybridMultilevel"/>
    <w:lvl w:ilvl="0">
      <w:lvlJc w:val="left"/>
      <w:lvlText w:val="%1"/>
      <w:numFmt w:val="lowerRoman"/>
      <w:start w:val="1"/>
    </w:lvl>
    <w:lvl w:ilvl="1">
      <w:lvlJc w:val="left"/>
      <w:lvlText w:val="(%2)"/>
      <w:numFmt w:val="upperLetter"/>
      <w:start w:val="2"/>
    </w:lvl>
  </w:abstractNum>
  <w:abstractNum w:abstractNumId="56">
    <w:nsid w:val="3B594807"/>
    <w:multiLevelType w:val="hybridMultilevel"/>
    <w:lvl w:ilvl="0">
      <w:lvlJc w:val="left"/>
      <w:lvlText w:val="(%1)"/>
      <w:numFmt w:val="lowerRoman"/>
      <w:start w:val="4"/>
    </w:lvl>
    <w:lvl w:ilvl="1">
      <w:lvlJc w:val="left"/>
      <w:lvlText w:val="%2"/>
      <w:numFmt w:val="upperLetter"/>
      <w:start w:val="1"/>
    </w:lvl>
  </w:abstractNum>
  <w:abstractNum w:abstractNumId="57">
    <w:nsid w:val="6CAA2304"/>
    <w:multiLevelType w:val="hybridMultilevel"/>
    <w:lvl w:ilvl="0">
      <w:lvlJc w:val="left"/>
      <w:lvlText w:val="(%1)"/>
      <w:numFmt w:val="lowerLetter"/>
      <w:start w:val="2"/>
    </w:lvl>
    <w:lvl w:ilvl="1">
      <w:lvlJc w:val="left"/>
      <w:lvlText w:val="(%2)"/>
      <w:numFmt w:val="lowerRoman"/>
      <w:start w:val="1"/>
    </w:lvl>
  </w:abstractNum>
  <w:abstractNum w:abstractNumId="58">
    <w:nsid w:val="3F7C2F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59">
    <w:nsid w:val="25413BE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0">
    <w:nsid w:val="17180B0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61">
    <w:nsid w:val="579328B9"/>
    <w:multiLevelType w:val="hybridMultilevel"/>
    <w:lvl w:ilvl="0">
      <w:lvlJc w:val="left"/>
      <w:lvlText w:val="%1"/>
      <w:numFmt w:val="lowerRoman"/>
      <w:start w:val="1"/>
    </w:lvl>
    <w:lvl w:ilvl="1">
      <w:lvlJc w:val="left"/>
      <w:lvlText w:val="(%2)"/>
      <w:numFmt w:val="lowerRoman"/>
      <w:start w:val="2"/>
    </w:lvl>
  </w:abstractNum>
  <w:abstractNum w:abstractNumId="62">
    <w:nsid w:val="5D205E20"/>
    <w:multiLevelType w:val="hybridMultilevel"/>
    <w:lvl w:ilvl="0">
      <w:lvlJc w:val="left"/>
      <w:lvlText w:val="(%1)"/>
      <w:numFmt w:val="lowerRoman"/>
      <w:start w:val="3"/>
    </w:lvl>
    <w:lvl w:ilvl="1">
      <w:lvlJc w:val="left"/>
      <w:lvlText w:val="%2"/>
      <w:numFmt w:val="lowerRoman"/>
      <w:start w:val="1"/>
    </w:lvl>
  </w:abstractNum>
  <w:abstractNum w:abstractNumId="63">
    <w:nsid w:val="11CCA8BA"/>
    <w:multiLevelType w:val="hybridMultilevel"/>
    <w:lvl w:ilvl="0">
      <w:lvlJc w:val="left"/>
      <w:lvlText w:val="(%1)"/>
      <w:numFmt w:val="lowerLetter"/>
      <w:start w:val="4"/>
    </w:lvl>
    <w:lvl w:ilvl="1">
      <w:lvlJc w:val="left"/>
      <w:lvlText w:val="(%2)"/>
      <w:numFmt w:val="lowerRoman"/>
      <w:start w:val="1"/>
    </w:lvl>
  </w:abstractNum>
  <w:abstractNum w:abstractNumId="64">
    <w:nsid w:val="4D32AB86"/>
    <w:multiLevelType w:val="hybridMultilevel"/>
    <w:lvl w:ilvl="0">
      <w:lvlJc w:val="left"/>
      <w:lvlText w:val="(%1)"/>
      <w:numFmt w:val="lowerRoman"/>
      <w:start w:val="5"/>
    </w:lvl>
    <w:lvl w:ilvl="1">
      <w:lvlJc w:val="left"/>
      <w:lvlText w:val="(%2)"/>
      <w:numFmt w:val="lowerRoman"/>
      <w:start w:val="7"/>
    </w:lvl>
  </w:abstractNum>
  <w:abstractNum w:abstractNumId="65">
    <w:nsid w:val="3F07ACC3"/>
    <w:multiLevelType w:val="hybridMultilevel"/>
    <w:lvl w:ilvl="0">
      <w:lvlJc w:val="left"/>
      <w:lvlText w:val="(%1)"/>
      <w:numFmt w:val="lowerLetter"/>
      <w:start w:val="6"/>
    </w:lvl>
  </w:abstractNum>
  <w:abstractNum w:abstractNumId="66">
    <w:nsid w:val="6B47F63E"/>
    <w:multiLevelType w:val="hybridMultilevel"/>
    <w:lvl w:ilvl="0">
      <w:lvlJc w:val="left"/>
      <w:lvlText w:val="(%1)"/>
      <w:numFmt w:val="lowerLetter"/>
      <w:start w:val="7"/>
    </w:lvl>
  </w:abstractNum>
  <w:abstractNum w:abstractNumId="67">
    <w:nsid w:val="5CB44A05"/>
    <w:multiLevelType w:val="hybridMultilevel"/>
    <w:lvl w:ilvl="0">
      <w:lvlJc w:val="left"/>
      <w:lvlText w:val="(%1)"/>
      <w:numFmt w:val="lowerLetter"/>
      <w:start w:val="11"/>
    </w:lvl>
    <w:lvl w:ilvl="1">
      <w:lvlJc w:val="left"/>
      <w:lvlText w:val="(%2)"/>
      <w:numFmt w:val="lowerRoman"/>
      <w:start w:val="1"/>
    </w:lvl>
  </w:abstractNum>
  <w:abstractNum w:abstractNumId="68">
    <w:nsid w:val="16CF80F1"/>
    <w:multiLevelType w:val="hybridMultilevel"/>
    <w:lvl w:ilvl="0">
      <w:lvlJc w:val="left"/>
      <w:lvlText w:val="(%1)"/>
      <w:numFmt w:val="lowerLetter"/>
      <w:start w:val="12"/>
    </w:lvl>
  </w:abstractNum>
  <w:abstractNum w:abstractNumId="69">
    <w:nsid w:val="1C695DEC"/>
    <w:multiLevelType w:val="hybridMultilevel"/>
    <w:lvl w:ilvl="0">
      <w:lvlJc w:val="left"/>
      <w:lvlText w:val="4"/>
      <w:numFmt w:val="bullet"/>
      <w:start w:val="1"/>
    </w:lvl>
    <w:lvl w:ilvl="1">
      <w:lvlJc w:val="left"/>
      <w:lvlText w:val="(%2)"/>
      <w:numFmt w:val="lowerLetter"/>
      <w:start w:val="1"/>
    </w:lvl>
  </w:abstractNum>
  <w:abstractNum w:abstractNumId="70">
    <w:nsid w:val="3FCFAED9"/>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71">
    <w:nsid w:val="F856867"/>
    <w:multiLevelType w:val="hybridMultilevel"/>
    <w:lvl w:ilvl="0">
      <w:lvlJc w:val="left"/>
      <w:lvlText w:val="%1"/>
      <w:numFmt w:val="lowerLetter"/>
      <w:start w:val="1"/>
    </w:lvl>
    <w:lvl w:ilvl="1">
      <w:lvlJc w:val="left"/>
      <w:lvlText w:val="(%2)"/>
      <w:numFmt w:val="lowerRoman"/>
      <w:start w:val="2"/>
    </w:lvl>
  </w:abstractNum>
  <w:abstractNum w:abstractNumId="72">
    <w:nsid w:val="11B1CC33"/>
    <w:multiLevelType w:val="hybridMultilevel"/>
    <w:lvl w:ilvl="0">
      <w:lvlJc w:val="left"/>
      <w:lvlText w:val="(%1)"/>
      <w:numFmt w:val="lowerLetter"/>
      <w:start w:val="4"/>
    </w:lvl>
    <w:lvl w:ilvl="1">
      <w:lvlJc w:val="left"/>
      <w:lvlText w:val="(%2)"/>
      <w:numFmt w:val="lowerRoman"/>
      <w:start w:val="1"/>
    </w:lvl>
  </w:abstractNum>
  <w:abstractNum w:abstractNumId="73">
    <w:nsid w:val="2E22FBB7"/>
    <w:multiLevelType w:val="hybridMultilevel"/>
    <w:lvl w:ilvl="0">
      <w:lvlJc w:val="left"/>
      <w:lvlText w:val="(%1)"/>
      <w:numFmt w:val="lowerLetter"/>
      <w:start w:val="6"/>
    </w:lvl>
  </w:abstractNum>
  <w:abstractNum w:abstractNumId="74">
    <w:nsid w:val="29934699"/>
    <w:multiLevelType w:val="hybridMultilevel"/>
    <w:lvl w:ilvl="0">
      <w:lvlJc w:val="left"/>
      <w:lvlText w:val="5"/>
      <w:numFmt w:val="bullet"/>
      <w:start w:val="1"/>
    </w:lvl>
    <w:lvl w:ilvl="1">
      <w:lvlJc w:val="left"/>
      <w:lvlText w:val="(%2)"/>
      <w:numFmt w:val="lowerLetter"/>
      <w:start w:val="1"/>
    </w:lvl>
    <w:lvl w:ilvl="2">
      <w:lvlJc w:val="left"/>
      <w:lvlText w:val="(%3)"/>
      <w:numFmt w:val="lowerRoman"/>
      <w:start w:val="1"/>
    </w:lvl>
  </w:abstractNum>
  <w:abstractNum w:abstractNumId="75">
    <w:nsid w:val="77485850"/>
    <w:multiLevelType w:val="hybridMultilevel"/>
    <w:lvl w:ilvl="0">
      <w:lvlJc w:val="left"/>
      <w:lvlText w:val="(%1)"/>
      <w:numFmt w:val="lowerRoman"/>
      <w:start w:val="1"/>
    </w:lvl>
  </w:abstractNum>
  <w:abstractNum w:abstractNumId="76">
    <w:nsid w:val="744939A3"/>
    <w:multiLevelType w:val="hybridMultilevel"/>
    <w:lvl w:ilvl="0">
      <w:lvlJc w:val="left"/>
      <w:lvlText w:val="6"/>
      <w:numFmt w:val="bullet"/>
      <w:start w:val="1"/>
    </w:lvl>
    <w:lvl w:ilvl="1">
      <w:lvlJc w:val="left"/>
      <w:lvlText w:val="(%2)"/>
      <w:numFmt w:val="lowerLetter"/>
      <w:start w:val="1"/>
    </w:lvl>
  </w:abstractNum>
  <w:abstractNum w:abstractNumId="77">
    <w:nsid w:val="4FA0D2E3"/>
    <w:multiLevelType w:val="hybridMultilevel"/>
    <w:lvl w:ilvl="0">
      <w:lvlJc w:val="left"/>
      <w:lvlText w:val="(%1)"/>
      <w:numFmt w:val="lowerLetter"/>
      <w:start w:val="2"/>
    </w:lvl>
  </w:abstractNum>
  <w:abstractNum w:abstractNumId="78">
    <w:nsid w:val="6B1D2C14"/>
    <w:multiLevelType w:val="hybridMultilevel"/>
    <w:lvl w:ilvl="0">
      <w:lvlJc w:val="left"/>
      <w:lvlText w:val="7"/>
      <w:numFmt w:val="bullet"/>
      <w:start w:val="1"/>
    </w:lvl>
    <w:lvl w:ilvl="1">
      <w:lvlJc w:val="left"/>
      <w:lvlText w:val="(%2)"/>
      <w:numFmt w:val="lowerLetter"/>
      <w:start w:val="1"/>
    </w:lvl>
  </w:abstractNum>
  <w:abstractNum w:abstractNumId="79">
    <w:nsid w:val="68B867D3"/>
    <w:multiLevelType w:val="hybridMultilevel"/>
    <w:lvl w:ilvl="0">
      <w:lvlJc w:val="left"/>
      <w:lvlText w:val="8"/>
      <w:numFmt w:val="bullet"/>
      <w:start w:val="1"/>
    </w:lvl>
    <w:lvl w:ilvl="1">
      <w:lvlJc w:val="left"/>
      <w:lvlText w:val="(%2)"/>
      <w:numFmt w:val="lowerLetter"/>
      <w:start w:val="1"/>
    </w:lvl>
  </w:abstractNum>
  <w:abstractNum w:abstractNumId="80">
    <w:nsid w:val="3F7F5DD9"/>
    <w:multiLevelType w:val="hybridMultilevel"/>
    <w:lvl w:ilvl="0">
      <w:lvlJc w:val="left"/>
      <w:lvlText w:val="(%1)"/>
      <w:numFmt w:val="lowerLetter"/>
      <w:start w:val="2"/>
    </w:lvl>
    <w:lvl w:ilvl="1">
      <w:lvlJc w:val="left"/>
      <w:lvlText w:val="(%2)"/>
      <w:numFmt w:val="lowerRoman"/>
      <w:start w:val="1"/>
    </w:lvl>
  </w:abstractNum>
  <w:abstractNum w:abstractNumId="81">
    <w:nsid w:val="2AE05A34"/>
    <w:multiLevelType w:val="hybridMultilevel"/>
    <w:lvl w:ilvl="0">
      <w:lvlJc w:val="left"/>
      <w:lvlText w:val="9"/>
      <w:numFmt w:val="bullet"/>
      <w:start w:val="1"/>
    </w:lvl>
  </w:abstractNum>
  <w:abstractNum w:abstractNumId="82">
    <w:nsid w:val="32794FF7"/>
    <w:multiLevelType w:val="hybridMultilevel"/>
    <w:lvl w:ilvl="0">
      <w:lvlJc w:val="left"/>
      <w:lvlText w:val="(%1)"/>
      <w:numFmt w:val="lowerLetter"/>
      <w:start w:val="1"/>
    </w:lvl>
    <w:lvl w:ilvl="1">
      <w:lvlJc w:val="left"/>
      <w:lvlText w:val="(%2)"/>
      <w:numFmt w:val="lowerRoman"/>
      <w:start w:val="1"/>
    </w:lvl>
  </w:abstractNum>
  <w:abstractNum w:abstractNumId="83">
    <w:nsid w:val="5454945E"/>
    <w:multiLevelType w:val="hybridMultilevel"/>
    <w:lvl w:ilvl="0">
      <w:lvlJc w:val="left"/>
      <w:lvlText w:val="%1"/>
      <w:numFmt w:val="decimal"/>
      <w:start w:val="1"/>
    </w:lvl>
    <w:lvl w:ilvl="1">
      <w:lvlJc w:val="left"/>
      <w:lvlText w:val="0"/>
      <w:numFmt w:val="bullet"/>
      <w:start w:val="1"/>
    </w:lvl>
    <w:lvl w:ilvl="2">
      <w:lvlJc w:val="left"/>
      <w:lvlText w:val="(%3)"/>
      <w:numFmt w:val="lowerLetter"/>
      <w:start w:val="1"/>
    </w:lvl>
  </w:abstractNum>
  <w:abstractNum w:abstractNumId="84">
    <w:nsid w:val="4DEFDFA0"/>
    <w:multiLevelType w:val="hybridMultilevel"/>
    <w:lvl w:ilvl="0">
      <w:lvlJc w:val="left"/>
      <w:lvlText w:val="%1"/>
      <w:numFmt w:val="decimal"/>
      <w:start w:val="1"/>
    </w:lvl>
    <w:lvl w:ilvl="1">
      <w:lvlJc w:val="left"/>
      <w:lvlText w:val="0"/>
      <w:numFmt w:val="bullet"/>
      <w:start w:val="1"/>
    </w:lvl>
    <w:lvl w:ilvl="2">
      <w:lvlJc w:val="left"/>
      <w:lvlText w:val="(%3)"/>
      <w:numFmt w:val="lowerLetter"/>
      <w:start w:val="1"/>
    </w:lvl>
  </w:abstractNum>
  <w:abstractNum w:abstractNumId="85">
    <w:nsid w:val="2123D5F2"/>
    <w:multiLevelType w:val="hybridMultilevel"/>
    <w:lvl w:ilvl="0">
      <w:lvlJc w:val="left"/>
      <w:lvlText w:val="2"/>
      <w:numFmt w:val="bullet"/>
      <w:start w:val="1"/>
    </w:lvl>
    <w:lvl w:ilvl="1">
      <w:lvlJc w:val="left"/>
      <w:lvlText w:val="(%2)"/>
      <w:numFmt w:val="lowerLetter"/>
      <w:start w:val="1"/>
    </w:lvl>
  </w:abstractNum>
  <w:abstractNum w:abstractNumId="86">
    <w:nsid w:val="135B8110"/>
    <w:multiLevelType w:val="hybridMultilevel"/>
    <w:lvl w:ilvl="0">
      <w:lvlJc w:val="left"/>
      <w:lvlText w:val="(%1)"/>
      <w:numFmt w:val="lowerRoman"/>
      <w:start w:val="2"/>
    </w:lvl>
  </w:abstractNum>
  <w:abstractNum w:abstractNumId="87">
    <w:nsid w:val="94927A8"/>
    <w:multiLevelType w:val="hybridMultilevel"/>
    <w:lvl w:ilvl="0">
      <w:lvlJc w:val="left"/>
      <w:lvlText w:val="(%1)"/>
      <w:numFmt w:val="lowerLetter"/>
      <w:start w:val="2"/>
    </w:lvl>
    <w:lvl w:ilvl="1">
      <w:lvlJc w:val="left"/>
      <w:lvlText w:val="(%2)"/>
      <w:numFmt w:val="lowerLetter"/>
      <w:start w:val="3"/>
    </w:lvl>
  </w:abstractNum>
  <w:abstractNum w:abstractNumId="88">
    <w:nsid w:val="DCDF8F6"/>
    <w:multiLevelType w:val="hybridMultilevel"/>
    <w:lvl w:ilvl="0">
      <w:lvlJc w:val="left"/>
      <w:lvlText w:val="3"/>
      <w:numFmt w:val="bullet"/>
      <w:start w:val="1"/>
    </w:lvl>
  </w:abstractNum>
  <w:abstractNum w:abstractNumId="89">
    <w:nsid w:val="52D7B105"/>
    <w:multiLevelType w:val="hybridMultilevel"/>
    <w:lvl w:ilvl="0">
      <w:lvlJc w:val="left"/>
      <w:lvlText w:val="4"/>
      <w:numFmt w:val="bullet"/>
      <w:start w:val="1"/>
    </w:lvl>
    <w:lvl w:ilvl="1">
      <w:lvlJc w:val="left"/>
      <w:lvlText w:val="(%2)"/>
      <w:numFmt w:val="lowerLetter"/>
      <w:start w:val="1"/>
    </w:lvl>
  </w:abstractNum>
  <w:abstractNum w:abstractNumId="90">
    <w:nsid w:val="2E8A6394"/>
    <w:multiLevelType w:val="hybridMultilevel"/>
    <w:lvl w:ilvl="0">
      <w:lvlJc w:val="left"/>
      <w:lvlText w:val="(%1)"/>
      <w:numFmt w:val="lowerLetter"/>
      <w:start w:val="3"/>
    </w:lvl>
  </w:abstractNum>
  <w:abstractNum w:abstractNumId="91">
    <w:nsid w:val="24E60401"/>
    <w:multiLevelType w:val="hybridMultilevel"/>
    <w:lvl w:ilvl="0">
      <w:lvlJc w:val="left"/>
      <w:lvlText w:val="5"/>
      <w:numFmt w:val="bullet"/>
      <w:start w:val="1"/>
    </w:lvl>
    <w:lvl w:ilvl="1">
      <w:lvlJc w:val="left"/>
      <w:lvlText w:val="(%2)"/>
      <w:numFmt w:val="lowerLetter"/>
      <w:start w:val="1"/>
    </w:lvl>
    <w:lvl w:ilvl="2">
      <w:lvlJc w:val="left"/>
      <w:lvlText w:val="(%3)"/>
      <w:numFmt w:val="lowerRoman"/>
      <w:start w:val="1"/>
    </w:lvl>
  </w:abstractNum>
  <w:abstractNum w:abstractNumId="92">
    <w:nsid w:val="2A6AD9B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93">
    <w:nsid w:val="BAAC1B4"/>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upperLetter"/>
      <w:start w:val="1"/>
    </w:lvl>
  </w:abstractNum>
  <w:abstractNum w:abstractNumId="94">
    <w:nsid w:val="36B2ACB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95">
    <w:nsid w:val="779D8544"/>
    <w:multiLevelType w:val="hybridMultilevel"/>
    <w:lvl w:ilvl="0">
      <w:lvlJc w:val="left"/>
      <w:lvlText w:val="6"/>
      <w:numFmt w:val="bullet"/>
      <w:start w:val="1"/>
    </w:lvl>
    <w:lvl w:ilvl="1">
      <w:lvlJc w:val="left"/>
      <w:lvlText w:val="(%2)"/>
      <w:numFmt w:val="lowerLetter"/>
      <w:start w:val="1"/>
    </w:lvl>
  </w:abstractNum>
  <w:abstractNum w:abstractNumId="96">
    <w:nsid w:val="4AB26E78"/>
    <w:multiLevelType w:val="hybridMultilevel"/>
    <w:lvl w:ilvl="0">
      <w:lvlJc w:val="left"/>
      <w:lvlText w:val="(%1)"/>
      <w:numFmt w:val="lowerLetter"/>
      <w:start w:val="4"/>
    </w:lvl>
  </w:abstractNum>
  <w:abstractNum w:abstractNumId="97">
    <w:nsid w:val="21FAA2FA"/>
    <w:multiLevelType w:val="hybridMultilevel"/>
    <w:lvl w:ilvl="0">
      <w:lvlJc w:val="left"/>
      <w:lvlText w:val="7"/>
      <w:numFmt w:val="bullet"/>
      <w:start w:val="1"/>
    </w:lvl>
  </w:abstractNum>
  <w:abstractNum w:abstractNumId="98">
    <w:nsid w:val="5451CF49"/>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4"/>
    </w:lvl>
  </w:abstractNum>
  <w:abstractNum w:abstractNumId="99">
    <w:nsid w:val="6181EF69"/>
    <w:multiLevelType w:val="hybridMultilevel"/>
    <w:lvl w:ilvl="0">
      <w:lvlJc w:val="left"/>
      <w:lvlText w:val="%1"/>
      <w:numFmt w:val="lowerLetter"/>
      <w:start w:val="1"/>
    </w:lvl>
    <w:lvl w:ilvl="1">
      <w:lvlJc w:val="left"/>
      <w:lvlText w:val="(%2)"/>
      <w:numFmt w:val="lowerRoman"/>
      <w:start w:val="1"/>
    </w:lvl>
  </w:abstractNum>
  <w:abstractNum w:abstractNumId="100">
    <w:nsid w:val="3E6400E6"/>
    <w:multiLevelType w:val="hybridMultilevel"/>
    <w:lvl w:ilvl="0">
      <w:lvlJc w:val="left"/>
      <w:lvlText w:val="(%1)"/>
      <w:numFmt w:val="lowerLetter"/>
      <w:start w:val="2"/>
    </w:lvl>
    <w:lvl w:ilvl="1">
      <w:lvlJc w:val="left"/>
      <w:lvlText w:val="(%2)"/>
      <w:numFmt w:val="lowerRoman"/>
      <w:start w:val="1"/>
    </w:lvl>
  </w:abstractNum>
  <w:abstractNum w:abstractNumId="101">
    <w:nsid w:val="14217E23"/>
    <w:multiLevelType w:val="hybridMultilevel"/>
    <w:lvl w:ilvl="0">
      <w:lvlJc w:val="left"/>
      <w:lvlText w:val="(%1)"/>
      <w:numFmt w:val="lowerRoman"/>
      <w:start w:val="3"/>
    </w:lvl>
  </w:abstractNum>
  <w:abstractNum w:abstractNumId="102">
    <w:nsid w:val="710757D0"/>
    <w:multiLevelType w:val="hybridMultilevel"/>
    <w:lvl w:ilvl="0">
      <w:lvlJc w:val="left"/>
      <w:lvlText w:val="(%1)"/>
      <w:numFmt w:val="lowerLetter"/>
      <w:start w:val="3"/>
    </w:lvl>
  </w:abstractNum>
  <w:abstractNum w:abstractNumId="103">
    <w:nsid w:val="5015CD1A"/>
    <w:multiLevelType w:val="hybridMultilevel"/>
    <w:lvl w:ilvl="0">
      <w:lvlJc w:val="left"/>
      <w:lvlText w:val="9"/>
      <w:numFmt w:val="bullet"/>
      <w:start w:val="1"/>
    </w:lvl>
    <w:lvl w:ilvl="1">
      <w:lvlJc w:val="left"/>
      <w:lvlText w:val="(%2)"/>
      <w:numFmt w:val="lowerLetter"/>
      <w:start w:val="1"/>
    </w:lvl>
  </w:abstractNum>
  <w:abstractNum w:abstractNumId="104">
    <w:nsid w:val="424479DA"/>
    <w:multiLevelType w:val="hybridMultilevel"/>
    <w:lvl w:ilvl="0">
      <w:lvlJc w:val="left"/>
      <w:lvlText w:val="(%1)"/>
      <w:numFmt w:val="lowerLetter"/>
      <w:start w:val="2"/>
    </w:lvl>
  </w:abstractNum>
  <w:abstractNum w:abstractNumId="105">
    <w:nsid w:val="1A9A9E69"/>
    <w:multiLevelType w:val="hybridMultilevel"/>
    <w:lvl w:ilvl="0">
      <w:lvlJc w:val="left"/>
      <w:lvlText w:val="(%1)"/>
      <w:numFmt w:val="lowerLetter"/>
      <w:start w:val="5"/>
    </w:lvl>
  </w:abstractNum>
  <w:abstractNum w:abstractNumId="106">
    <w:nsid w:val="475E256A"/>
    <w:multiLevelType w:val="hybridMultilevel"/>
    <w:lvl w:ilvl="0">
      <w:lvlJc w:val="left"/>
      <w:lvlText w:val="(%1)"/>
      <w:numFmt w:val="lowerLetter"/>
      <w:start w:val="8"/>
    </w:lvl>
  </w:abstractNum>
  <w:abstractNum w:abstractNumId="107">
    <w:nsid w:val="368DB37E"/>
    <w:multiLevelType w:val="hybridMultilevel"/>
    <w:lvl w:ilvl="0">
      <w:lvlJc w:val="left"/>
      <w:lvlText w:val="(%1)"/>
      <w:numFmt w:val="lowerLetter"/>
      <w:start w:val="1"/>
    </w:lvl>
    <w:lvl w:ilvl="1">
      <w:lvlJc w:val="left"/>
      <w:lvlText w:val="(%2)"/>
      <w:numFmt w:val="lowerRoman"/>
      <w:start w:val="1"/>
    </w:lvl>
  </w:abstractNum>
  <w:abstractNum w:abstractNumId="108">
    <w:nsid w:val="6A3B71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9">
    <w:nsid w:val="327B517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10">
    <w:nsid w:val="1F461B51"/>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111">
    <w:nsid w:val="29BACF25"/>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12">
    <w:nsid w:val="5D5BABB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13">
    <w:nsid w:val="51BF6B48"/>
    <w:multiLevelType w:val="hybridMultilevel"/>
    <w:lvl w:ilvl="0">
      <w:lvlJc w:val="left"/>
      <w:lvlText w:val="(%1)"/>
      <w:numFmt w:val="lowerRoman"/>
      <w:start w:val="6"/>
    </w:lvl>
    <w:lvl w:ilvl="1">
      <w:lvlJc w:val="left"/>
      <w:lvlText w:val="(%2)"/>
      <w:numFmt w:val="upperLetter"/>
      <w:start w:val="1"/>
    </w:lvl>
  </w:abstractNum>
  <w:abstractNum w:abstractNumId="114">
    <w:nsid w:val="7E0F6384"/>
    <w:multiLevelType w:val="hybridMultilevel"/>
    <w:lvl w:ilvl="0">
      <w:lvlJc w:val="left"/>
      <w:lvlText w:val="%1"/>
      <w:numFmt w:val="lowerLetter"/>
      <w:start w:val="1"/>
    </w:lvl>
    <w:lvl w:ilvl="1">
      <w:lvlJc w:val="left"/>
      <w:lvlText w:val="(%2)"/>
      <w:numFmt w:val="lowerRoman"/>
      <w:start w:val="8"/>
    </w:lvl>
  </w:abstractNum>
  <w:abstractNum w:abstractNumId="115">
    <w:nsid w:val="2B4B8B53"/>
    <w:multiLevelType w:val="hybridMultilevel"/>
    <w:lvl w:ilvl="0">
      <w:lvlJc w:val="left"/>
      <w:lvlText w:val="(%1)"/>
      <w:numFmt w:val="lowerLetter"/>
      <w:start w:val="8"/>
    </w:lvl>
    <w:lvl w:ilvl="1">
      <w:lvlJc w:val="left"/>
      <w:lvlText w:val="(%2)"/>
      <w:numFmt w:val="lowerRoman"/>
      <w:start w:val="1"/>
    </w:lvl>
  </w:abstractNum>
  <w:abstractNum w:abstractNumId="116">
    <w:nsid w:val="72E3413A"/>
    <w:multiLevelType w:val="hybridMultilevel"/>
    <w:lvl w:ilvl="0">
      <w:lvlJc w:val="left"/>
      <w:lvlText w:val="(%1)"/>
      <w:numFmt w:val="lowerRoman"/>
      <w:start w:val="1"/>
    </w:lvl>
  </w:abstractNum>
  <w:abstractNum w:abstractNumId="117">
    <w:nsid w:val="116AE494"/>
    <w:multiLevelType w:val="hybridMultilevel"/>
    <w:lvl w:ilvl="0">
      <w:lvlJc w:val="left"/>
      <w:lvlText w:val="(%1)"/>
      <w:numFmt w:val="lowerLetter"/>
      <w:start w:val="10"/>
    </w:lvl>
  </w:abstractNum>
  <w:abstractNum w:abstractNumId="118">
    <w:nsid w:val="3494B2FB"/>
    <w:multiLevelType w:val="hybridMultilevel"/>
    <w:lvl w:ilvl="0">
      <w:lvlJc w:val="left"/>
      <w:lvlText w:val="2"/>
      <w:numFmt w:val="bullet"/>
      <w:start w:val="1"/>
    </w:lvl>
  </w:abstractNum>
  <w:abstractNum w:abstractNumId="119">
    <w:nsid w:val="B13A31"/>
    <w:multiLevelType w:val="hybridMultilevel"/>
    <w:lvl w:ilvl="0">
      <w:lvlJc w:val="left"/>
      <w:lvlText w:val="%1"/>
      <w:numFmt w:val="lowerLetter"/>
      <w:start w:val="1"/>
    </w:lvl>
    <w:lvl w:ilvl="1">
      <w:lvlJc w:val="left"/>
      <w:lvlText w:val="(%2)"/>
      <w:numFmt w:val="lowerLetter"/>
      <w:start w:val="1"/>
    </w:lvl>
  </w:abstractNum>
  <w:abstractNum w:abstractNumId="120">
    <w:nsid w:val="64429599"/>
    <w:multiLevelType w:val="hybridMultilevel"/>
    <w:lvl w:ilvl="0">
      <w:lvlJc w:val="left"/>
      <w:lvlText w:val="(%1)"/>
      <w:numFmt w:val="lowerLetter"/>
      <w:start w:val="35"/>
    </w:lvl>
    <w:lvl w:ilvl="1">
      <w:lvlJc w:val="left"/>
      <w:lvlText w:val="%2"/>
      <w:numFmt w:val="lowerLetter"/>
      <w:start w:val="1"/>
    </w:lvl>
  </w:abstractNum>
  <w:abstractNum w:abstractNumId="121">
    <w:nsid w:val="631F1690"/>
    <w:multiLevelType w:val="hybridMultilevel"/>
    <w:lvl w:ilvl="0">
      <w:lvlJc w:val="left"/>
      <w:lvlText w:val="(%1)"/>
      <w:numFmt w:val="lowerLetter"/>
      <w:start w:val="2"/>
    </w:lvl>
  </w:abstractNum>
  <w:abstractNum w:abstractNumId="122">
    <w:nsid w:val="25973E32"/>
    <w:multiLevelType w:val="hybridMultilevel"/>
    <w:lvl w:ilvl="0">
      <w:lvlJc w:val="left"/>
      <w:lvlText w:val="3"/>
      <w:numFmt w:val="bullet"/>
      <w:start w:val="1"/>
    </w:lvl>
    <w:lvl w:ilvl="1">
      <w:lvlJc w:val="left"/>
      <w:lvlText w:val="(%2)"/>
      <w:numFmt w:val="lowerLetter"/>
      <w:start w:val="1"/>
    </w:lvl>
  </w:abstractNum>
  <w:abstractNum w:abstractNumId="123">
    <w:nsid w:val="EAD6F57"/>
    <w:multiLevelType w:val="hybridMultilevel"/>
    <w:lvl w:ilvl="0">
      <w:lvlJc w:val="left"/>
      <w:lvlText w:val="(%1)"/>
      <w:numFmt w:val="lowerLetter"/>
      <w:start w:val="2"/>
    </w:lvl>
  </w:abstractNum>
  <w:abstractNum w:abstractNumId="124">
    <w:nsid w:val="6EC9D844"/>
    <w:multiLevelType w:val="hybridMultilevel"/>
    <w:lvl w:ilvl="0">
      <w:lvlJc w:val="left"/>
      <w:lvlText w:val="(%1)"/>
      <w:numFmt w:val="lowerLetter"/>
      <w:start w:val="4"/>
    </w:lvl>
  </w:abstractNum>
  <w:abstractNum w:abstractNumId="125">
    <w:nsid w:val="5C49EAEE"/>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126">
    <w:nsid w:val="64AF49B"/>
    <w:multiLevelType w:val="hybridMultilevel"/>
    <w:lvl w:ilvl="0">
      <w:lvlJc w:val="left"/>
      <w:lvlText w:val="(%1)"/>
      <w:numFmt w:val="lowerLetter"/>
      <w:start w:val="2"/>
    </w:lvl>
    <w:lvl w:ilvl="1">
      <w:lvlJc w:val="left"/>
      <w:lvlText w:val="(%2)"/>
      <w:numFmt w:val="lowerLetter"/>
      <w:start w:val="4"/>
    </w:lvl>
  </w:abstractNum>
  <w:abstractNum w:abstractNumId="127">
    <w:nsid w:val="397C46BC"/>
    <w:multiLevelType w:val="hybridMultilevel"/>
    <w:lvl w:ilvl="0">
      <w:lvlJc w:val="left"/>
      <w:lvlText w:val="(%1)"/>
      <w:numFmt w:val="lowerLetter"/>
      <w:start w:val="5"/>
    </w:lvl>
  </w:abstractNum>
  <w:abstractNum w:abstractNumId="128">
    <w:nsid w:val="7E448DE9"/>
    <w:multiLevelType w:val="hybridMultilevel"/>
    <w:lvl w:ilvl="0">
      <w:lvlJc w:val="left"/>
      <w:lvlText w:val="5"/>
      <w:numFmt w:val="bullet"/>
      <w:start w:val="1"/>
    </w:lvl>
  </w:abstractNum>
  <w:abstractNum w:abstractNumId="129">
    <w:nsid w:val="5A9CC3E5"/>
    <w:multiLevelType w:val="hybridMultilevel"/>
    <w:lvl w:ilvl="0">
      <w:lvlJc w:val="left"/>
      <w:lvlText w:val="(%1)"/>
      <w:numFmt w:val="lowerLetter"/>
      <w:start w:val="1"/>
    </w:lvl>
  </w:abstractNum>
  <w:abstractNum w:abstractNumId="130">
    <w:nsid w:val="1AFE3625"/>
    <w:multiLevelType w:val="hybridMultilevel"/>
    <w:lvl w:ilvl="0">
      <w:lvlJc w:val="left"/>
      <w:lvlText w:val="6"/>
      <w:numFmt w:val="bullet"/>
      <w:start w:val="1"/>
    </w:lvl>
    <w:lvl w:ilvl="1">
      <w:lvlJc w:val="left"/>
      <w:lvlText w:val="(%2)"/>
      <w:numFmt w:val="lowerLetter"/>
      <w:start w:val="1"/>
    </w:lvl>
  </w:abstractNum>
  <w:abstractNum w:abstractNumId="131">
    <w:nsid w:val="3CA88ECF"/>
    <w:multiLevelType w:val="hybridMultilevel"/>
    <w:lvl w:ilvl="0">
      <w:lvlJc w:val="left"/>
      <w:lvlText w:val="(%1)"/>
      <w:numFmt w:val="lowerLetter"/>
      <w:start w:val="2"/>
    </w:lvl>
  </w:abstractNum>
  <w:abstractNum w:abstractNumId="132">
    <w:nsid w:val="6EBE4208"/>
    <w:multiLevelType w:val="hybridMultilevel"/>
    <w:lvl w:ilvl="0">
      <w:lvlJc w:val="left"/>
      <w:lvlText w:val="7"/>
      <w:numFmt w:val="bullet"/>
      <w:start w:val="1"/>
    </w:lvl>
  </w:abstractNum>
  <w:abstractNum w:abstractNumId="133">
    <w:nsid w:val="C058DF5"/>
    <w:multiLevelType w:val="hybridMultilevel"/>
    <w:lvl w:ilvl="0">
      <w:lvlJc w:val="left"/>
      <w:lvlText w:val="1"/>
      <w:numFmt w:val="bullet"/>
      <w:start w:val="1"/>
    </w:lvl>
  </w:abstractNum>
  <w:abstractNum w:abstractNumId="134">
    <w:nsid w:val="CBE5BE9"/>
    <w:multiLevelType w:val="hybridMultilevel"/>
    <w:lvl w:ilvl="0">
      <w:lvlJc w:val="left"/>
      <w:lvlText w:val="(%1)"/>
      <w:numFmt w:val="lowerLetter"/>
      <w:start w:val="1"/>
    </w:lvl>
  </w:abstractNum>
  <w:abstractNum w:abstractNumId="135">
    <w:nsid w:val="3102BBE2"/>
    <w:multiLevelType w:val="hybridMultilevel"/>
    <w:lvl w:ilvl="0">
      <w:lvlJc w:val="left"/>
      <w:lvlText w:val="(%1)"/>
      <w:numFmt w:val="lowerRoman"/>
      <w:start w:val="6"/>
    </w:lvl>
    <w:lvl w:ilvl="1">
      <w:lvlJc w:val="left"/>
      <w:lvlText w:val="(%2)"/>
      <w:numFmt w:val="lowerLetter"/>
      <w:start w:val="3"/>
    </w:lvl>
  </w:abstractNum>
  <w:abstractNum w:abstractNumId="136">
    <w:nsid w:val="26A02C5E"/>
    <w:multiLevelType w:val="hybridMultilevel"/>
    <w:lvl w:ilvl="0">
      <w:lvlJc w:val="left"/>
      <w:lvlText w:val="&amp;"/>
      <w:numFmt w:val="bullet"/>
      <w:start w:val="1"/>
    </w:lvl>
    <w:lvl w:ilvl="1">
      <w:lvlJc w:val="left"/>
      <w:lvlText w:val="(%2)"/>
      <w:numFmt w:val="lowerLetter"/>
      <w:start w:val="10"/>
    </w:lvl>
  </w:abstractNum>
  <w:abstractNum w:abstractNumId="137">
    <w:nsid w:val="541C8153"/>
    <w:multiLevelType w:val="hybridMultilevel"/>
    <w:lvl w:ilvl="0">
      <w:lvlJc w:val="left"/>
      <w:lvlText w:val="2"/>
      <w:numFmt w:val="bullet"/>
      <w:start w:val="1"/>
    </w:lvl>
  </w:abstractNum>
  <w:abstractNum w:abstractNumId="138">
    <w:nsid w:val="67906F60"/>
    <w:multiLevelType w:val="hybridMultilevel"/>
    <w:lvl w:ilvl="0">
      <w:lvlJc w:val="left"/>
      <w:lvlText w:val="(%1)"/>
      <w:numFmt w:val="lowerLetter"/>
      <w:start w:val="1"/>
    </w:lvl>
  </w:abstractNum>
  <w:abstractNum w:abstractNumId="139">
    <w:nsid w:val="10DB9DAA"/>
    <w:multiLevelType w:val="hybridMultilevel"/>
    <w:lvl w:ilvl="0">
      <w:lvlJc w:val="left"/>
      <w:lvlText w:val="1"/>
      <w:numFmt w:val="bullet"/>
      <w:start w:val="1"/>
    </w:lvl>
  </w:abstractNum>
  <w:abstractNum w:abstractNumId="140">
    <w:nsid w:val="697D2D2"/>
    <w:multiLevelType w:val="hybridMultilevel"/>
    <w:lvl w:ilvl="0">
      <w:lvlJc w:val="left"/>
      <w:lvlText w:val="3"/>
      <w:numFmt w:val="bullet"/>
      <w:start w:val="1"/>
    </w:lvl>
  </w:abstractNum>
  <w:abstractNum w:abstractNumId="141">
    <w:nsid w:val="6D68AB2"/>
    <w:multiLevelType w:val="hybridMultilevel"/>
    <w:lvl w:ilvl="0">
      <w:lvlJc w:val="left"/>
      <w:lvlText w:val="4"/>
      <w:numFmt w:val="bullet"/>
      <w:start w:val="1"/>
    </w:lvl>
  </w:abstractNum>
  <w:abstractNum w:abstractNumId="142">
    <w:nsid w:val="3A966CD0"/>
    <w:multiLevelType w:val="hybridMultilevel"/>
    <w:lvl w:ilvl="0">
      <w:lvlJc w:val="left"/>
      <w:lvlText w:val="5"/>
      <w:numFmt w:val="bullet"/>
      <w:start w:val="1"/>
    </w:lvl>
    <w:lvl w:ilvl="1">
      <w:lvlJc w:val="left"/>
      <w:lvlText w:val="(%2)"/>
      <w:numFmt w:val="lowerLetter"/>
      <w:start w:val="1"/>
    </w:lvl>
  </w:abstractNum>
  <w:abstractNum w:abstractNumId="143">
    <w:nsid w:val="63F37E85"/>
    <w:multiLevelType w:val="hybridMultilevel"/>
    <w:lvl w:ilvl="0">
      <w:lvlJc w:val="left"/>
      <w:lvlText w:val="6"/>
      <w:numFmt w:val="bullet"/>
      <w:start w:val="1"/>
    </w:lvl>
  </w:abstractNum>
  <w:abstractNum w:abstractNumId="144">
    <w:nsid w:val="5895F5FA"/>
    <w:multiLevelType w:val="hybridMultilevel"/>
    <w:lvl w:ilvl="0">
      <w:lvlJc w:val="left"/>
      <w:lvlText w:val="7"/>
      <w:numFmt w:val="bullet"/>
      <w:start w:val="1"/>
    </w:lvl>
  </w:abstractNum>
  <w:abstractNum w:abstractNumId="145">
    <w:nsid w:val="38A5D054"/>
    <w:multiLevelType w:val="hybridMultilevel"/>
    <w:lvl w:ilvl="0">
      <w:lvlJc w:val="left"/>
      <w:lvlText w:val="8"/>
      <w:numFmt w:val="bullet"/>
      <w:start w:val="1"/>
    </w:lvl>
  </w:abstractNum>
  <w:abstractNum w:abstractNumId="146">
    <w:nsid w:val="F3F09D8"/>
    <w:multiLevelType w:val="hybridMultilevel"/>
    <w:lvl w:ilvl="0">
      <w:lvlJc w:val="left"/>
      <w:lvlText w:val="9"/>
      <w:numFmt w:val="bullet"/>
      <w:start w:val="1"/>
    </w:lvl>
  </w:abstractNum>
  <w:abstractNum w:abstractNumId="147">
    <w:nsid w:val="4B793735"/>
    <w:multiLevelType w:val="hybridMultilevel"/>
    <w:lvl w:ilvl="0">
      <w:lvlJc w:val="left"/>
      <w:lvlText w:val="0"/>
      <w:numFmt w:val="bullet"/>
      <w:start w:val="1"/>
    </w:lvl>
  </w:abstractNum>
  <w:abstractNum w:abstractNumId="148">
    <w:nsid w:val="4A10B4E8"/>
    <w:multiLevelType w:val="hybridMultilevel"/>
    <w:lvl w:ilvl="0">
      <w:lvlJc w:val="left"/>
      <w:lvlText w:val="2"/>
      <w:numFmt w:val="bullet"/>
      <w:start w:val="1"/>
    </w:lvl>
    <w:lvl w:ilvl="1">
      <w:lvlJc w:val="left"/>
      <w:lvlText w:val="(%2)"/>
      <w:numFmt w:val="lowerLetter"/>
      <w:start w:val="1"/>
    </w:lvl>
  </w:abstractNum>
  <w:abstractNum w:abstractNumId="149">
    <w:nsid w:val="43D3BCD4"/>
    <w:multiLevelType w:val="hybridMultilevel"/>
    <w:lvl w:ilvl="0">
      <w:lvlJc w:val="left"/>
      <w:lvlText w:val="(%1)"/>
      <w:numFmt w:val="lowerLetter"/>
      <w:start w:val="4"/>
    </w:lvl>
    <w:lvl w:ilvl="1">
      <w:lvlJc w:val="left"/>
      <w:lvlText w:val="(%2)"/>
      <w:numFmt w:val="lowerRoman"/>
      <w:start w:val="1"/>
    </w:lvl>
  </w:abstractNum>
  <w:abstractNum w:abstractNumId="150">
    <w:nsid w:val="4C2A7166"/>
    <w:multiLevelType w:val="hybridMultilevel"/>
    <w:lvl w:ilvl="0">
      <w:lvlJc w:val="left"/>
      <w:lvlText w:val="3"/>
      <w:numFmt w:val="bullet"/>
      <w:start w:val="1"/>
    </w:lvl>
    <w:lvl w:ilvl="1">
      <w:lvlJc w:val="left"/>
      <w:lvlText w:val="(%2)"/>
      <w:numFmt w:val="lowerLetter"/>
      <w:start w:val="1"/>
    </w:lvl>
  </w:abstractNum>
  <w:abstractNum w:abstractNumId="151">
    <w:nsid w:val="2E534A82"/>
    <w:multiLevelType w:val="hybridMultilevel"/>
    <w:lvl w:ilvl="0">
      <w:lvlJc w:val="left"/>
      <w:lvlText w:val="4"/>
      <w:numFmt w:val="bullet"/>
      <w:start w:val="1"/>
    </w:lvl>
  </w:abstractNum>
  <w:abstractNum w:abstractNumId="152">
    <w:nsid w:val="26F2D364"/>
    <w:multiLevelType w:val="hybridMultilevel"/>
    <w:lvl w:ilvl="0">
      <w:lvlJc w:val="left"/>
      <w:lvlText w:val="5"/>
      <w:numFmt w:val="bullet"/>
      <w:start w:val="1"/>
    </w:lvl>
  </w:abstractNum>
  <w:abstractNum w:abstractNumId="153">
    <w:nsid w:val="71C1AF98"/>
    <w:multiLevelType w:val="hybridMultilevel"/>
    <w:lvl w:ilvl="0">
      <w:lvlJc w:val="left"/>
      <w:lvlText w:val="6"/>
      <w:numFmt w:val="bullet"/>
      <w:start w:val="1"/>
    </w:lvl>
  </w:abstractNum>
  <w:abstractNum w:abstractNumId="154">
    <w:nsid w:val="3D00B9D9"/>
    <w:multiLevelType w:val="hybridMultilevel"/>
    <w:lvl w:ilvl="0">
      <w:lvlJc w:val="left"/>
      <w:lvlText w:val="7"/>
      <w:numFmt w:val="bullet"/>
      <w:start w:val="1"/>
    </w:lvl>
    <w:lvl w:ilvl="1">
      <w:lvlJc w:val="left"/>
      <w:lvlText w:val="(%2)"/>
      <w:numFmt w:val="lowerLetter"/>
      <w:start w:val="1"/>
    </w:lvl>
  </w:abstractNum>
  <w:abstractNum w:abstractNumId="155">
    <w:nsid w:val="15BCABA8"/>
    <w:multiLevelType w:val="hybridMultilevel"/>
    <w:lvl w:ilvl="0">
      <w:lvlJc w:val="left"/>
      <w:lvlText w:val="8"/>
      <w:numFmt w:val="bullet"/>
      <w:start w:val="1"/>
    </w:lvl>
  </w:abstractNum>
  <w:abstractNum w:abstractNumId="156">
    <w:nsid w:val="4E0B9A87"/>
    <w:multiLevelType w:val="hybridMultilevel"/>
    <w:lvl w:ilvl="0">
      <w:lvlJc w:val="left"/>
      <w:lvlText w:val="9"/>
      <w:numFmt w:val="bullet"/>
      <w:start w:val="1"/>
    </w:lvl>
  </w:abstractNum>
  <w:abstractNum w:abstractNumId="157">
    <w:nsid w:val="434BAE75"/>
    <w:multiLevelType w:val="hybridMultilevel"/>
    <w:lvl w:ilvl="0">
      <w:lvlJc w:val="left"/>
      <w:lvlText w:val="0"/>
      <w:numFmt w:val="bullet"/>
      <w:start w:val="1"/>
    </w:lvl>
  </w:abstractNum>
  <w:abstractNum w:abstractNumId="158">
    <w:nsid w:val="4F38F265"/>
    <w:multiLevelType w:val="hybridMultilevel"/>
    <w:lvl w:ilvl="0">
      <w:lvlJc w:val="left"/>
      <w:lvlText w:val="3"/>
      <w:numFmt w:val="bullet"/>
      <w:start w:val="1"/>
    </w:lvl>
    <w:lvl w:ilvl="1">
      <w:lvlJc w:val="left"/>
      <w:lvlText w:val="(%2)"/>
      <w:numFmt w:val="lowerLetter"/>
      <w:start w:val="1"/>
    </w:lvl>
  </w:abstractNum>
  <w:abstractNum w:abstractNumId="159">
    <w:nsid w:val="4C502870"/>
    <w:multiLevelType w:val="hybridMultilevel"/>
    <w:lvl w:ilvl="0">
      <w:lvlJc w:val="left"/>
      <w:lvlText w:val="(%1)"/>
      <w:numFmt w:val="lowerLetter"/>
      <w:start w:val="2"/>
    </w:lvl>
  </w:abstractNum>
  <w:abstractNum w:abstractNumId="160">
    <w:nsid w:val="1DE8725A"/>
    <w:multiLevelType w:val="hybridMultilevel"/>
    <w:lvl w:ilvl="0">
      <w:lvlJc w:val="left"/>
      <w:lvlText w:val="1"/>
      <w:numFmt w:val="bullet"/>
      <w:start w:val="1"/>
    </w:lvl>
  </w:abstractNum>
  <w:abstractNum w:abstractNumId="161">
    <w:nsid w:val="6A37288A"/>
    <w:multiLevelType w:val="hybridMultilevel"/>
    <w:lvl w:ilvl="0">
      <w:lvlJc w:val="left"/>
      <w:lvlText w:val="(%1)"/>
      <w:numFmt w:val="lowerLetter"/>
      <w:start w:val="1"/>
    </w:lvl>
  </w:abstractNum>
  <w:abstractNum w:abstractNumId="162">
    <w:nsid w:val="8F8B73F"/>
    <w:multiLevelType w:val="hybridMultilevel"/>
    <w:lvl w:ilvl="0">
      <w:lvlJc w:val="left"/>
      <w:lvlText w:val="(%1)"/>
      <w:numFmt w:val="lowerLetter"/>
      <w:start w:val="3"/>
    </w:lvl>
  </w:abstractNum>
  <w:abstractNum w:abstractNumId="163">
    <w:nsid w:val="CA6B462"/>
    <w:multiLevelType w:val="hybridMultilevel"/>
    <w:lvl w:ilvl="0">
      <w:lvlJc w:val="left"/>
      <w:lvlText w:val="2"/>
      <w:numFmt w:val="bullet"/>
      <w:start w:val="1"/>
    </w:lvl>
  </w:abstractNum>
  <w:abstractNum w:abstractNumId="164">
    <w:nsid w:val="763CB680"/>
    <w:multiLevelType w:val="hybridMultilevel"/>
    <w:lvl w:ilvl="0">
      <w:lvlJc w:val="left"/>
      <w:lvlText w:val="(%1)"/>
      <w:numFmt w:val="lowerLetter"/>
      <w:start w:val="1"/>
    </w:lvl>
  </w:abstractNum>
  <w:abstractNum w:abstractNumId="165">
    <w:nsid w:val="15B71329"/>
    <w:multiLevelType w:val="hybridMultilevel"/>
    <w:lvl w:ilvl="0">
      <w:lvlJc w:val="left"/>
      <w:lvlText w:val="3"/>
      <w:numFmt w:val="bullet"/>
      <w:start w:val="1"/>
    </w:lvl>
  </w:abstractNum>
  <w:abstractNum w:abstractNumId="166">
    <w:nsid w:val="3DA97044"/>
    <w:multiLevelType w:val="hybridMultilevel"/>
    <w:lvl w:ilvl="0">
      <w:lvlJc w:val="left"/>
      <w:lvlText w:val="4"/>
      <w:numFmt w:val="bullet"/>
      <w:start w:val="1"/>
    </w:lvl>
  </w:abstractNum>
  <w:abstractNum w:abstractNumId="167">
    <w:nsid w:val="1CDCE2DE"/>
    <w:multiLevelType w:val="hybridMultilevel"/>
    <w:lvl w:ilvl="0">
      <w:lvlJc w:val="left"/>
      <w:lvlText w:val="5"/>
      <w:numFmt w:val="bullet"/>
      <w:start w:val="1"/>
    </w:lvl>
    <w:lvl w:ilvl="1">
      <w:lvlJc w:val="left"/>
      <w:lvlText w:val="(%2)"/>
      <w:numFmt w:val="lowerLetter"/>
      <w:start w:val="1"/>
    </w:lvl>
  </w:abstractNum>
  <w:abstractNum w:abstractNumId="168">
    <w:nsid w:val="69D3947C"/>
    <w:multiLevelType w:val="hybridMultilevel"/>
    <w:lvl w:ilvl="0">
      <w:lvlJc w:val="left"/>
      <w:lvlText w:val="6"/>
      <w:numFmt w:val="bullet"/>
      <w:start w:val="1"/>
    </w:lvl>
    <w:lvl w:ilvl="1">
      <w:lvlJc w:val="left"/>
      <w:lvlText w:val="(%2)"/>
      <w:numFmt w:val="lowerLetter"/>
      <w:start w:val="7"/>
    </w:lvl>
  </w:abstractNum>
  <w:abstractNum w:abstractNumId="169">
    <w:nsid w:val="2539DFA5"/>
    <w:multiLevelType w:val="hybridMultilevel"/>
    <w:lvl w:ilvl="0">
      <w:lvlJc w:val="left"/>
      <w:lvlText w:val="7"/>
      <w:numFmt w:val="bullet"/>
      <w:start w:val="1"/>
    </w:lvl>
  </w:abstractNum>
  <w:abstractNum w:abstractNumId="170">
    <w:nsid w:val="2DB88089"/>
    <w:multiLevelType w:val="hybridMultilevel"/>
    <w:lvl w:ilvl="0">
      <w:lvlJc w:val="left"/>
      <w:lvlText w:val="8"/>
      <w:numFmt w:val="bullet"/>
      <w:start w:val="1"/>
    </w:lvl>
  </w:abstractNum>
  <w:abstractNum w:abstractNumId="171">
    <w:nsid w:val="706B674E"/>
    <w:multiLevelType w:val="hybridMultilevel"/>
    <w:lvl w:ilvl="0">
      <w:lvlJc w:val="left"/>
      <w:lvlText w:val="9"/>
      <w:numFmt w:val="bullet"/>
      <w:start w:val="1"/>
    </w:lvl>
  </w:abstractNum>
  <w:abstractNum w:abstractNumId="172">
    <w:nsid w:val="2C106A57"/>
    <w:multiLevelType w:val="hybridMultilevel"/>
    <w:lvl w:ilvl="0">
      <w:lvlJc w:val="left"/>
      <w:lvlText w:val="0"/>
      <w:numFmt w:val="bullet"/>
      <w:start w:val="1"/>
    </w:lvl>
  </w:abstractNum>
  <w:abstractNum w:abstractNumId="173">
    <w:nsid w:val="684EED59"/>
    <w:multiLevelType w:val="hybridMultilevel"/>
    <w:lvl w:ilvl="0">
      <w:lvlJc w:val="left"/>
      <w:lvlText w:val="2"/>
      <w:numFmt w:val="bullet"/>
      <w:start w:val="1"/>
    </w:lvl>
  </w:abstractNum>
  <w:abstractNum w:abstractNumId="174">
    <w:nsid w:val="545EE5D3"/>
    <w:multiLevelType w:val="hybridMultilevel"/>
    <w:lvl w:ilvl="0">
      <w:lvlJc w:val="left"/>
      <w:lvlText w:val="3"/>
      <w:numFmt w:val="bullet"/>
      <w:start w:val="1"/>
    </w:lvl>
  </w:abstractNum>
  <w:abstractNum w:abstractNumId="175">
    <w:nsid w:val="4A66051"/>
    <w:multiLevelType w:val="hybridMultilevel"/>
    <w:lvl w:ilvl="0">
      <w:lvlJc w:val="left"/>
      <w:lvlText w:val="4"/>
      <w:numFmt w:val="bullet"/>
      <w:start w:val="1"/>
    </w:lvl>
  </w:abstractNum>
  <w:abstractNum w:abstractNumId="176">
    <w:nsid w:val="20F4BDAD"/>
    <w:multiLevelType w:val="hybridMultilevel"/>
    <w:lvl w:ilvl="0">
      <w:lvlJc w:val="left"/>
      <w:lvlText w:val="1"/>
      <w:numFmt w:val="bullet"/>
      <w:start w:val="1"/>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Letter"/>
      <w:start w:val="1"/>
    </w:lvl>
    <w:lvl w:ilvl="1">
      <w:lvlJc w:val="left"/>
      <w:lvlText w:val="(%2)"/>
      <w:numFmt w:val="lowerLetter"/>
      <w:start w:val="4"/>
    </w:lvl>
  </w:abstractNum>
  <w:abstractNum w:abstractNumId="179">
    <w:nsid w:val="6B057295"/>
    <w:multiLevelType w:val="hybridMultilevel"/>
    <w:lvl w:ilvl="0">
      <w:lvlJc w:val="left"/>
      <w:lvlText w:val="(%1)"/>
      <w:numFmt w:val="lowerLetter"/>
      <w:start w:val="25"/>
    </w:lvl>
    <w:lvl w:ilvl="1">
      <w:lvlJc w:val="left"/>
      <w:lvlText w:val="(%2)"/>
      <w:numFmt w:val="lowerLetter"/>
      <w:start w:val="12"/>
    </w:lvl>
  </w:abstractNum>
  <w:abstractNum w:abstractNumId="180">
    <w:nsid w:val="2771AC80"/>
    <w:multiLevelType w:val="hybridMultilevel"/>
    <w:lvl w:ilvl="0">
      <w:lvlJc w:val="left"/>
      <w:lvlText w:val="(%1)"/>
      <w:numFmt w:val="lowerLetter"/>
      <w:start w:val="35"/>
    </w:lvl>
    <w:lvl w:ilvl="1">
      <w:lvlJc w:val="left"/>
      <w:lvlText w:val="%2"/>
      <w:numFmt w:val="lowerLetter"/>
      <w:start w:val="1"/>
    </w:lvl>
  </w:abstractNum>
  <w:abstractNum w:abstractNumId="181">
    <w:nsid w:val="1C4A08EC"/>
    <w:multiLevelType w:val="hybridMultilevel"/>
    <w:lvl w:ilvl="0">
      <w:lvlJc w:val="left"/>
      <w:lvlText w:val="(%1)"/>
      <w:numFmt w:val="lowerLetter"/>
      <w:start w:val="13"/>
    </w:lvl>
  </w:abstractNum>
  <w:abstractNum w:abstractNumId="182">
    <w:nsid w:val="1958BD17"/>
    <w:multiLevelType w:val="hybridMultilevel"/>
    <w:lvl w:ilvl="0">
      <w:lvlJc w:val="left"/>
      <w:lvlText w:val="(%1)"/>
      <w:numFmt w:val="lowerLetter"/>
      <w:start w:val="22"/>
    </w:lvl>
  </w:abstractNum>
  <w:abstractNum w:abstractNumId="183">
    <w:nsid w:val="4E647FE4"/>
    <w:multiLevelType w:val="hybridMultilevel"/>
    <w:lvl w:ilvl="0">
      <w:lvlJc w:val="left"/>
      <w:lvlText w:val="%1"/>
      <w:numFmt w:val="lowerLetter"/>
      <w:start w:val="1"/>
    </w:lvl>
    <w:lvl w:ilvl="1">
      <w:lvlJc w:val="left"/>
      <w:lvlText w:val="(%2)"/>
      <w:numFmt w:val="lowerLetter"/>
      <w:start w:val="27"/>
    </w:lvl>
  </w:abstractNum>
  <w:abstractNum w:abstractNumId="184">
    <w:nsid w:val="E0BB885"/>
    <w:multiLevelType w:val="hybridMultilevel"/>
    <w:lvl w:ilvl="0">
      <w:lvlJc w:val="left"/>
      <w:lvlText w:val="(%1)"/>
      <w:numFmt w:val="lowerLetter"/>
      <w:start w:val="28"/>
    </w:lvl>
    <w:lvl w:ilvl="1">
      <w:lvlJc w:val="left"/>
      <w:lvlText w:val="%2"/>
      <w:numFmt w:val="lowerLetter"/>
      <w:start w:val="1"/>
    </w:lvl>
  </w:abstractNum>
  <w:abstractNum w:abstractNumId="185">
    <w:nsid w:val="565976F1"/>
    <w:multiLevelType w:val="hybridMultilevel"/>
    <w:lvl w:ilvl="0">
      <w:lvlJc w:val="left"/>
      <w:lvlText w:val="2"/>
      <w:numFmt w:val="bullet"/>
      <w:start w:val="1"/>
    </w:lvl>
  </w:abstractNum>
  <w:abstractNum w:abstractNumId="186">
    <w:nsid w:val="64212B8C"/>
    <w:multiLevelType w:val="hybridMultilevel"/>
    <w:lvl w:ilvl="0">
      <w:lvlJc w:val="left"/>
      <w:lvlText w:val="(%1)"/>
      <w:numFmt w:val="lowerLetter"/>
      <w:start w:val="1"/>
    </w:lvl>
  </w:abstractNum>
  <w:abstractNum w:abstractNumId="187">
    <w:nsid w:val="5C17530C"/>
    <w:multiLevelType w:val="hybridMultilevel"/>
    <w:lvl w:ilvl="0">
      <w:lvlJc w:val="left"/>
      <w:lvlText w:val="%1"/>
      <w:numFmt w:val="upperLetter"/>
      <w:start w:val="1"/>
    </w:lvl>
    <w:lvl w:ilvl="1">
      <w:lvlJc w:val="left"/>
      <w:lvlText w:val="(%2)"/>
      <w:numFmt w:val="lowerLetter"/>
      <w:start w:val="9"/>
    </w:lvl>
  </w:abstractNum>
  <w:abstractNum w:abstractNumId="188">
    <w:nsid w:val="19A52566"/>
    <w:multiLevelType w:val="hybridMultilevel"/>
    <w:lvl w:ilvl="0">
      <w:lvlJc w:val="left"/>
      <w:lvlText w:val="(%1)"/>
      <w:numFmt w:val="upperLetter"/>
      <w:start w:val="1"/>
    </w:lvl>
    <w:lvl w:ilvl="1">
      <w:lvlJc w:val="left"/>
      <w:lvlText w:val="(%2)"/>
      <w:numFmt w:val="lowerLetter"/>
      <w:start w:val="10"/>
    </w:lvl>
  </w:abstractNum>
  <w:abstractNum w:abstractNumId="189">
    <w:nsid w:val="335A1DF1"/>
    <w:multiLevelType w:val="hybridMultilevel"/>
    <w:lvl w:ilvl="0">
      <w:lvlJc w:val="left"/>
      <w:lvlText w:val="(%1)"/>
      <w:numFmt w:val="lowerLetter"/>
      <w:start w:val="20"/>
    </w:lvl>
  </w:abstractNum>
  <w:abstractNum w:abstractNumId="190">
    <w:nsid w:val="28677B7C"/>
    <w:multiLevelType w:val="hybridMultilevel"/>
    <w:lvl w:ilvl="0">
      <w:lvlJc w:val="left"/>
      <w:lvlText w:val="3"/>
      <w:numFmt w:val="bullet"/>
      <w:start w:val="1"/>
    </w:lvl>
  </w:abstractNum>
  <w:abstractNum w:abstractNumId="191">
    <w:nsid w:val="378D97C0"/>
    <w:multiLevelType w:val="hybridMultilevel"/>
    <w:lvl w:ilvl="0">
      <w:lvlJc w:val="left"/>
      <w:lvlText w:val="4"/>
      <w:numFmt w:val="bullet"/>
      <w:start w:val="1"/>
    </w:lvl>
  </w:abstractNum>
  <w:abstractNum w:abstractNumId="192">
    <w:nsid w:val="1D91467C"/>
    <w:multiLevelType w:val="hybridMultilevel"/>
    <w:lvl w:ilvl="0">
      <w:lvlJc w:val="left"/>
      <w:lvlText w:val="(%1)"/>
      <w:numFmt w:val="lowerLetter"/>
      <w:start w:val="1"/>
    </w:lvl>
  </w:abstractNum>
  <w:abstractNum w:abstractNumId="193">
    <w:nsid w:val="316032BB"/>
    <w:multiLevelType w:val="hybridMultilevel"/>
    <w:lvl w:ilvl="0">
      <w:lvlJc w:val="left"/>
      <w:lvlText w:val="(%1)"/>
      <w:numFmt w:val="decimal"/>
      <w:start w:val="2"/>
    </w:lvl>
    <w:lvl w:ilvl="1">
      <w:lvlJc w:val="left"/>
      <w:lvlText w:val="(%2)"/>
      <w:numFmt w:val="lowerLetter"/>
      <w:start w:val="4"/>
    </w:lvl>
  </w:abstractNum>
  <w:abstractNum w:abstractNumId="194">
    <w:nsid w:val="44344C22"/>
    <w:multiLevelType w:val="hybridMultilevel"/>
    <w:lvl w:ilvl="0">
      <w:lvlJc w:val="left"/>
      <w:lvlText w:val="5"/>
      <w:numFmt w:val="bullet"/>
      <w:start w:val="1"/>
    </w:lvl>
  </w:abstractNum>
  <w:abstractNum w:abstractNumId="195">
    <w:nsid w:val="13CDFCFC"/>
    <w:multiLevelType w:val="hybridMultilevel"/>
    <w:lvl w:ilvl="0">
      <w:lvlJc w:val="left"/>
      <w:lvlText w:val="2"/>
      <w:numFmt w:val="bullet"/>
      <w:start w:val="1"/>
    </w:lvl>
  </w:abstractNum>
  <w:abstractNum w:abstractNumId="196">
    <w:nsid w:val="471745E4"/>
    <w:multiLevelType w:val="hybridMultilevel"/>
    <w:lvl w:ilvl="0">
      <w:lvlJc w:val="left"/>
      <w:lvlText w:val="8"/>
      <w:numFmt w:val="bullet"/>
      <w:start w:val="1"/>
    </w:lvl>
  </w:abstractNum>
  <w:abstractNum w:abstractNumId="197">
    <w:nsid w:val="1DDBC66"/>
    <w:multiLevelType w:val="hybridMultilevel"/>
    <w:lvl w:ilvl="0">
      <w:lvlJc w:val="left"/>
      <w:lvlText w:val="9"/>
      <w:numFmt w:val="bullet"/>
      <w:start w:val="1"/>
    </w:lvl>
  </w:abstractNum>
  <w:abstractNum w:abstractNumId="198">
    <w:nsid w:val="30AADFDA"/>
    <w:multiLevelType w:val="hybridMultilevel"/>
    <w:lvl w:ilvl="0">
      <w:lvlJc w:val="left"/>
      <w:lvlText w:val="1"/>
      <w:numFmt w:val="bullet"/>
      <w:start w:val="1"/>
    </w:lvl>
  </w:abstractNum>
  <w:abstractNum w:abstractNumId="199">
    <w:nsid w:val="30EADA61"/>
    <w:multiLevelType w:val="hybridMultilevel"/>
    <w:lvl w:ilvl="0">
      <w:lvlJc w:val="left"/>
      <w:lvlText w:val="(%1)"/>
      <w:numFmt w:val="lowerLetter"/>
      <w:start w:val="1"/>
    </w:lvl>
  </w:abstractNum>
  <w:abstractNum w:abstractNumId="200">
    <w:nsid w:val="27179C0B"/>
    <w:multiLevelType w:val="hybridMultilevel"/>
    <w:lvl w:ilvl="0">
      <w:lvlJc w:val="left"/>
      <w:lvlText w:val="(%1)"/>
      <w:numFmt w:val="lowerLetter"/>
      <w:start w:val="2"/>
    </w:lvl>
  </w:abstractNum>
  <w:abstractNum w:abstractNumId="201">
    <w:nsid w:val="5E636063"/>
    <w:multiLevelType w:val="hybridMultilevel"/>
    <w:lvl w:ilvl="0">
      <w:lvlJc w:val="left"/>
      <w:lvlText w:val="(%1)"/>
      <w:numFmt w:val="lowerLetter"/>
      <w:start w:val="6"/>
    </w:lvl>
  </w:abstractNum>
  <w:abstractNum w:abstractNumId="202">
    <w:nsid w:val="215641AF"/>
    <w:multiLevelType w:val="hybridMultilevel"/>
    <w:lvl w:ilvl="0">
      <w:lvlJc w:val="left"/>
      <w:lvlText w:val="2"/>
      <w:numFmt w:val="bullet"/>
      <w:start w:val="1"/>
    </w:lvl>
  </w:abstractNum>
  <w:abstractNum w:abstractNumId="203">
    <w:nsid w:val="53280662"/>
    <w:multiLevelType w:val="hybridMultilevel"/>
    <w:lvl w:ilvl="0">
      <w:lvlJc w:val="left"/>
      <w:lvlText w:val="(%1)"/>
      <w:numFmt w:val="lowerLetter"/>
      <w:start w:val="1"/>
    </w:lvl>
  </w:abstractNum>
  <w:abstractNum w:abstractNumId="204">
    <w:nsid w:val="46B24DBC"/>
    <w:multiLevelType w:val="hybridMultilevel"/>
    <w:lvl w:ilvl="0">
      <w:lvlJc w:val="left"/>
      <w:lvlText w:val="2"/>
      <w:numFmt w:val="bullet"/>
      <w:start w:val="1"/>
    </w:lvl>
  </w:abstractNum>
  <w:abstractNum w:abstractNumId="205">
    <w:nsid w:val="75B52783"/>
    <w:multiLevelType w:val="hybridMultilevel"/>
    <w:lvl w:ilvl="0">
      <w:lvlJc w:val="left"/>
      <w:lvlText w:val="3"/>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06">
    <w:nsid w:val="57CE66B4"/>
    <w:multiLevelType w:val="hybridMultilevel"/>
    <w:lvl w:ilvl="0">
      <w:lvlJc w:val="left"/>
      <w:lvlText w:val="3"/>
      <w:numFmt w:val="bullet"/>
      <w:start w:val="1"/>
    </w:lvl>
    <w:lvl w:ilvl="1">
      <w:lvlJc w:val="left"/>
      <w:lvlText w:val="(%2)"/>
      <w:numFmt w:val="lowerLetter"/>
      <w:start w:val="2"/>
    </w:lvl>
    <w:lvl w:ilvl="2">
      <w:lvlJc w:val="left"/>
      <w:lvlText w:val="(%3)"/>
      <w:numFmt w:val="lowerLetter"/>
      <w:start w:val="3"/>
    </w:lvl>
    <w:lvl w:ilvl="3">
      <w:lvlJc w:val="left"/>
      <w:lvlText w:val="%4"/>
      <w:numFmt w:val="lowerRoman"/>
      <w:start w:val="1"/>
    </w:lvl>
  </w:abstractNum>
  <w:abstractNum w:abstractNumId="207">
    <w:nsid w:val="67A70B69"/>
    <w:multiLevelType w:val="hybridMultilevel"/>
    <w:lvl w:ilvl="0">
      <w:lvlJc w:val="left"/>
      <w:lvlText w:val="(%1)"/>
      <w:numFmt w:val="lowerLetter"/>
      <w:start w:val="4"/>
    </w:lvl>
  </w:abstractNum>
  <w:abstractNum w:abstractNumId="208">
    <w:nsid w:val="5953172F"/>
    <w:multiLevelType w:val="hybridMultilevel"/>
    <w:lvl w:ilvl="0">
      <w:lvlJc w:val="left"/>
      <w:lvlText w:val="4"/>
      <w:numFmt w:val="bullet"/>
      <w:start w:val="1"/>
    </w:lvl>
  </w:abstractNum>
  <w:abstractNum w:abstractNumId="209">
    <w:nsid w:val="27EDFE3A"/>
    <w:multiLevelType w:val="hybridMultilevel"/>
    <w:lvl w:ilvl="0">
      <w:lvlJc w:val="left"/>
      <w:lvlText w:val="5"/>
      <w:numFmt w:val="bullet"/>
      <w:start w:val="1"/>
    </w:lvl>
  </w:abstractNum>
  <w:abstractNum w:abstractNumId="210">
    <w:nsid w:val="52AC7DFF"/>
    <w:multiLevelType w:val="hybridMultilevel"/>
    <w:lvl w:ilvl="0">
      <w:lvlJc w:val="left"/>
      <w:lvlText w:val="6"/>
      <w:numFmt w:val="bullet"/>
      <w:start w:val="1"/>
    </w:lvl>
    <w:lvl w:ilvl="1">
      <w:lvlJc w:val="left"/>
      <w:lvlText w:val="(%2)"/>
      <w:numFmt w:val="lowerLetter"/>
      <w:start w:val="1"/>
    </w:lvl>
  </w:abstractNum>
  <w:abstractNum w:abstractNumId="211">
    <w:nsid w:val="C4C3AF"/>
    <w:multiLevelType w:val="hybridMultilevel"/>
    <w:lvl w:ilvl="0">
      <w:lvlJc w:val="left"/>
      <w:lvlText w:val="(%1)"/>
      <w:numFmt w:val="lowerLetter"/>
      <w:start w:val="2"/>
    </w:lvl>
  </w:abstractNum>
  <w:abstractNum w:abstractNumId="212">
    <w:nsid w:val="44380727"/>
    <w:multiLevelType w:val="hybridMultilevel"/>
    <w:lvl w:ilvl="0">
      <w:lvlJc w:val="left"/>
      <w:lvlText w:val="7"/>
      <w:numFmt w:val="bullet"/>
      <w:start w:val="1"/>
    </w:lvl>
  </w:abstractNum>
  <w:abstractNum w:abstractNumId="213">
    <w:nsid w:val="6C053B16"/>
    <w:multiLevelType w:val="hybridMultilevel"/>
    <w:lvl w:ilvl="0">
      <w:lvlJc w:val="left"/>
      <w:lvlText w:val="8"/>
      <w:numFmt w:val="bullet"/>
      <w:start w:val="1"/>
    </w:lvl>
  </w:abstractNum>
  <w:abstractNum w:abstractNumId="214">
    <w:nsid w:val="4F294393"/>
    <w:multiLevelType w:val="hybridMultilevel"/>
    <w:lvl w:ilvl="0">
      <w:lvlJc w:val="left"/>
      <w:lvlText w:val="9"/>
      <w:numFmt w:val="bullet"/>
      <w:start w:val="1"/>
    </w:lvl>
    <w:lvl w:ilvl="1">
      <w:lvlJc w:val="left"/>
      <w:lvlText w:val="(%2)"/>
      <w:numFmt w:val="lowerLetter"/>
      <w:start w:val="1"/>
    </w:lvl>
    <w:lvl w:ilvl="2">
      <w:lvlJc w:val="left"/>
      <w:lvlText w:val="(%3)"/>
      <w:numFmt w:val="lowerRoman"/>
      <w:start w:val="1"/>
    </w:lvl>
  </w:abstractNum>
  <w:abstractNum w:abstractNumId="215">
    <w:nsid w:val="5243BFAC"/>
    <w:multiLevelType w:val="hybridMultilevel"/>
    <w:lvl w:ilvl="0">
      <w:lvlJc w:val="left"/>
      <w:lvlText w:val="(%1)"/>
      <w:numFmt w:val="lowerLetter"/>
      <w:start w:val="2"/>
    </w:lvl>
  </w:abstractNum>
  <w:abstractNum w:abstractNumId="216">
    <w:nsid w:val="425EB207"/>
    <w:multiLevelType w:val="hybridMultilevel"/>
    <w:lvl w:ilvl="0">
      <w:lvlJc w:val="left"/>
      <w:lvlText w:val="0"/>
      <w:numFmt w:val="bullet"/>
      <w:start w:val="1"/>
    </w:lvl>
    <w:lvl w:ilvl="1">
      <w:lvlJc w:val="left"/>
      <w:lvlText w:val="(%2)"/>
      <w:numFmt w:val="lowerLetter"/>
      <w:start w:val="1"/>
    </w:lvl>
    <w:lvl w:ilvl="2">
      <w:lvlJc w:val="left"/>
      <w:lvlText w:val="(%3)"/>
      <w:numFmt w:val="lowerLetter"/>
      <w:start w:val="9"/>
    </w:lvl>
  </w:abstractNum>
  <w:abstractNum w:abstractNumId="217">
    <w:nsid w:val="334A6F1F"/>
    <w:multiLevelType w:val="hybridMultilevel"/>
    <w:lvl w:ilvl="0">
      <w:lvlJc w:val="left"/>
      <w:lvlText w:val="2"/>
      <w:numFmt w:val="bullet"/>
      <w:start w:val="1"/>
    </w:lvl>
    <w:lvl w:ilvl="1">
      <w:lvlJc w:val="left"/>
      <w:lvlText w:val="(%2)"/>
      <w:numFmt w:val="lowerLetter"/>
      <w:start w:val="1"/>
    </w:lvl>
    <w:lvl w:ilvl="2">
      <w:lvlJc w:val="left"/>
      <w:lvlText w:val="(%3)"/>
      <w:numFmt w:val="lowerLetter"/>
      <w:start w:val="9"/>
    </w:lvl>
  </w:abstractNum>
  <w:abstractNum w:abstractNumId="218">
    <w:nsid w:val="2E5B12B8"/>
    <w:multiLevelType w:val="hybridMultilevel"/>
    <w:lvl w:ilvl="0">
      <w:lvlJc w:val="left"/>
      <w:lvlText w:val="%1"/>
      <w:numFmt w:val="lowerLetter"/>
      <w:start w:val="1"/>
    </w:lvl>
    <w:lvl w:ilvl="1">
      <w:lvlJc w:val="left"/>
      <w:lvlText w:val="(%2)"/>
      <w:numFmt w:val="lowerRoman"/>
      <w:start w:val="2"/>
    </w:lvl>
  </w:abstractNum>
  <w:abstractNum w:abstractNumId="219">
    <w:nsid w:val="5C03D76D"/>
    <w:multiLevelType w:val="hybridMultilevel"/>
    <w:lvl w:ilvl="0">
      <w:lvlJc w:val="left"/>
      <w:lvlText w:val="(%1)"/>
      <w:numFmt w:val="lowerLetter"/>
      <w:start w:val="7"/>
    </w:lvl>
    <w:lvl w:ilvl="1">
      <w:lvlJc w:val="left"/>
      <w:lvlText w:val="(%2)"/>
      <w:numFmt w:val="lowerRoman"/>
      <w:start w:val="4"/>
    </w:lvl>
  </w:abstractNum>
  <w:abstractNum w:abstractNumId="220">
    <w:nsid w:val="66A48D11"/>
    <w:multiLevelType w:val="hybridMultilevel"/>
    <w:lvl w:ilvl="0">
      <w:lvlJc w:val="left"/>
      <w:lvlText w:val="(%1)"/>
      <w:numFmt w:val="lowerLetter"/>
      <w:start w:val="2"/>
    </w:lvl>
  </w:abstractNum>
  <w:abstractNum w:abstractNumId="221">
    <w:nsid w:val="56C28E34"/>
    <w:multiLevelType w:val="hybridMultilevel"/>
    <w:lvl w:ilvl="0">
      <w:lvlJc w:val="left"/>
      <w:lvlText w:val="3"/>
      <w:numFmt w:val="bullet"/>
      <w:start w:val="1"/>
    </w:lvl>
  </w:abstractNum>
  <w:abstractNum w:abstractNumId="222">
    <w:nsid w:val="13916F2D"/>
    <w:multiLevelType w:val="hybridMultilevel"/>
    <w:lvl w:ilvl="0">
      <w:lvlJc w:val="left"/>
      <w:lvlText w:val="%1"/>
      <w:numFmt w:val="decimal"/>
      <w:start w:val="1"/>
    </w:lvl>
    <w:lvl w:ilvl="1">
      <w:lvlJc w:val="left"/>
      <w:lvlText w:val="(%2)"/>
      <w:numFmt w:val="lowerLetter"/>
      <w:start w:val="1"/>
    </w:lvl>
  </w:abstractNum>
  <w:abstractNum w:abstractNumId="223">
    <w:nsid w:val="435D38D"/>
    <w:multiLevelType w:val="hybridMultilevel"/>
    <w:lvl w:ilvl="0">
      <w:lvlJc w:val="left"/>
      <w:lvlText w:val="(%1)"/>
      <w:numFmt w:val="lowerRoman"/>
      <w:start w:val="1"/>
    </w:lvl>
  </w:abstractNum>
  <w:abstractNum w:abstractNumId="224">
    <w:nsid w:val="822C0EF"/>
    <w:multiLevelType w:val="hybridMultilevel"/>
    <w:lvl w:ilvl="0">
      <w:lvlJc w:val="left"/>
      <w:lvlText w:val="(%1)"/>
      <w:numFmt w:val="lowerRoman"/>
      <w:start w:val="11"/>
    </w:lvl>
  </w:abstractNum>
  <w:abstractNum w:abstractNumId="225">
    <w:nsid w:val="57C5BB4F"/>
    <w:multiLevelType w:val="hybridMultilevel"/>
    <w:lvl w:ilvl="0">
      <w:lvlJc w:val="left"/>
      <w:lvlText w:val="(%1)"/>
      <w:numFmt w:val="decimal"/>
      <w:start w:val="4"/>
    </w:lvl>
  </w:abstractNum>
  <w:abstractNum w:abstractNumId="226">
    <w:nsid w:val="1803D089"/>
    <w:multiLevelType w:val="hybridMultilevel"/>
    <w:lvl w:ilvl="0">
      <w:lvlJc w:val="left"/>
      <w:lvlText w:val="(%1)"/>
      <w:numFmt w:val="lowerLetter"/>
      <w:start w:val="2"/>
    </w:lvl>
  </w:abstractNum>
  <w:abstractNum w:abstractNumId="227">
    <w:nsid w:val="4F3A06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8">
    <w:nsid w:val="59A377B6"/>
    <w:multiLevelType w:val="hybridMultilevel"/>
    <w:lvl w:ilvl="0">
      <w:lvlJc w:val="left"/>
      <w:lvlText w:val="(%1)"/>
      <w:numFmt w:val="lowerLetter"/>
      <w:start w:val="2"/>
    </w:lvl>
    <w:lvl w:ilvl="1">
      <w:lvlJc w:val="left"/>
      <w:lvlText w:val="(%2)"/>
      <w:numFmt w:val="lowerRoman"/>
      <w:start w:val="1"/>
    </w:lvl>
  </w:abstractNum>
  <w:abstractNum w:abstractNumId="229">
    <w:nsid w:val="48AEB063"/>
    <w:multiLevelType w:val="hybridMultilevel"/>
    <w:lvl w:ilvl="0">
      <w:lvlJc w:val="left"/>
      <w:lvlText w:val="%1"/>
      <w:numFmt w:val="lowerLetter"/>
      <w:start w:val="1"/>
    </w:lvl>
    <w:lvl w:ilvl="1">
      <w:lvlJc w:val="left"/>
      <w:lvlText w:val="(%2)"/>
      <w:numFmt w:val="lowerLetter"/>
      <w:start w:val="5"/>
    </w:lvl>
  </w:abstractNum>
  <w:abstractNum w:abstractNumId="230">
    <w:nsid w:val="24E135"/>
    <w:multiLevelType w:val="hybridMultilevel"/>
    <w:lvl w:ilvl="0">
      <w:lvlJc w:val="left"/>
      <w:lvlText w:val="(%1)"/>
      <w:numFmt w:val="lowerLetter"/>
      <w:start w:val="9"/>
    </w:lvl>
    <w:lvl w:ilvl="1">
      <w:lvlJc w:val="left"/>
      <w:lvlText w:val="%2"/>
      <w:numFmt w:val="lowerLetter"/>
      <w:start w:val="1"/>
    </w:lvl>
  </w:abstractNum>
  <w:abstractNum w:abstractNumId="231">
    <w:nsid w:val="BB13C1"/>
    <w:multiLevelType w:val="hybridMultilevel"/>
    <w:lvl w:ilvl="0">
      <w:lvlJc w:val="left"/>
      <w:lvlText w:val="%1"/>
      <w:numFmt w:val="decimal"/>
      <w:start w:val="3"/>
    </w:lvl>
    <w:lvl w:ilvl="1">
      <w:lvlJc w:val="left"/>
      <w:lvlText w:val="(%2)"/>
      <w:numFmt w:val="lowerLetter"/>
      <w:start w:val="6"/>
    </w:lvl>
  </w:abstractNum>
  <w:abstractNum w:abstractNumId="232">
    <w:nsid w:val="271210C7"/>
    <w:multiLevelType w:val="hybridMultilevel"/>
    <w:lvl w:ilvl="0">
      <w:lvlJc w:val="left"/>
      <w:lvlText w:val="%1"/>
      <w:numFmt w:val="decimal"/>
      <w:start w:val="4"/>
    </w:lvl>
    <w:lvl w:ilvl="1">
      <w:lvlJc w:val="left"/>
      <w:lvlText w:val="(%2)"/>
      <w:numFmt w:val="lowerLetter"/>
      <w:start w:val="60"/>
    </w:lvl>
    <w:lvl w:ilvl="2">
      <w:lvlJc w:val="left"/>
      <w:lvlText w:val="(%3)"/>
      <w:numFmt w:val="lowerLetter"/>
      <w:start w:val="1"/>
    </w:lvl>
  </w:abstractNum>
  <w:abstractNum w:abstractNumId="233">
    <w:nsid w:val="217B22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34">
    <w:nsid w:val="53E31A24"/>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235">
    <w:nsid w:val="6DC45E83"/>
    <w:multiLevelType w:val="hybridMultilevel"/>
    <w:lvl w:ilvl="0">
      <w:lvlJc w:val="left"/>
      <w:lvlText w:val="(%1)"/>
      <w:numFmt w:val="lowerLetter"/>
      <w:start w:val="3"/>
    </w:lvl>
  </w:abstractNum>
  <w:abstractNum w:abstractNumId="236">
    <w:nsid w:val="17304A67"/>
    <w:multiLevelType w:val="hybridMultilevel"/>
    <w:lvl w:ilvl="0">
      <w:lvlJc w:val="left"/>
      <w:lvlText w:val="(%1)"/>
      <w:numFmt w:val="lowerLetter"/>
      <w:start w:val="5"/>
    </w:lvl>
  </w:abstractNum>
  <w:abstractNum w:abstractNumId="237">
    <w:nsid w:val="2BB180D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38">
    <w:nsid w:val="556B69ED"/>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39">
    <w:nsid w:val="70836196"/>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240">
    <w:nsid w:val="539F7F12"/>
    <w:multiLevelType w:val="hybridMultilevel"/>
    <w:lvl w:ilvl="0">
      <w:lvlJc w:val="left"/>
      <w:lvlText w:val="(%1)"/>
      <w:numFmt w:val="lowerRoman"/>
      <w:start w:val="4"/>
    </w:lvl>
  </w:abstractNum>
  <w:abstractNum w:abstractNumId="241">
    <w:nsid w:val="2817E7EC"/>
    <w:multiLevelType w:val="hybridMultilevel"/>
    <w:lvl w:ilvl="0">
      <w:lvlJc w:val="left"/>
      <w:lvlText w:val="%1"/>
      <w:numFmt w:val="lowerLetter"/>
      <w:start w:val="1"/>
    </w:lvl>
    <w:lvl w:ilvl="1">
      <w:lvlJc w:val="left"/>
      <w:lvlText w:val="(%2)"/>
      <w:numFmt w:val="lowerRoman"/>
      <w:start w:val="6"/>
    </w:lvl>
  </w:abstractNum>
  <w:abstractNum w:abstractNumId="242">
    <w:nsid w:val="71482545"/>
    <w:multiLevelType w:val="hybridMultilevel"/>
    <w:lvl w:ilvl="0">
      <w:lvlJc w:val="left"/>
      <w:lvlText w:val="(%1)"/>
      <w:numFmt w:val="lowerLetter"/>
      <w:start w:val="3"/>
    </w:lvl>
    <w:lvl w:ilvl="1">
      <w:lvlJc w:val="left"/>
      <w:lvlText w:val="%2"/>
      <w:numFmt w:val="lowerRoman"/>
      <w:start w:val="1"/>
    </w:lvl>
  </w:abstractNum>
  <w:abstractNum w:abstractNumId="243">
    <w:nsid w:val="17D78639"/>
    <w:multiLevelType w:val="hybridMultilevel"/>
    <w:lvl w:ilvl="0">
      <w:lvlJc w:val="left"/>
      <w:lvlText w:val="(%1)"/>
      <w:numFmt w:val="lowerLetter"/>
      <w:start w:val="4"/>
    </w:lvl>
    <w:lvl w:ilvl="1">
      <w:lvlJc w:val="left"/>
      <w:lvlText w:val="(%2)"/>
      <w:numFmt w:val="lowerRoman"/>
      <w:start w:val="1"/>
    </w:lvl>
  </w:abstractNum>
  <w:abstractNum w:abstractNumId="244">
    <w:nsid w:val="141D2302"/>
    <w:multiLevelType w:val="hybridMultilevel"/>
    <w:lvl w:ilvl="0">
      <w:lvlJc w:val="left"/>
      <w:lvlText w:val="(%1)"/>
      <w:numFmt w:val="lowerLetter"/>
      <w:start w:val="5"/>
    </w:lvl>
    <w:lvl w:ilvl="1">
      <w:lvlJc w:val="left"/>
      <w:lvlText w:val="(%2)"/>
      <w:numFmt w:val="lowerRoman"/>
      <w:start w:val="1"/>
    </w:lvl>
  </w:abstractNum>
  <w:abstractNum w:abstractNumId="245">
    <w:nsid w:val="407168D8"/>
    <w:multiLevelType w:val="hybridMultilevel"/>
    <w:lvl w:ilvl="0">
      <w:lvlJc w:val="left"/>
      <w:lvlText w:val="%1"/>
      <w:numFmt w:val="decimal"/>
      <w:start w:val="1"/>
    </w:lvl>
    <w:lvl w:ilvl="1">
      <w:lvlJc w:val="left"/>
      <w:lvlText w:val="(%2)"/>
      <w:numFmt w:val="lowerRoman"/>
      <w:start w:val="3"/>
    </w:lvl>
  </w:abstractNum>
  <w:abstractNum w:abstractNumId="246">
    <w:nsid w:val="6A1B45E5"/>
    <w:multiLevelType w:val="hybridMultilevel"/>
    <w:lvl w:ilvl="0">
      <w:lvlJc w:val="left"/>
      <w:lvlText w:val="(%1)"/>
      <w:numFmt w:val="decimal"/>
      <w:start w:val="1"/>
    </w:lvl>
    <w:lvl w:ilvl="1">
      <w:lvlJc w:val="left"/>
      <w:lvlText w:val="(%2)"/>
      <w:numFmt w:val="lowerRoman"/>
      <w:start w:val="4"/>
    </w:lvl>
  </w:abstractNum>
  <w:abstractNum w:abstractNumId="247">
    <w:nsid w:val="567BD50A"/>
    <w:multiLevelType w:val="hybridMultilevel"/>
    <w:lvl w:ilvl="0">
      <w:lvlJc w:val="left"/>
      <w:lvlText w:val="%1"/>
      <w:numFmt w:val="decimal"/>
      <w:start w:val="7"/>
    </w:lvl>
    <w:lvl w:ilvl="1">
      <w:lvlJc w:val="left"/>
      <w:lvlText w:val="(%2)"/>
      <w:numFmt w:val="lowerLetter"/>
      <w:start w:val="1"/>
    </w:lvl>
  </w:abstractNum>
  <w:abstractNum w:abstractNumId="248">
    <w:nsid w:val="73BBD7F8"/>
    <w:multiLevelType w:val="hybridMultilevel"/>
    <w:lvl w:ilvl="0">
      <w:lvlJc w:val="left"/>
      <w:lvlText w:val="(%1)"/>
      <w:numFmt w:val="upperLetter"/>
      <w:start w:val="3"/>
    </w:lvl>
    <w:lvl w:ilvl="1">
      <w:lvlJc w:val="left"/>
      <w:lvlText w:val="(%2)"/>
      <w:numFmt w:val="lowerLetter"/>
      <w:start w:val="2"/>
    </w:lvl>
  </w:abstractNum>
  <w:abstractNum w:abstractNumId="249">
    <w:nsid w:val="1876589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50">
    <w:nsid w:val="327FAC77"/>
    <w:multiLevelType w:val="hybridMultilevel"/>
    <w:lvl w:ilvl="0">
      <w:lvlJc w:val="left"/>
      <w:lvlText w:val="%1"/>
      <w:numFmt w:val="decimal"/>
      <w:start w:val="14"/>
    </w:lvl>
    <w:lvl w:ilvl="1">
      <w:lvlJc w:val="left"/>
      <w:lvlText w:val="(%2)"/>
      <w:numFmt w:val="lowerLetter"/>
      <w:start w:val="1"/>
    </w:lvl>
  </w:abstractNum>
  <w:abstractNum w:abstractNumId="251">
    <w:nsid w:val="5A606509"/>
    <w:multiLevelType w:val="hybridMultilevel"/>
    <w:lvl w:ilvl="0">
      <w:lvlJc w:val="left"/>
      <w:lvlText w:val="(%1)"/>
      <w:numFmt w:val="lowerLetter"/>
      <w:start w:val="1"/>
    </w:lvl>
    <w:lvl w:ilvl="1">
      <w:lvlJc w:val="left"/>
      <w:lvlText w:val="(%2)"/>
      <w:numFmt w:val="lowerRoman"/>
      <w:start w:val="6"/>
    </w:lvl>
  </w:abstractNum>
  <w:abstractNum w:abstractNumId="252">
    <w:nsid w:val="6F38E6D1"/>
    <w:multiLevelType w:val="hybridMultilevel"/>
    <w:lvl w:ilvl="0">
      <w:lvlJc w:val="left"/>
      <w:lvlText w:val="%1."/>
      <w:numFmt w:val="decimal"/>
      <w:start w:val="1"/>
    </w:lvl>
    <w:lvl w:ilvl="1">
      <w:lvlJc w:val="left"/>
      <w:lvlText w:val="%2)"/>
      <w:numFmt w:val="lowerLetter"/>
      <w:start w:val="1"/>
    </w:lvl>
  </w:abstractNum>
  <w:abstractNum w:abstractNumId="253">
    <w:nsid w:val="46111BA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2022-08-05T15:20:55Z</dcterms:created>
  <dcterms:modified xsi:type="dcterms:W3CDTF">2022-08-05T15:20:55Z</dcterms:modified>
</cp:coreProperties>
</file>