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4.jpeg" ContentType="image/jpeg"/>
  <Override PartName="/word/media/image13.gif" ContentType="image/gif"/>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0.jpeg" ContentType="image/jpeg"/>
  <Override PartName="/word/media/image8.jpeg" ContentType="image/jpeg"/>
  <Override PartName="/word/media/image1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UNITED STATES</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SECURITIES AND EXCHANGE COMMISSION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WASHINGTON, D.C. 20549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10-K</w:t>
      </w:r>
    </w:p>
    <w:p>
      <w:pPr>
        <w:pStyle w:val="TextBody"/>
        <w:bidi w:val="0"/>
        <w:spacing w:lineRule="atLeast" w:line="180" w:before="0" w:after="0"/>
        <w:jc w:val="left"/>
        <w:rPr/>
      </w:pPr>
      <w:r>
        <w:rPr>
          <w:caps w:val="false"/>
          <w:smallCaps w:val="false"/>
          <w:strike w:val="false"/>
          <w:dstrike w:val="false"/>
          <w:u w:val="none"/>
          <w:effect w:val="none"/>
        </w:rPr>
        <w:t>☒</w:t>
      </w:r>
      <w:r>
        <w:rPr>
          <w:rFonts w:ascii="Times New Roman;serif" w:hAnsi="Times New Roman;serif"/>
          <w:b/>
          <w:i w:val="false"/>
          <w:caps w:val="false"/>
          <w:smallCaps w:val="false"/>
          <w:strike w:val="false"/>
          <w:dstrike w:val="false"/>
          <w:sz w:val="18"/>
          <w:u w:val="none"/>
          <w:effect w:val="none"/>
        </w:rPr>
        <w:t>ANNUAL REPORT PURSUANT TO SECTION 13 OR 15(d) OF THE SECURITIES EXCHANGE ACT OF 1934</w:t>
      </w:r>
    </w:p>
    <w:p>
      <w:pPr>
        <w:pStyle w:val="TextBody"/>
        <w:bidi w:val="0"/>
        <w:spacing w:lineRule="atLeast" w:line="180" w:before="0" w:after="0"/>
        <w:jc w:val="left"/>
        <w:rPr>
          <w:sz w:val="24"/>
        </w:rPr>
      </w:pPr>
      <w:r>
        <w:rPr>
          <w:rFonts w:ascii="Times New Roman;serif" w:hAnsi="Times New Roman;serif"/>
          <w:b/>
          <w:i w:val="false"/>
          <w:caps w:val="false"/>
          <w:smallCaps w:val="false"/>
          <w:strike w:val="false"/>
          <w:dstrike w:val="false"/>
          <w:sz w:val="18"/>
          <w:u w:val="none"/>
          <w:effect w:val="none"/>
        </w:rPr>
        <w:t>For the Fiscal Year Ended December 31, 2025</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Times New Roman;serif" w:hAnsi="Times New Roman;serif"/>
          <w:b/>
          <w:i w:val="false"/>
          <w:caps w:val="false"/>
          <w:smallCaps w:val="false"/>
          <w:strike w:val="false"/>
          <w:dstrike w:val="false"/>
          <w:sz w:val="18"/>
          <w:u w:val="none"/>
          <w:effect w:val="none"/>
        </w:rPr>
        <w:t>TRANSITION REPORT PURSUANT TO SECTION 13 OR 15(d) OF THE SECURITIES EXCHANGE ACT OF 1934</w:t>
      </w:r>
    </w:p>
    <w:p>
      <w:pPr>
        <w:pStyle w:val="TextBody"/>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FOR THE TRANSITION PERIOD FROM </w:t>
      </w:r>
      <w:r>
        <w:rPr>
          <w:caps w:val="false"/>
          <w:smallCaps w:val="false"/>
          <w:u w:val="single"/>
        </w:rPr>
        <w:t>           </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 xml:space="preserve">TO </w:t>
      </w:r>
      <w:r>
        <w:rPr>
          <w:caps w:val="false"/>
          <w:smallCaps w:val="false"/>
          <w:u w:val="single"/>
        </w:rPr>
        <w:t>            </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Commission file number 000-19319</w:t>
      </w:r>
      <w:r>
        <w:rPr>
          <w:caps w:val="false"/>
          <w:smallCaps w:val="false"/>
          <w:strike w:val="false"/>
          <w:dstrike w:val="false"/>
          <w:sz w:val="24"/>
          <w:u w:val="none"/>
          <w:effect w:val="none"/>
        </w:rPr>
        <w:t xml:space="preserve">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24"/>
        </w:rPr>
      </w:pPr>
      <w:r>
        <w:rPr>
          <w:rFonts w:ascii="Times New Roman;serif" w:hAnsi="Times New Roman;serif"/>
          <w:b/>
          <w:i w:val="false"/>
          <w:caps w:val="false"/>
          <w:smallCaps w:val="false"/>
          <w:strike w:val="false"/>
          <w:dstrike w:val="false"/>
          <w:sz w:val="36"/>
          <w:u w:val="none"/>
          <w:effect w:val="none"/>
        </w:rPr>
        <w:t>Vertex Pharmaceuticals Incorporated</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(Exact name of registrant as specified in its charter)</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(State or other jurisdiction of incorporation or organization)</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50 Northern Avenue, Boston, 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(Address of principal executive offices)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04-3039129</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(I.R.S. Employer Identification No.)</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02210</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(Zip Code)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Registrant’s telephone number, including area code</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(617) 341-6100</w:t>
      </w:r>
      <w:r>
        <w:rPr>
          <w:caps w:val="false"/>
          <w:smallCaps w:val="false"/>
          <w:strike w:val="false"/>
          <w:dstrike w:val="false"/>
          <w:sz w:val="24"/>
          <w:u w:val="none"/>
          <w:effect w:val="none"/>
        </w:rPr>
        <w:t xml:space="preserve">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 registered pursuant to Section 12(b) of the Exchange Act:</w:t>
      </w:r>
    </w:p>
    <w:tbl>
      <w:tblPr>
        <w:tblW w:w="8251" w:type="dxa"/>
        <w:jc w:val="left"/>
        <w:tblInd w:w="0" w:type="dxa"/>
        <w:tblLayout w:type="fixed"/>
        <w:tblCellMar>
          <w:top w:w="28" w:type="dxa"/>
          <w:left w:w="28" w:type="dxa"/>
          <w:bottom w:w="28" w:type="dxa"/>
          <w:right w:w="28" w:type="dxa"/>
        </w:tblCellMar>
      </w:tblPr>
      <w:tblGrid>
        <w:gridCol w:w="1704"/>
        <w:gridCol w:w="1506"/>
        <w:gridCol w:w="1366"/>
        <w:gridCol w:w="1522"/>
        <w:gridCol w:w="2153"/>
      </w:tblGrid>
      <w:tr>
        <w:trPr/>
        <w:tc>
          <w:tcPr>
            <w:tcW w:w="170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3210" w:type="dxa"/>
            <w:gridSpan w:val="2"/>
            <w:tcBorders/>
            <w:vAlign w:val="center"/>
          </w:tcPr>
          <w:p>
            <w:pPr>
              <w:pStyle w:val="TableContents"/>
              <w:bidi w:val="0"/>
              <w:spacing w:lineRule="atLeast" w:line="180" w:before="0" w:after="0"/>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Title of Each Class</w:t>
            </w:r>
          </w:p>
        </w:tc>
        <w:tc>
          <w:tcPr>
            <w:tcW w:w="1366" w:type="dxa"/>
            <w:tcBorders/>
            <w:vAlign w:val="center"/>
          </w:tcPr>
          <w:p>
            <w:pPr>
              <w:pStyle w:val="TableContents"/>
              <w:bidi w:val="0"/>
              <w:spacing w:lineRule="atLeast" w:line="180" w:before="0" w:after="0"/>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Trading Symbol</w:t>
            </w:r>
          </w:p>
        </w:tc>
        <w:tc>
          <w:tcPr>
            <w:tcW w:w="3675" w:type="dxa"/>
            <w:gridSpan w:val="2"/>
            <w:tcBorders/>
            <w:vAlign w:val="center"/>
          </w:tcPr>
          <w:p>
            <w:pPr>
              <w:pStyle w:val="TableContents"/>
              <w:bidi w:val="0"/>
              <w:spacing w:lineRule="atLeast" w:line="180" w:before="0" w:after="0"/>
              <w:jc w:val="left"/>
              <w:rPr>
                <w:rFonts w:ascii="Times New Roman;serif" w:hAnsi="Times New Roman;serif"/>
                <w:b/>
                <w:i w:val="false"/>
                <w:caps w:val="false"/>
                <w:smallCaps w:val="false"/>
                <w:color w:val="000000"/>
                <w:sz w:val="18"/>
                <w:u w:val="single"/>
              </w:rPr>
            </w:pPr>
            <w:r>
              <w:rPr>
                <w:rFonts w:ascii="Times New Roman;serif" w:hAnsi="Times New Roman;serif"/>
                <w:b/>
                <w:i w:val="false"/>
                <w:caps w:val="false"/>
                <w:smallCaps w:val="false"/>
                <w:color w:val="000000"/>
                <w:sz w:val="18"/>
                <w:u w:val="single"/>
              </w:rPr>
              <w:t>Name of Each Exchange on Which Registered</w:t>
            </w:r>
          </w:p>
        </w:tc>
      </w:tr>
      <w:tr>
        <w:trPr/>
        <w:tc>
          <w:tcPr>
            <w:tcW w:w="3210" w:type="dxa"/>
            <w:gridSpan w:val="2"/>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Common Stock, $0.01 Par Value Per Share</w:t>
            </w:r>
          </w:p>
        </w:tc>
        <w:tc>
          <w:tcPr>
            <w:tcW w:w="136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VRTX</w:t>
            </w:r>
          </w:p>
        </w:tc>
        <w:tc>
          <w:tcPr>
            <w:tcW w:w="3675" w:type="dxa"/>
            <w:gridSpan w:val="2"/>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The Nasdaq Global Select Market</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Securities registered pursuant to Section 12(g) of the Exchange Act: None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Indicate by check mark if the registrant is a well-known seasoned issuer, as defined in Rule 405 of the Securities Act.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6"/>
          <w:u w:val="none"/>
          <w:effect w:val="none"/>
        </w:rPr>
        <w:t>No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Indicate by check mark if the registrant is not required to file reports pursuant to Section 13 or Section 15(d) of the Exchange Act.  Yes ☐ No</w:t>
      </w:r>
      <w:r>
        <w:rPr>
          <w:caps w:val="false"/>
          <w:smallCaps w:val="false"/>
          <w:strike w:val="false"/>
          <w:dstrike w:val="false"/>
          <w:sz w:val="24"/>
          <w:u w:val="none"/>
          <w:effect w:val="none"/>
        </w:rPr>
        <w:t>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(1) has filed all reports required to be filed by Section 13 or 15(d) of the Securities Exchange Act of 1934 during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the preceding 12 months (or for such shorter period that the registrant was required to file such reports), and (2) has been subject to such filing requirements for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the past 90 days.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6"/>
          <w:u w:val="none"/>
          <w:effect w:val="none"/>
        </w:rPr>
        <w:t>No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has submitted electronically every Interactive Data File required to be submitted pursuant to Rule 405 of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Regulation S-T (§232.405 of this chapter) during the preceding 12 months (or for such shorter period that the registrant was required to submit such files).  Yes</w:t>
      </w:r>
      <w:r>
        <w:rPr>
          <w:caps w:val="false"/>
          <w:smallCaps w:val="false"/>
          <w:strike w:val="false"/>
          <w:dstrike w:val="false"/>
          <w:sz w:val="24"/>
          <w:u w:val="none"/>
          <w:effect w:val="none"/>
        </w:rPr>
        <w:t xml:space="preserve"> ☒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No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is a large accelerated filer, an accelerated filer, a non-accelerated filer, a smaller reporting company, or an emerging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growth company. See the definitions of “large accelerated filer,” “accelerated filer,” “smaller reporting company,” and “emerging growth company” in Rule 12b-2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of the Exchange Act (Check one):</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Large accelerated filer</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6"/>
          <w:u w:val="none"/>
          <w:effect w:val="none"/>
        </w:rPr>
        <w:t xml:space="preserve">Accelerated filer ☐    Non-accelerated filer ☐    Smaller reporting company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Emerging growth company </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If an emerging growth company, indicate by check mark if the registrant has elected not to use the extended transition period for complying with any new or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revised financial accounting standards provided pursuant to Section 13(a) of the Exchange Act.  </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the registrant has filed a report on and attestation to its management’s assessment of the effectiveness of its internal control over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financial reporting under Section 404(b) of the Sarbanes-Oxley Act (15 U.S.C. 7262(b)) by the registered public accounting firm that prepared or issued its audit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report.  </w:t>
      </w:r>
      <w:r>
        <w:rPr>
          <w:caps w:val="false"/>
          <w:smallCaps w:val="false"/>
          <w:strike w:val="false"/>
          <w:dstrike w:val="false"/>
          <w:sz w:val="24"/>
          <w:u w:val="none"/>
          <w:effect w:val="none"/>
        </w:rPr>
        <w:t xml:space="preserve"> ☒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If securities are registered pursuant to Section 12(b) of the Act, indicate by check mark whether the financial statements of the registrant included in the filing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 xml:space="preserve">reflect the correction of an error to previously issued financial statements. </w:t>
      </w:r>
      <w:r>
        <w:rPr>
          <w:caps w:val="false"/>
          <w:smallCaps w:val="false"/>
          <w:strike w:val="false"/>
          <w:dstrike w:val="false"/>
          <w:sz w:val="24"/>
          <w:u w:val="none"/>
          <w:effect w:val="none"/>
        </w:rPr>
        <w:t>☐</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Indicate by check mark whether any of those error corrections are restatements that required a recovery analysis of incentive-based compensation received by any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of the registrant’s executive officers during the relevant recovery period pursuant to § 240.10D-1(b).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Indicate by check mark whether the registrant is a shell company (as defined in Rule 12b-2 of the Exchange Act).  Yes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No ☒</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The aggregate market value of the registrant’s common stock held by non-affiliates of the registrant based on the closing price on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(the last business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day of the registrant’s most recently completed second fiscal quarter of 2025) was $113.4 billion.</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As of February 6, 2026, the registrant had 254,034,190</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16"/>
          <w:u w:val="none"/>
          <w:effect w:val="none"/>
        </w:rPr>
        <w:t>shares of common stock outstanding.</w:t>
      </w:r>
    </w:p>
    <w:p>
      <w:pPr>
        <w:pStyle w:val="TextBody"/>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DOCUMENTS INCORPORATED BY REFERENCE</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Portions of the definitive proxy statement for the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Annual Meeting of Shareholders, which we expect to hold on May 13, 2026, are incorporated by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ANNUAL REPORT ON FORM 10-K</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tbl>
      <w:tblPr>
        <w:tblW w:w="9153" w:type="dxa"/>
        <w:jc w:val="left"/>
        <w:tblInd w:w="0" w:type="dxa"/>
        <w:tblLayout w:type="fixed"/>
        <w:tblCellMar>
          <w:top w:w="28" w:type="dxa"/>
          <w:left w:w="28" w:type="dxa"/>
          <w:bottom w:w="28" w:type="dxa"/>
          <w:right w:w="28" w:type="dxa"/>
        </w:tblCellMar>
      </w:tblPr>
      <w:tblGrid>
        <w:gridCol w:w="751"/>
        <w:gridCol w:w="8071"/>
        <w:gridCol w:w="331"/>
      </w:tblGrid>
      <w:tr>
        <w:trPr/>
        <w:tc>
          <w:tcPr>
            <w:tcW w:w="75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53" w:type="dxa"/>
            <w:gridSpan w:val="3"/>
            <w:tcBorders/>
            <w:vAlign w:val="center"/>
          </w:tcPr>
          <w:p>
            <w:pPr>
              <w:pStyle w:val="TableContents"/>
              <w:bidi w:val="0"/>
              <w:spacing w:lineRule="atLeast" w:line="180" w:before="0" w:after="0"/>
              <w:jc w:val="left"/>
              <w:rPr/>
            </w:pPr>
            <w:hyperlink w:anchor="ib44b4620d6d245e0bae824a83c255a23_10">
              <w:r>
                <w:rPr>
                  <w:rStyle w:val="InternetLink"/>
                  <w:rFonts w:ascii="Times New Roman;serif" w:hAnsi="Times New Roman;serif"/>
                  <w:b/>
                  <w:i w:val="false"/>
                  <w:caps w:val="false"/>
                  <w:smallCaps w:val="false"/>
                  <w:color w:val="0000FF"/>
                  <w:sz w:val="18"/>
                  <w:u w:val="single"/>
                </w:rPr>
                <w:t>PART I</w:t>
              </w:r>
            </w:hyperlink>
          </w:p>
        </w:tc>
      </w:tr>
      <w:tr>
        <w:trPr/>
        <w:tc>
          <w:tcPr>
            <w:tcW w:w="751" w:type="dxa"/>
            <w:tcBorders/>
            <w:vAlign w:val="center"/>
          </w:tcPr>
          <w:p>
            <w:pPr>
              <w:pStyle w:val="TableContents"/>
              <w:bidi w:val="0"/>
              <w:spacing w:lineRule="atLeast" w:line="180" w:before="0" w:after="0"/>
              <w:jc w:val="left"/>
              <w:rPr/>
            </w:pPr>
            <w:hyperlink w:anchor="ib44b4620d6d245e0bae824a83c255a23_13">
              <w:r>
                <w:rPr>
                  <w:rStyle w:val="InternetLink"/>
                  <w:rFonts w:ascii="Times New Roman;serif" w:hAnsi="Times New Roman;serif"/>
                  <w:b w:val="false"/>
                  <w:i w:val="false"/>
                  <w:caps w:val="false"/>
                  <w:smallCaps w:val="false"/>
                  <w:color w:val="0000FF"/>
                  <w:sz w:val="18"/>
                  <w:u w:val="single"/>
                </w:rPr>
                <w:t>Item 1.</w:t>
              </w:r>
            </w:hyperlink>
          </w:p>
        </w:tc>
        <w:tc>
          <w:tcPr>
            <w:tcW w:w="8071" w:type="dxa"/>
            <w:tcBorders/>
            <w:vAlign w:val="center"/>
          </w:tcPr>
          <w:p>
            <w:pPr>
              <w:pStyle w:val="TableContents"/>
              <w:bidi w:val="0"/>
              <w:spacing w:lineRule="atLeast" w:line="180" w:before="0" w:after="0"/>
              <w:jc w:val="left"/>
              <w:rPr/>
            </w:pPr>
            <w:hyperlink w:anchor="ib44b4620d6d245e0bae824a83c255a23_13">
              <w:r>
                <w:rPr>
                  <w:rStyle w:val="InternetLink"/>
                  <w:rFonts w:ascii="Times New Roman;serif" w:hAnsi="Times New Roman;serif"/>
                  <w:b w:val="false"/>
                  <w:i w:val="false"/>
                  <w:caps w:val="false"/>
                  <w:smallCaps w:val="false"/>
                  <w:color w:val="0000FF"/>
                  <w:sz w:val="18"/>
                  <w:u w:val="single"/>
                </w:rPr>
                <w:t>Business</w:t>
              </w:r>
            </w:hyperlink>
          </w:p>
        </w:tc>
        <w:tc>
          <w:tcPr>
            <w:tcW w:w="331" w:type="dxa"/>
            <w:tcBorders/>
            <w:vAlign w:val="center"/>
          </w:tcPr>
          <w:p>
            <w:pPr>
              <w:pStyle w:val="TableContents"/>
              <w:bidi w:val="0"/>
              <w:spacing w:lineRule="atLeast" w:line="180" w:before="0" w:after="0"/>
              <w:jc w:val="left"/>
              <w:rPr/>
            </w:pPr>
            <w:hyperlink w:anchor="ib44b4620d6d245e0bae824a83c255a23_13">
              <w:r>
                <w:rPr>
                  <w:rStyle w:val="InternetLink"/>
                  <w:rFonts w:ascii="Times New Roman;serif" w:hAnsi="Times New Roman;serif"/>
                  <w:b w:val="false"/>
                  <w:i w:val="false"/>
                  <w:caps w:val="false"/>
                  <w:smallCaps w:val="false"/>
                  <w:color w:val="0000FF"/>
                  <w:sz w:val="18"/>
                  <w:u w:val="single"/>
                </w:rPr>
                <w:t>1</w:t>
              </w:r>
            </w:hyperlink>
          </w:p>
        </w:tc>
      </w:tr>
      <w:tr>
        <w:trPr/>
        <w:tc>
          <w:tcPr>
            <w:tcW w:w="75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lineRule="atLeast" w:line="180" w:before="0" w:after="0"/>
              <w:jc w:val="left"/>
              <w:rPr/>
            </w:pPr>
            <w:hyperlink w:anchor="ib44b4620d6d245e0bae824a83c255a23_46">
              <w:r>
                <w:rPr>
                  <w:rStyle w:val="InternetLink"/>
                  <w:rFonts w:ascii="Times New Roman;serif" w:hAnsi="Times New Roman;serif"/>
                  <w:b w:val="false"/>
                  <w:i w:val="false"/>
                  <w:caps w:val="false"/>
                  <w:smallCaps w:val="false"/>
                  <w:color w:val="0000FF"/>
                  <w:sz w:val="18"/>
                  <w:u w:val="single"/>
                </w:rPr>
                <w:t>Information about our Executive Officers</w:t>
              </w:r>
            </w:hyperlink>
          </w:p>
        </w:tc>
        <w:tc>
          <w:tcPr>
            <w:tcW w:w="331" w:type="dxa"/>
            <w:tcBorders/>
            <w:vAlign w:val="center"/>
          </w:tcPr>
          <w:p>
            <w:pPr>
              <w:pStyle w:val="TableContents"/>
              <w:bidi w:val="0"/>
              <w:spacing w:lineRule="atLeast" w:line="180" w:before="0" w:after="0"/>
              <w:jc w:val="left"/>
              <w:rPr/>
            </w:pPr>
            <w:hyperlink w:anchor="ib44b4620d6d245e0bae824a83c255a23_46">
              <w:r>
                <w:rPr>
                  <w:rStyle w:val="InternetLink"/>
                  <w:rFonts w:ascii="Times New Roman;serif" w:hAnsi="Times New Roman;serif"/>
                  <w:b w:val="false"/>
                  <w:i w:val="false"/>
                  <w:caps w:val="false"/>
                  <w:smallCaps w:val="false"/>
                  <w:color w:val="0000FF"/>
                  <w:sz w:val="18"/>
                  <w:u w:val="single"/>
                </w:rPr>
                <w:t>22</w:t>
              </w:r>
            </w:hyperlink>
          </w:p>
        </w:tc>
      </w:tr>
      <w:tr>
        <w:trPr/>
        <w:tc>
          <w:tcPr>
            <w:tcW w:w="751" w:type="dxa"/>
            <w:tcBorders/>
            <w:vAlign w:val="center"/>
          </w:tcPr>
          <w:p>
            <w:pPr>
              <w:pStyle w:val="TableContents"/>
              <w:bidi w:val="0"/>
              <w:spacing w:lineRule="atLeast" w:line="180" w:before="0" w:after="0"/>
              <w:jc w:val="left"/>
              <w:rPr/>
            </w:pPr>
            <w:hyperlink w:anchor="ib44b4620d6d245e0bae824a83c255a23_49">
              <w:r>
                <w:rPr>
                  <w:rStyle w:val="InternetLink"/>
                  <w:rFonts w:ascii="Times New Roman;serif" w:hAnsi="Times New Roman;serif"/>
                  <w:b w:val="false"/>
                  <w:i w:val="false"/>
                  <w:caps w:val="false"/>
                  <w:smallCaps w:val="false"/>
                  <w:color w:val="0000FF"/>
                  <w:sz w:val="18"/>
                  <w:u w:val="single"/>
                </w:rPr>
                <w:t>Item 1A.</w:t>
              </w:r>
            </w:hyperlink>
          </w:p>
        </w:tc>
        <w:tc>
          <w:tcPr>
            <w:tcW w:w="8071" w:type="dxa"/>
            <w:tcBorders/>
            <w:vAlign w:val="center"/>
          </w:tcPr>
          <w:p>
            <w:pPr>
              <w:pStyle w:val="TableContents"/>
              <w:bidi w:val="0"/>
              <w:spacing w:lineRule="atLeast" w:line="180" w:before="0" w:after="0"/>
              <w:jc w:val="left"/>
              <w:rPr/>
            </w:pPr>
            <w:hyperlink w:anchor="ib44b4620d6d245e0bae824a83c255a23_49">
              <w:r>
                <w:rPr>
                  <w:rStyle w:val="InternetLink"/>
                  <w:rFonts w:ascii="Times New Roman;serif" w:hAnsi="Times New Roman;serif"/>
                  <w:b w:val="false"/>
                  <w:i w:val="false"/>
                  <w:caps w:val="false"/>
                  <w:smallCaps w:val="false"/>
                  <w:color w:val="0000FF"/>
                  <w:sz w:val="18"/>
                  <w:u w:val="single"/>
                </w:rPr>
                <w:t>Risk Factors</w:t>
              </w:r>
            </w:hyperlink>
          </w:p>
        </w:tc>
        <w:tc>
          <w:tcPr>
            <w:tcW w:w="331" w:type="dxa"/>
            <w:tcBorders/>
            <w:vAlign w:val="center"/>
          </w:tcPr>
          <w:p>
            <w:pPr>
              <w:pStyle w:val="TableContents"/>
              <w:bidi w:val="0"/>
              <w:spacing w:lineRule="atLeast" w:line="180" w:before="0" w:after="0"/>
              <w:jc w:val="left"/>
              <w:rPr/>
            </w:pPr>
            <w:hyperlink w:anchor="ib44b4620d6d245e0bae824a83c255a23_49">
              <w:r>
                <w:rPr>
                  <w:rStyle w:val="InternetLink"/>
                  <w:rFonts w:ascii="Times New Roman;serif" w:hAnsi="Times New Roman;serif"/>
                  <w:b w:val="false"/>
                  <w:i w:val="false"/>
                  <w:caps w:val="false"/>
                  <w:smallCaps w:val="false"/>
                  <w:color w:val="0000FF"/>
                  <w:sz w:val="18"/>
                  <w:u w:val="single"/>
                </w:rPr>
                <w:t>24</w:t>
              </w:r>
            </w:hyperlink>
          </w:p>
        </w:tc>
      </w:tr>
      <w:tr>
        <w:trPr/>
        <w:tc>
          <w:tcPr>
            <w:tcW w:w="751" w:type="dxa"/>
            <w:tcBorders/>
            <w:vAlign w:val="center"/>
          </w:tcPr>
          <w:p>
            <w:pPr>
              <w:pStyle w:val="TableContents"/>
              <w:bidi w:val="0"/>
              <w:spacing w:lineRule="atLeast" w:line="180" w:before="0" w:after="0"/>
              <w:jc w:val="left"/>
              <w:rPr/>
            </w:pPr>
            <w:hyperlink w:anchor="ib44b4620d6d245e0bae824a83c255a23_88">
              <w:r>
                <w:rPr>
                  <w:rStyle w:val="InternetLink"/>
                  <w:rFonts w:ascii="Times New Roman;serif" w:hAnsi="Times New Roman;serif"/>
                  <w:b w:val="false"/>
                  <w:i w:val="false"/>
                  <w:caps w:val="false"/>
                  <w:smallCaps w:val="false"/>
                  <w:color w:val="0000FF"/>
                  <w:sz w:val="18"/>
                  <w:u w:val="single"/>
                </w:rPr>
                <w:t>Item 1B.</w:t>
              </w:r>
            </w:hyperlink>
          </w:p>
        </w:tc>
        <w:tc>
          <w:tcPr>
            <w:tcW w:w="8071" w:type="dxa"/>
            <w:tcBorders/>
            <w:vAlign w:val="center"/>
          </w:tcPr>
          <w:p>
            <w:pPr>
              <w:pStyle w:val="TableContents"/>
              <w:bidi w:val="0"/>
              <w:spacing w:lineRule="atLeast" w:line="180" w:before="0" w:after="0"/>
              <w:jc w:val="left"/>
              <w:rPr/>
            </w:pPr>
            <w:hyperlink w:anchor="ib44b4620d6d245e0bae824a83c255a23_88">
              <w:r>
                <w:rPr>
                  <w:rStyle w:val="InternetLink"/>
                  <w:rFonts w:ascii="Times New Roman;serif" w:hAnsi="Times New Roman;serif"/>
                  <w:b w:val="false"/>
                  <w:i w:val="false"/>
                  <w:caps w:val="false"/>
                  <w:smallCaps w:val="false"/>
                  <w:color w:val="0000FF"/>
                  <w:sz w:val="18"/>
                  <w:u w:val="single"/>
                </w:rPr>
                <w:t>Unresolved Staff Comments</w:t>
              </w:r>
            </w:hyperlink>
          </w:p>
        </w:tc>
        <w:tc>
          <w:tcPr>
            <w:tcW w:w="331" w:type="dxa"/>
            <w:tcBorders/>
            <w:vAlign w:val="center"/>
          </w:tcPr>
          <w:p>
            <w:pPr>
              <w:pStyle w:val="TableContents"/>
              <w:bidi w:val="0"/>
              <w:spacing w:lineRule="atLeast" w:line="180" w:before="0" w:after="0"/>
              <w:jc w:val="left"/>
              <w:rPr/>
            </w:pPr>
            <w:hyperlink w:anchor="ib44b4620d6d245e0bae824a83c255a23_88">
              <w:r>
                <w:rPr>
                  <w:rStyle w:val="InternetLink"/>
                  <w:rFonts w:ascii="Times New Roman;serif" w:hAnsi="Times New Roman;serif"/>
                  <w:b w:val="false"/>
                  <w:i w:val="false"/>
                  <w:caps w:val="false"/>
                  <w:smallCaps w:val="false"/>
                  <w:color w:val="0000FF"/>
                  <w:sz w:val="18"/>
                  <w:u w:val="single"/>
                </w:rPr>
                <w:t>39</w:t>
              </w:r>
            </w:hyperlink>
          </w:p>
        </w:tc>
      </w:tr>
      <w:tr>
        <w:trPr/>
        <w:tc>
          <w:tcPr>
            <w:tcW w:w="751" w:type="dxa"/>
            <w:tcBorders/>
            <w:vAlign w:val="center"/>
          </w:tcPr>
          <w:p>
            <w:pPr>
              <w:pStyle w:val="TableContents"/>
              <w:bidi w:val="0"/>
              <w:spacing w:lineRule="atLeast" w:line="180" w:before="0" w:after="0"/>
              <w:jc w:val="left"/>
              <w:rPr/>
            </w:pPr>
            <w:hyperlink w:anchor="ib44b4620d6d245e0bae824a83c255a23_91">
              <w:r>
                <w:rPr>
                  <w:rStyle w:val="InternetLink"/>
                  <w:rFonts w:ascii="Times New Roman;serif" w:hAnsi="Times New Roman;serif"/>
                  <w:b w:val="false"/>
                  <w:i w:val="false"/>
                  <w:caps w:val="false"/>
                  <w:smallCaps w:val="false"/>
                  <w:color w:val="0000FF"/>
                  <w:sz w:val="18"/>
                  <w:u w:val="single"/>
                </w:rPr>
                <w:t>Item 1C</w:t>
              </w:r>
            </w:hyperlink>
            <w:r>
              <w:rPr>
                <w:rFonts w:ascii="Times New Roman;serif" w:hAnsi="Times New Roman;serif"/>
                <w:b w:val="false"/>
                <w:i w:val="false"/>
                <w:caps w:val="false"/>
                <w:smallCaps w:val="false"/>
                <w:sz w:val="18"/>
              </w:rPr>
              <w:t>.</w:t>
            </w:r>
          </w:p>
        </w:tc>
        <w:tc>
          <w:tcPr>
            <w:tcW w:w="8071" w:type="dxa"/>
            <w:tcBorders/>
            <w:vAlign w:val="center"/>
          </w:tcPr>
          <w:p>
            <w:pPr>
              <w:pStyle w:val="TableContents"/>
              <w:bidi w:val="0"/>
              <w:spacing w:lineRule="atLeast" w:line="180" w:before="0" w:after="0"/>
              <w:jc w:val="left"/>
              <w:rPr/>
            </w:pPr>
            <w:hyperlink w:anchor="ib44b4620d6d245e0bae824a83c255a23_91">
              <w:r>
                <w:rPr>
                  <w:rStyle w:val="InternetLink"/>
                  <w:rFonts w:ascii="Times New Roman;serif" w:hAnsi="Times New Roman;serif"/>
                  <w:b w:val="false"/>
                  <w:i w:val="false"/>
                  <w:caps w:val="false"/>
                  <w:smallCaps w:val="false"/>
                  <w:color w:val="0000FF"/>
                  <w:sz w:val="18"/>
                  <w:u w:val="single"/>
                </w:rPr>
                <w:t>Cybersecurity</w:t>
              </w:r>
            </w:hyperlink>
          </w:p>
        </w:tc>
        <w:tc>
          <w:tcPr>
            <w:tcW w:w="331" w:type="dxa"/>
            <w:tcBorders/>
            <w:vAlign w:val="center"/>
          </w:tcPr>
          <w:p>
            <w:pPr>
              <w:pStyle w:val="TableContents"/>
              <w:bidi w:val="0"/>
              <w:spacing w:lineRule="atLeast" w:line="180" w:before="0" w:after="0"/>
              <w:jc w:val="left"/>
              <w:rPr/>
            </w:pPr>
            <w:hyperlink w:anchor="ib44b4620d6d245e0bae824a83c255a23_91">
              <w:r>
                <w:rPr>
                  <w:rStyle w:val="InternetLink"/>
                  <w:rFonts w:ascii="Times New Roman;serif" w:hAnsi="Times New Roman;serif"/>
                  <w:b w:val="false"/>
                  <w:i w:val="false"/>
                  <w:caps w:val="false"/>
                  <w:smallCaps w:val="false"/>
                  <w:color w:val="0000FF"/>
                  <w:sz w:val="18"/>
                  <w:u w:val="single"/>
                </w:rPr>
                <w:t>39</w:t>
              </w:r>
            </w:hyperlink>
          </w:p>
        </w:tc>
      </w:tr>
      <w:tr>
        <w:trPr/>
        <w:tc>
          <w:tcPr>
            <w:tcW w:w="751" w:type="dxa"/>
            <w:tcBorders/>
            <w:vAlign w:val="center"/>
          </w:tcPr>
          <w:p>
            <w:pPr>
              <w:pStyle w:val="TableContents"/>
              <w:bidi w:val="0"/>
              <w:spacing w:lineRule="atLeast" w:line="180" w:before="0" w:after="0"/>
              <w:jc w:val="left"/>
              <w:rPr/>
            </w:pPr>
            <w:hyperlink w:anchor="ib44b4620d6d245e0bae824a83c255a23_94">
              <w:r>
                <w:rPr>
                  <w:rStyle w:val="InternetLink"/>
                  <w:rFonts w:ascii="Times New Roman;serif" w:hAnsi="Times New Roman;serif"/>
                  <w:b w:val="false"/>
                  <w:i w:val="false"/>
                  <w:caps w:val="false"/>
                  <w:smallCaps w:val="false"/>
                  <w:color w:val="0000FF"/>
                  <w:sz w:val="18"/>
                  <w:u w:val="single"/>
                </w:rPr>
                <w:t>Item 2.</w:t>
              </w:r>
            </w:hyperlink>
          </w:p>
        </w:tc>
        <w:tc>
          <w:tcPr>
            <w:tcW w:w="8071" w:type="dxa"/>
            <w:tcBorders/>
            <w:vAlign w:val="center"/>
          </w:tcPr>
          <w:p>
            <w:pPr>
              <w:pStyle w:val="TableContents"/>
              <w:bidi w:val="0"/>
              <w:spacing w:lineRule="atLeast" w:line="180" w:before="0" w:after="0"/>
              <w:jc w:val="left"/>
              <w:rPr/>
            </w:pPr>
            <w:hyperlink w:anchor="ib44b4620d6d245e0bae824a83c255a23_94">
              <w:r>
                <w:rPr>
                  <w:rStyle w:val="InternetLink"/>
                  <w:rFonts w:ascii="Times New Roman;serif" w:hAnsi="Times New Roman;serif"/>
                  <w:b w:val="false"/>
                  <w:i w:val="false"/>
                  <w:caps w:val="false"/>
                  <w:smallCaps w:val="false"/>
                  <w:color w:val="0000FF"/>
                  <w:sz w:val="18"/>
                  <w:u w:val="single"/>
                </w:rPr>
                <w:t>Properties</w:t>
              </w:r>
            </w:hyperlink>
          </w:p>
        </w:tc>
        <w:tc>
          <w:tcPr>
            <w:tcW w:w="331" w:type="dxa"/>
            <w:tcBorders/>
            <w:vAlign w:val="center"/>
          </w:tcPr>
          <w:p>
            <w:pPr>
              <w:pStyle w:val="TableContents"/>
              <w:bidi w:val="0"/>
              <w:spacing w:lineRule="atLeast" w:line="180" w:before="0" w:after="0"/>
              <w:jc w:val="left"/>
              <w:rPr/>
            </w:pPr>
            <w:hyperlink w:anchor="ib44b4620d6d245e0bae824a83c255a23_94">
              <w:r>
                <w:rPr>
                  <w:rStyle w:val="InternetLink"/>
                  <w:rFonts w:ascii="Times New Roman;serif" w:hAnsi="Times New Roman;serif"/>
                  <w:b w:val="false"/>
                  <w:i w:val="false"/>
                  <w:caps w:val="false"/>
                  <w:smallCaps w:val="false"/>
                  <w:color w:val="0000FF"/>
                  <w:sz w:val="18"/>
                  <w:u w:val="single"/>
                </w:rPr>
                <w:t>40</w:t>
              </w:r>
            </w:hyperlink>
          </w:p>
        </w:tc>
      </w:tr>
      <w:tr>
        <w:trPr/>
        <w:tc>
          <w:tcPr>
            <w:tcW w:w="751" w:type="dxa"/>
            <w:tcBorders/>
            <w:vAlign w:val="center"/>
          </w:tcPr>
          <w:p>
            <w:pPr>
              <w:pStyle w:val="TableContents"/>
              <w:bidi w:val="0"/>
              <w:spacing w:lineRule="atLeast" w:line="180" w:before="0" w:after="0"/>
              <w:jc w:val="left"/>
              <w:rPr/>
            </w:pPr>
            <w:hyperlink w:anchor="ib44b4620d6d245e0bae824a83c255a23_97">
              <w:r>
                <w:rPr>
                  <w:rStyle w:val="InternetLink"/>
                  <w:rFonts w:ascii="Times New Roman;serif" w:hAnsi="Times New Roman;serif"/>
                  <w:b w:val="false"/>
                  <w:i w:val="false"/>
                  <w:caps w:val="false"/>
                  <w:smallCaps w:val="false"/>
                  <w:color w:val="0000FF"/>
                  <w:sz w:val="18"/>
                  <w:u w:val="single"/>
                </w:rPr>
                <w:t>Item 3.</w:t>
              </w:r>
            </w:hyperlink>
          </w:p>
        </w:tc>
        <w:tc>
          <w:tcPr>
            <w:tcW w:w="8071" w:type="dxa"/>
            <w:tcBorders/>
            <w:vAlign w:val="center"/>
          </w:tcPr>
          <w:p>
            <w:pPr>
              <w:pStyle w:val="TableContents"/>
              <w:bidi w:val="0"/>
              <w:spacing w:lineRule="atLeast" w:line="180" w:before="0" w:after="0"/>
              <w:jc w:val="left"/>
              <w:rPr/>
            </w:pPr>
            <w:hyperlink w:anchor="ib44b4620d6d245e0bae824a83c255a23_97">
              <w:r>
                <w:rPr>
                  <w:rStyle w:val="InternetLink"/>
                  <w:rFonts w:ascii="Times New Roman;serif" w:hAnsi="Times New Roman;serif"/>
                  <w:b w:val="false"/>
                  <w:i w:val="false"/>
                  <w:caps w:val="false"/>
                  <w:smallCaps w:val="false"/>
                  <w:color w:val="0000FF"/>
                  <w:sz w:val="18"/>
                  <w:u w:val="single"/>
                </w:rPr>
                <w:t>Legal Proceedings</w:t>
              </w:r>
            </w:hyperlink>
          </w:p>
        </w:tc>
        <w:tc>
          <w:tcPr>
            <w:tcW w:w="331" w:type="dxa"/>
            <w:tcBorders/>
            <w:vAlign w:val="center"/>
          </w:tcPr>
          <w:p>
            <w:pPr>
              <w:pStyle w:val="TableContents"/>
              <w:bidi w:val="0"/>
              <w:spacing w:lineRule="atLeast" w:line="180" w:before="0" w:after="0"/>
              <w:jc w:val="left"/>
              <w:rPr/>
            </w:pPr>
            <w:hyperlink w:anchor="ib44b4620d6d245e0bae824a83c255a23_97">
              <w:r>
                <w:rPr>
                  <w:rStyle w:val="InternetLink"/>
                  <w:rFonts w:ascii="Times New Roman;serif" w:hAnsi="Times New Roman;serif"/>
                  <w:b w:val="false"/>
                  <w:i w:val="false"/>
                  <w:caps w:val="false"/>
                  <w:smallCaps w:val="false"/>
                  <w:color w:val="0000FF"/>
                  <w:sz w:val="18"/>
                  <w:u w:val="single"/>
                </w:rPr>
                <w:t>41</w:t>
              </w:r>
            </w:hyperlink>
          </w:p>
        </w:tc>
      </w:tr>
      <w:tr>
        <w:trPr/>
        <w:tc>
          <w:tcPr>
            <w:tcW w:w="751" w:type="dxa"/>
            <w:tcBorders/>
            <w:vAlign w:val="center"/>
          </w:tcPr>
          <w:p>
            <w:pPr>
              <w:pStyle w:val="TableContents"/>
              <w:bidi w:val="0"/>
              <w:spacing w:lineRule="atLeast" w:line="180" w:before="0" w:after="0"/>
              <w:jc w:val="left"/>
              <w:rPr/>
            </w:pPr>
            <w:hyperlink w:anchor="ib44b4620d6d245e0bae824a83c255a23_100">
              <w:r>
                <w:rPr>
                  <w:rStyle w:val="InternetLink"/>
                  <w:rFonts w:ascii="Times New Roman;serif" w:hAnsi="Times New Roman;serif"/>
                  <w:b w:val="false"/>
                  <w:i w:val="false"/>
                  <w:caps w:val="false"/>
                  <w:smallCaps w:val="false"/>
                  <w:color w:val="0000FF"/>
                  <w:sz w:val="18"/>
                  <w:u w:val="single"/>
                </w:rPr>
                <w:t>Item 4.</w:t>
              </w:r>
            </w:hyperlink>
          </w:p>
        </w:tc>
        <w:tc>
          <w:tcPr>
            <w:tcW w:w="8071" w:type="dxa"/>
            <w:tcBorders/>
            <w:vAlign w:val="center"/>
          </w:tcPr>
          <w:p>
            <w:pPr>
              <w:pStyle w:val="TableContents"/>
              <w:bidi w:val="0"/>
              <w:spacing w:lineRule="atLeast" w:line="180" w:before="0" w:after="0"/>
              <w:jc w:val="left"/>
              <w:rPr/>
            </w:pPr>
            <w:hyperlink w:anchor="ib44b4620d6d245e0bae824a83c255a23_100">
              <w:r>
                <w:rPr>
                  <w:rStyle w:val="InternetLink"/>
                  <w:rFonts w:ascii="Times New Roman;serif" w:hAnsi="Times New Roman;serif"/>
                  <w:b w:val="false"/>
                  <w:i w:val="false"/>
                  <w:caps w:val="false"/>
                  <w:smallCaps w:val="false"/>
                  <w:color w:val="0000FF"/>
                  <w:sz w:val="18"/>
                  <w:u w:val="single"/>
                </w:rPr>
                <w:t>Mine Safety Disclosures</w:t>
              </w:r>
            </w:hyperlink>
          </w:p>
        </w:tc>
        <w:tc>
          <w:tcPr>
            <w:tcW w:w="331" w:type="dxa"/>
            <w:tcBorders/>
            <w:vAlign w:val="center"/>
          </w:tcPr>
          <w:p>
            <w:pPr>
              <w:pStyle w:val="TableContents"/>
              <w:bidi w:val="0"/>
              <w:spacing w:lineRule="atLeast" w:line="180" w:before="0" w:after="0"/>
              <w:jc w:val="left"/>
              <w:rPr/>
            </w:pPr>
            <w:hyperlink w:anchor="ib44b4620d6d245e0bae824a83c255a23_100">
              <w:r>
                <w:rPr>
                  <w:rStyle w:val="InternetLink"/>
                  <w:rFonts w:ascii="Times New Roman;serif" w:hAnsi="Times New Roman;serif"/>
                  <w:b w:val="false"/>
                  <w:i w:val="false"/>
                  <w:caps w:val="false"/>
                  <w:smallCaps w:val="false"/>
                  <w:color w:val="0000FF"/>
                  <w:sz w:val="18"/>
                  <w:u w:val="single"/>
                </w:rPr>
                <w:t>41</w:t>
              </w:r>
            </w:hyperlink>
          </w:p>
        </w:tc>
      </w:tr>
      <w:tr>
        <w:trPr/>
        <w:tc>
          <w:tcPr>
            <w:tcW w:w="9153" w:type="dxa"/>
            <w:gridSpan w:val="3"/>
            <w:tcBorders/>
            <w:vAlign w:val="center"/>
          </w:tcPr>
          <w:p>
            <w:pPr>
              <w:pStyle w:val="TableContents"/>
              <w:bidi w:val="0"/>
              <w:spacing w:lineRule="atLeast" w:line="180" w:before="0" w:after="0"/>
              <w:jc w:val="left"/>
              <w:rPr/>
            </w:pPr>
            <w:hyperlink w:anchor="ib44b4620d6d245e0bae824a83c255a23_103">
              <w:r>
                <w:rPr>
                  <w:rStyle w:val="InternetLink"/>
                  <w:rFonts w:ascii="Times New Roman;serif" w:hAnsi="Times New Roman;serif"/>
                  <w:b/>
                  <w:i w:val="false"/>
                  <w:caps w:val="false"/>
                  <w:smallCaps w:val="false"/>
                  <w:color w:val="0000FF"/>
                  <w:sz w:val="18"/>
                  <w:u w:val="single"/>
                </w:rPr>
                <w:t>PART II</w:t>
              </w:r>
            </w:hyperlink>
          </w:p>
        </w:tc>
      </w:tr>
      <w:tr>
        <w:trPr/>
        <w:tc>
          <w:tcPr>
            <w:tcW w:w="751" w:type="dxa"/>
            <w:tcBorders/>
            <w:vAlign w:val="center"/>
          </w:tcPr>
          <w:p>
            <w:pPr>
              <w:pStyle w:val="TableContents"/>
              <w:bidi w:val="0"/>
              <w:spacing w:lineRule="atLeast" w:line="180" w:before="0" w:after="0"/>
              <w:jc w:val="left"/>
              <w:rPr/>
            </w:pPr>
            <w:hyperlink w:anchor="ib44b4620d6d245e0bae824a83c255a23_106">
              <w:r>
                <w:rPr>
                  <w:rStyle w:val="InternetLink"/>
                  <w:rFonts w:ascii="Times New Roman;serif" w:hAnsi="Times New Roman;serif"/>
                  <w:b w:val="false"/>
                  <w:i w:val="false"/>
                  <w:caps w:val="false"/>
                  <w:smallCaps w:val="false"/>
                  <w:color w:val="0000FF"/>
                  <w:sz w:val="18"/>
                  <w:u w:val="single"/>
                </w:rPr>
                <w:t>Item 5.</w:t>
              </w:r>
            </w:hyperlink>
          </w:p>
        </w:tc>
        <w:tc>
          <w:tcPr>
            <w:tcW w:w="8071" w:type="dxa"/>
            <w:tcBorders/>
            <w:vAlign w:val="center"/>
          </w:tcPr>
          <w:p>
            <w:pPr>
              <w:pStyle w:val="TableContents"/>
              <w:bidi w:val="0"/>
              <w:spacing w:lineRule="atLeast" w:line="180" w:before="0" w:after="0"/>
              <w:jc w:val="left"/>
              <w:rPr/>
            </w:pPr>
            <w:hyperlink w:anchor="ib44b4620d6d245e0bae824a83c255a23_106">
              <w:r>
                <w:rPr>
                  <w:rStyle w:val="InternetLink"/>
                  <w:rFonts w:ascii="Times New Roman;serif" w:hAnsi="Times New Roman;serif"/>
                  <w:b w:val="false"/>
                  <w:i w:val="false"/>
                  <w:caps w:val="false"/>
                  <w:smallCaps w:val="false"/>
                  <w:color w:val="0000FF"/>
                  <w:sz w:val="18"/>
                  <w:u w:val="single"/>
                </w:rPr>
                <w:t>Market for Registrant’s Common Equity, Related Stockholder Matters and Issuer Purchases of Equity Securities</w:t>
              </w:r>
            </w:hyperlink>
          </w:p>
        </w:tc>
        <w:tc>
          <w:tcPr>
            <w:tcW w:w="331" w:type="dxa"/>
            <w:tcBorders/>
            <w:vAlign w:val="center"/>
          </w:tcPr>
          <w:p>
            <w:pPr>
              <w:pStyle w:val="TableContents"/>
              <w:bidi w:val="0"/>
              <w:spacing w:lineRule="atLeast" w:line="180" w:before="0" w:after="0"/>
              <w:jc w:val="left"/>
              <w:rPr/>
            </w:pPr>
            <w:hyperlink w:anchor="ib44b4620d6d245e0bae824a83c255a23_106">
              <w:r>
                <w:rPr>
                  <w:rStyle w:val="InternetLink"/>
                  <w:rFonts w:ascii="Times New Roman;serif" w:hAnsi="Times New Roman;serif"/>
                  <w:b w:val="false"/>
                  <w:i w:val="false"/>
                  <w:caps w:val="false"/>
                  <w:smallCaps w:val="false"/>
                  <w:color w:val="0000FF"/>
                  <w:sz w:val="18"/>
                  <w:u w:val="single"/>
                </w:rPr>
                <w:t>42</w:t>
              </w:r>
            </w:hyperlink>
          </w:p>
        </w:tc>
      </w:tr>
      <w:tr>
        <w:trPr/>
        <w:tc>
          <w:tcPr>
            <w:tcW w:w="751" w:type="dxa"/>
            <w:tcBorders/>
            <w:vAlign w:val="center"/>
          </w:tcPr>
          <w:p>
            <w:pPr>
              <w:pStyle w:val="TableContents"/>
              <w:bidi w:val="0"/>
              <w:spacing w:lineRule="atLeast" w:line="180" w:before="0" w:after="0"/>
              <w:jc w:val="left"/>
              <w:rPr/>
            </w:pPr>
            <w:hyperlink w:anchor="ib44b4620d6d245e0bae824a83c255a23_112">
              <w:r>
                <w:rPr>
                  <w:rStyle w:val="InternetLink"/>
                  <w:rFonts w:ascii="Times New Roman;serif" w:hAnsi="Times New Roman;serif"/>
                  <w:b w:val="false"/>
                  <w:i w:val="false"/>
                  <w:caps w:val="false"/>
                  <w:smallCaps w:val="false"/>
                  <w:color w:val="0000FF"/>
                  <w:sz w:val="18"/>
                  <w:u w:val="single"/>
                </w:rPr>
                <w:t>Item 6.</w:t>
              </w:r>
            </w:hyperlink>
          </w:p>
        </w:tc>
        <w:tc>
          <w:tcPr>
            <w:tcW w:w="8071" w:type="dxa"/>
            <w:tcBorders/>
            <w:vAlign w:val="center"/>
          </w:tcPr>
          <w:p>
            <w:pPr>
              <w:pStyle w:val="TableContents"/>
              <w:bidi w:val="0"/>
              <w:spacing w:lineRule="atLeast" w:line="180" w:before="0" w:after="0"/>
              <w:jc w:val="left"/>
              <w:rPr/>
            </w:pPr>
            <w:hyperlink w:anchor="ib44b4620d6d245e0bae824a83c255a23_112">
              <w:r>
                <w:rPr>
                  <w:rStyle w:val="InternetLink"/>
                  <w:rFonts w:ascii="Times New Roman;serif" w:hAnsi="Times New Roman;serif"/>
                  <w:b w:val="false"/>
                  <w:i w:val="false"/>
                  <w:caps w:val="false"/>
                  <w:smallCaps w:val="false"/>
                  <w:color w:val="0000FF"/>
                  <w:sz w:val="18"/>
                  <w:u w:val="single"/>
                </w:rPr>
                <w:t>[Reserved]</w:t>
              </w:r>
            </w:hyperlink>
          </w:p>
        </w:tc>
        <w:tc>
          <w:tcPr>
            <w:tcW w:w="331" w:type="dxa"/>
            <w:tcBorders/>
            <w:vAlign w:val="center"/>
          </w:tcPr>
          <w:p>
            <w:pPr>
              <w:pStyle w:val="TableContents"/>
              <w:bidi w:val="0"/>
              <w:spacing w:lineRule="atLeast" w:line="180" w:before="0" w:after="0"/>
              <w:jc w:val="left"/>
              <w:rPr/>
            </w:pPr>
            <w:hyperlink w:anchor="ib44b4620d6d245e0bae824a83c255a23_112">
              <w:r>
                <w:rPr>
                  <w:rStyle w:val="InternetLink"/>
                  <w:rFonts w:ascii="Times New Roman;serif" w:hAnsi="Times New Roman;serif"/>
                  <w:b w:val="false"/>
                  <w:i w:val="false"/>
                  <w:caps w:val="false"/>
                  <w:smallCaps w:val="false"/>
                  <w:color w:val="0000FF"/>
                  <w:sz w:val="18"/>
                  <w:u w:val="single"/>
                </w:rPr>
                <w:t>43</w:t>
              </w:r>
            </w:hyperlink>
          </w:p>
        </w:tc>
      </w:tr>
      <w:tr>
        <w:trPr/>
        <w:tc>
          <w:tcPr>
            <w:tcW w:w="751" w:type="dxa"/>
            <w:tcBorders/>
            <w:vAlign w:val="center"/>
          </w:tcPr>
          <w:p>
            <w:pPr>
              <w:pStyle w:val="TableContents"/>
              <w:bidi w:val="0"/>
              <w:spacing w:lineRule="atLeast" w:line="180" w:before="0" w:after="0"/>
              <w:jc w:val="left"/>
              <w:rPr/>
            </w:pPr>
            <w:hyperlink w:anchor="ib44b4620d6d245e0bae824a83c255a23_115">
              <w:r>
                <w:rPr>
                  <w:rStyle w:val="InternetLink"/>
                  <w:rFonts w:ascii="Times New Roman;serif" w:hAnsi="Times New Roman;serif"/>
                  <w:b w:val="false"/>
                  <w:i w:val="false"/>
                  <w:caps w:val="false"/>
                  <w:smallCaps w:val="false"/>
                  <w:color w:val="0000FF"/>
                  <w:sz w:val="18"/>
                  <w:u w:val="single"/>
                </w:rPr>
                <w:t>Item 7.</w:t>
              </w:r>
            </w:hyperlink>
          </w:p>
        </w:tc>
        <w:tc>
          <w:tcPr>
            <w:tcW w:w="8071" w:type="dxa"/>
            <w:tcBorders/>
            <w:vAlign w:val="center"/>
          </w:tcPr>
          <w:p>
            <w:pPr>
              <w:pStyle w:val="TableContents"/>
              <w:bidi w:val="0"/>
              <w:spacing w:lineRule="atLeast" w:line="180" w:before="0" w:after="0"/>
              <w:jc w:val="left"/>
              <w:rPr/>
            </w:pPr>
            <w:hyperlink w:anchor="ib44b4620d6d245e0bae824a83c255a23_115">
              <w:r>
                <w:rPr>
                  <w:rStyle w:val="InternetLink"/>
                  <w:rFonts w:ascii="Times New Roman;serif" w:hAnsi="Times New Roman;serif"/>
                  <w:b w:val="false"/>
                  <w:i w:val="false"/>
                  <w:caps w:val="false"/>
                  <w:smallCaps w:val="false"/>
                  <w:color w:val="0000FF"/>
                  <w:sz w:val="18"/>
                  <w:u w:val="single"/>
                </w:rPr>
                <w:t>Management’s Discussion and Analysis of Financial Condition and Results of Operations</w:t>
              </w:r>
            </w:hyperlink>
          </w:p>
        </w:tc>
        <w:tc>
          <w:tcPr>
            <w:tcW w:w="331" w:type="dxa"/>
            <w:tcBorders/>
            <w:vAlign w:val="center"/>
          </w:tcPr>
          <w:p>
            <w:pPr>
              <w:pStyle w:val="TableContents"/>
              <w:bidi w:val="0"/>
              <w:spacing w:lineRule="atLeast" w:line="180" w:before="0" w:after="0"/>
              <w:jc w:val="left"/>
              <w:rPr/>
            </w:pPr>
            <w:hyperlink w:anchor="ib44b4620d6d245e0bae824a83c255a23_115">
              <w:r>
                <w:rPr>
                  <w:rStyle w:val="InternetLink"/>
                  <w:rFonts w:ascii="Times New Roman;serif" w:hAnsi="Times New Roman;serif"/>
                  <w:b w:val="false"/>
                  <w:i w:val="false"/>
                  <w:caps w:val="false"/>
                  <w:smallCaps w:val="false"/>
                  <w:color w:val="0000FF"/>
                  <w:sz w:val="18"/>
                  <w:u w:val="single"/>
                </w:rPr>
                <w:t>44</w:t>
              </w:r>
            </w:hyperlink>
          </w:p>
        </w:tc>
      </w:tr>
      <w:tr>
        <w:trPr/>
        <w:tc>
          <w:tcPr>
            <w:tcW w:w="751" w:type="dxa"/>
            <w:tcBorders/>
            <w:vAlign w:val="center"/>
          </w:tcPr>
          <w:p>
            <w:pPr>
              <w:pStyle w:val="TableContents"/>
              <w:bidi w:val="0"/>
              <w:spacing w:lineRule="atLeast" w:line="180" w:before="0" w:after="0"/>
              <w:jc w:val="left"/>
              <w:rPr/>
            </w:pPr>
            <w:hyperlink w:anchor="ib44b4620d6d245e0bae824a83c255a23_130">
              <w:r>
                <w:rPr>
                  <w:rStyle w:val="InternetLink"/>
                  <w:rFonts w:ascii="Times New Roman;serif" w:hAnsi="Times New Roman;serif"/>
                  <w:b w:val="false"/>
                  <w:i w:val="false"/>
                  <w:caps w:val="false"/>
                  <w:smallCaps w:val="false"/>
                  <w:color w:val="0000FF"/>
                  <w:sz w:val="18"/>
                  <w:u w:val="single"/>
                </w:rPr>
                <w:t>Item 7A.</w:t>
              </w:r>
            </w:hyperlink>
          </w:p>
        </w:tc>
        <w:tc>
          <w:tcPr>
            <w:tcW w:w="8071" w:type="dxa"/>
            <w:tcBorders/>
            <w:vAlign w:val="center"/>
          </w:tcPr>
          <w:p>
            <w:pPr>
              <w:pStyle w:val="TableContents"/>
              <w:bidi w:val="0"/>
              <w:spacing w:lineRule="atLeast" w:line="180" w:before="0" w:after="0"/>
              <w:jc w:val="left"/>
              <w:rPr/>
            </w:pPr>
            <w:hyperlink w:anchor="ib44b4620d6d245e0bae824a83c255a23_130">
              <w:r>
                <w:rPr>
                  <w:rStyle w:val="InternetLink"/>
                  <w:rFonts w:ascii="Times New Roman;serif" w:hAnsi="Times New Roman;serif"/>
                  <w:b w:val="false"/>
                  <w:i w:val="false"/>
                  <w:caps w:val="false"/>
                  <w:smallCaps w:val="false"/>
                  <w:color w:val="0000FF"/>
                  <w:sz w:val="18"/>
                  <w:u w:val="single"/>
                </w:rPr>
                <w:t>Quantitative and Qualitative Disclosures About Market Risk</w:t>
              </w:r>
            </w:hyperlink>
          </w:p>
        </w:tc>
        <w:tc>
          <w:tcPr>
            <w:tcW w:w="331" w:type="dxa"/>
            <w:tcBorders/>
            <w:vAlign w:val="center"/>
          </w:tcPr>
          <w:p>
            <w:pPr>
              <w:pStyle w:val="TableContents"/>
              <w:bidi w:val="0"/>
              <w:spacing w:lineRule="atLeast" w:line="180" w:before="0" w:after="0"/>
              <w:jc w:val="left"/>
              <w:rPr/>
            </w:pPr>
            <w:hyperlink w:anchor="ib44b4620d6d245e0bae824a83c255a23_130">
              <w:r>
                <w:rPr>
                  <w:rStyle w:val="InternetLink"/>
                  <w:rFonts w:ascii="Times New Roman;serif" w:hAnsi="Times New Roman;serif"/>
                  <w:b w:val="false"/>
                  <w:i w:val="false"/>
                  <w:caps w:val="false"/>
                  <w:smallCaps w:val="false"/>
                  <w:color w:val="0000FF"/>
                  <w:sz w:val="18"/>
                  <w:u w:val="single"/>
                </w:rPr>
                <w:t>60</w:t>
              </w:r>
            </w:hyperlink>
          </w:p>
        </w:tc>
      </w:tr>
      <w:tr>
        <w:trPr/>
        <w:tc>
          <w:tcPr>
            <w:tcW w:w="751" w:type="dxa"/>
            <w:tcBorders/>
            <w:vAlign w:val="center"/>
          </w:tcPr>
          <w:p>
            <w:pPr>
              <w:pStyle w:val="TableContents"/>
              <w:bidi w:val="0"/>
              <w:spacing w:lineRule="atLeast" w:line="180" w:before="0" w:after="0"/>
              <w:jc w:val="left"/>
              <w:rPr/>
            </w:pPr>
            <w:hyperlink w:anchor="ib44b4620d6d245e0bae824a83c255a23_133">
              <w:r>
                <w:rPr>
                  <w:rStyle w:val="InternetLink"/>
                  <w:rFonts w:ascii="Times New Roman;serif" w:hAnsi="Times New Roman;serif"/>
                  <w:b w:val="false"/>
                  <w:i w:val="false"/>
                  <w:caps w:val="false"/>
                  <w:smallCaps w:val="false"/>
                  <w:color w:val="0000FF"/>
                  <w:sz w:val="18"/>
                  <w:u w:val="single"/>
                </w:rPr>
                <w:t>Item 8.</w:t>
              </w:r>
            </w:hyperlink>
          </w:p>
        </w:tc>
        <w:tc>
          <w:tcPr>
            <w:tcW w:w="8071" w:type="dxa"/>
            <w:tcBorders/>
            <w:vAlign w:val="center"/>
          </w:tcPr>
          <w:p>
            <w:pPr>
              <w:pStyle w:val="TableContents"/>
              <w:bidi w:val="0"/>
              <w:spacing w:lineRule="atLeast" w:line="180" w:before="0" w:after="0"/>
              <w:jc w:val="left"/>
              <w:rPr/>
            </w:pPr>
            <w:hyperlink w:anchor="ib44b4620d6d245e0bae824a83c255a23_133">
              <w:r>
                <w:rPr>
                  <w:rStyle w:val="InternetLink"/>
                  <w:rFonts w:ascii="Times New Roman;serif" w:hAnsi="Times New Roman;serif"/>
                  <w:b w:val="false"/>
                  <w:i w:val="false"/>
                  <w:caps w:val="false"/>
                  <w:smallCaps w:val="false"/>
                  <w:color w:val="0000FF"/>
                  <w:sz w:val="18"/>
                  <w:u w:val="single"/>
                </w:rPr>
                <w:t>Financial Statements and Supplementary Data</w:t>
              </w:r>
            </w:hyperlink>
          </w:p>
        </w:tc>
        <w:tc>
          <w:tcPr>
            <w:tcW w:w="331" w:type="dxa"/>
            <w:tcBorders/>
            <w:vAlign w:val="center"/>
          </w:tcPr>
          <w:p>
            <w:pPr>
              <w:pStyle w:val="TableContents"/>
              <w:bidi w:val="0"/>
              <w:spacing w:lineRule="atLeast" w:line="180" w:before="0" w:after="0"/>
              <w:jc w:val="left"/>
              <w:rPr/>
            </w:pPr>
            <w:hyperlink w:anchor="ib44b4620d6d245e0bae824a83c255a23_133">
              <w:r>
                <w:rPr>
                  <w:rStyle w:val="InternetLink"/>
                  <w:rFonts w:ascii="Times New Roman;serif" w:hAnsi="Times New Roman;serif"/>
                  <w:b w:val="false"/>
                  <w:i w:val="false"/>
                  <w:caps w:val="false"/>
                  <w:smallCaps w:val="false"/>
                  <w:color w:val="0000FF"/>
                  <w:sz w:val="18"/>
                  <w:u w:val="single"/>
                </w:rPr>
                <w:t>61</w:t>
              </w:r>
            </w:hyperlink>
          </w:p>
        </w:tc>
      </w:tr>
      <w:tr>
        <w:trPr/>
        <w:tc>
          <w:tcPr>
            <w:tcW w:w="751" w:type="dxa"/>
            <w:tcBorders/>
            <w:vAlign w:val="center"/>
          </w:tcPr>
          <w:p>
            <w:pPr>
              <w:pStyle w:val="TableContents"/>
              <w:bidi w:val="0"/>
              <w:spacing w:lineRule="atLeast" w:line="180" w:before="0" w:after="0"/>
              <w:jc w:val="left"/>
              <w:rPr/>
            </w:pPr>
            <w:hyperlink w:anchor="ib44b4620d6d245e0bae824a83c255a23_136">
              <w:r>
                <w:rPr>
                  <w:rStyle w:val="InternetLink"/>
                  <w:rFonts w:ascii="Times New Roman;serif" w:hAnsi="Times New Roman;serif"/>
                  <w:b w:val="false"/>
                  <w:i w:val="false"/>
                  <w:caps w:val="false"/>
                  <w:smallCaps w:val="false"/>
                  <w:color w:val="0000FF"/>
                  <w:sz w:val="18"/>
                  <w:u w:val="single"/>
                </w:rPr>
                <w:t>Item 9.</w:t>
              </w:r>
            </w:hyperlink>
          </w:p>
        </w:tc>
        <w:tc>
          <w:tcPr>
            <w:tcW w:w="8071" w:type="dxa"/>
            <w:tcBorders/>
            <w:vAlign w:val="center"/>
          </w:tcPr>
          <w:p>
            <w:pPr>
              <w:pStyle w:val="TableContents"/>
              <w:bidi w:val="0"/>
              <w:spacing w:lineRule="atLeast" w:line="180" w:before="0" w:after="0"/>
              <w:jc w:val="left"/>
              <w:rPr/>
            </w:pPr>
            <w:hyperlink w:anchor="ib44b4620d6d245e0bae824a83c255a23_136">
              <w:r>
                <w:rPr>
                  <w:rStyle w:val="InternetLink"/>
                  <w:rFonts w:ascii="Times New Roman;serif" w:hAnsi="Times New Roman;serif"/>
                  <w:b w:val="false"/>
                  <w:i w:val="false"/>
                  <w:caps w:val="false"/>
                  <w:smallCaps w:val="false"/>
                  <w:color w:val="0000FF"/>
                  <w:sz w:val="18"/>
                  <w:u w:val="single"/>
                </w:rPr>
                <w:t>Changes in and Disagreements with Accountants on Accounting and Financial Disclosure</w:t>
              </w:r>
            </w:hyperlink>
          </w:p>
        </w:tc>
        <w:tc>
          <w:tcPr>
            <w:tcW w:w="331" w:type="dxa"/>
            <w:tcBorders/>
            <w:vAlign w:val="center"/>
          </w:tcPr>
          <w:p>
            <w:pPr>
              <w:pStyle w:val="TableContents"/>
              <w:bidi w:val="0"/>
              <w:spacing w:lineRule="atLeast" w:line="180" w:before="0" w:after="0"/>
              <w:jc w:val="left"/>
              <w:rPr/>
            </w:pPr>
            <w:hyperlink w:anchor="ib44b4620d6d245e0bae824a83c255a23_136">
              <w:r>
                <w:rPr>
                  <w:rStyle w:val="InternetLink"/>
                  <w:rFonts w:ascii="Times New Roman;serif" w:hAnsi="Times New Roman;serif"/>
                  <w:b w:val="false"/>
                  <w:i w:val="false"/>
                  <w:caps w:val="false"/>
                  <w:smallCaps w:val="false"/>
                  <w:color w:val="0000FF"/>
                  <w:sz w:val="18"/>
                  <w:u w:val="single"/>
                </w:rPr>
                <w:t>61</w:t>
              </w:r>
            </w:hyperlink>
          </w:p>
        </w:tc>
      </w:tr>
      <w:tr>
        <w:trPr/>
        <w:tc>
          <w:tcPr>
            <w:tcW w:w="751" w:type="dxa"/>
            <w:tcBorders/>
            <w:vAlign w:val="center"/>
          </w:tcPr>
          <w:p>
            <w:pPr>
              <w:pStyle w:val="TableContents"/>
              <w:bidi w:val="0"/>
              <w:spacing w:lineRule="atLeast" w:line="180" w:before="0" w:after="0"/>
              <w:jc w:val="left"/>
              <w:rPr/>
            </w:pPr>
            <w:hyperlink w:anchor="ib44b4620d6d245e0bae824a83c255a23_139">
              <w:r>
                <w:rPr>
                  <w:rStyle w:val="InternetLink"/>
                  <w:rFonts w:ascii="Times New Roman;serif" w:hAnsi="Times New Roman;serif"/>
                  <w:b w:val="false"/>
                  <w:i w:val="false"/>
                  <w:caps w:val="false"/>
                  <w:smallCaps w:val="false"/>
                  <w:color w:val="0000FF"/>
                  <w:sz w:val="18"/>
                  <w:u w:val="single"/>
                </w:rPr>
                <w:t>Item 9A.</w:t>
              </w:r>
            </w:hyperlink>
          </w:p>
        </w:tc>
        <w:tc>
          <w:tcPr>
            <w:tcW w:w="8071" w:type="dxa"/>
            <w:tcBorders/>
            <w:vAlign w:val="center"/>
          </w:tcPr>
          <w:p>
            <w:pPr>
              <w:pStyle w:val="TableContents"/>
              <w:bidi w:val="0"/>
              <w:spacing w:lineRule="atLeast" w:line="180" w:before="0" w:after="0"/>
              <w:jc w:val="left"/>
              <w:rPr/>
            </w:pPr>
            <w:hyperlink w:anchor="ib44b4620d6d245e0bae824a83c255a23_139">
              <w:r>
                <w:rPr>
                  <w:rStyle w:val="InternetLink"/>
                  <w:rFonts w:ascii="Times New Roman;serif" w:hAnsi="Times New Roman;serif"/>
                  <w:b w:val="false"/>
                  <w:i w:val="false"/>
                  <w:caps w:val="false"/>
                  <w:smallCaps w:val="false"/>
                  <w:color w:val="0000FF"/>
                  <w:sz w:val="18"/>
                  <w:u w:val="single"/>
                </w:rPr>
                <w:t>Controls and Procedures</w:t>
              </w:r>
            </w:hyperlink>
          </w:p>
        </w:tc>
        <w:tc>
          <w:tcPr>
            <w:tcW w:w="331" w:type="dxa"/>
            <w:tcBorders/>
            <w:vAlign w:val="center"/>
          </w:tcPr>
          <w:p>
            <w:pPr>
              <w:pStyle w:val="TableContents"/>
              <w:bidi w:val="0"/>
              <w:spacing w:lineRule="atLeast" w:line="180" w:before="0" w:after="0"/>
              <w:jc w:val="left"/>
              <w:rPr/>
            </w:pPr>
            <w:hyperlink w:anchor="ib44b4620d6d245e0bae824a83c255a23_139">
              <w:r>
                <w:rPr>
                  <w:rStyle w:val="InternetLink"/>
                  <w:rFonts w:ascii="Times New Roman;serif" w:hAnsi="Times New Roman;serif"/>
                  <w:b w:val="false"/>
                  <w:i w:val="false"/>
                  <w:caps w:val="false"/>
                  <w:smallCaps w:val="false"/>
                  <w:color w:val="0000FF"/>
                  <w:sz w:val="18"/>
                  <w:u w:val="single"/>
                </w:rPr>
                <w:t>61</w:t>
              </w:r>
            </w:hyperlink>
          </w:p>
        </w:tc>
      </w:tr>
      <w:tr>
        <w:trPr/>
        <w:tc>
          <w:tcPr>
            <w:tcW w:w="751" w:type="dxa"/>
            <w:tcBorders/>
            <w:vAlign w:val="center"/>
          </w:tcPr>
          <w:p>
            <w:pPr>
              <w:pStyle w:val="TableContents"/>
              <w:bidi w:val="0"/>
              <w:spacing w:lineRule="atLeast" w:line="180" w:before="0" w:after="0"/>
              <w:jc w:val="left"/>
              <w:rPr/>
            </w:pPr>
            <w:hyperlink w:anchor="ib44b4620d6d245e0bae824a83c255a23_142">
              <w:r>
                <w:rPr>
                  <w:rStyle w:val="InternetLink"/>
                  <w:rFonts w:ascii="Times New Roman;serif" w:hAnsi="Times New Roman;serif"/>
                  <w:b w:val="false"/>
                  <w:i w:val="false"/>
                  <w:caps w:val="false"/>
                  <w:smallCaps w:val="false"/>
                  <w:color w:val="0000FF"/>
                  <w:sz w:val="18"/>
                  <w:u w:val="single"/>
                </w:rPr>
                <w:t>Item 9B.</w:t>
              </w:r>
            </w:hyperlink>
          </w:p>
        </w:tc>
        <w:tc>
          <w:tcPr>
            <w:tcW w:w="8071" w:type="dxa"/>
            <w:tcBorders/>
            <w:vAlign w:val="center"/>
          </w:tcPr>
          <w:p>
            <w:pPr>
              <w:pStyle w:val="TableContents"/>
              <w:bidi w:val="0"/>
              <w:spacing w:lineRule="atLeast" w:line="180" w:before="0" w:after="0"/>
              <w:jc w:val="left"/>
              <w:rPr/>
            </w:pPr>
            <w:hyperlink w:anchor="ib44b4620d6d245e0bae824a83c255a23_142">
              <w:r>
                <w:rPr>
                  <w:rStyle w:val="InternetLink"/>
                  <w:rFonts w:ascii="Times New Roman;serif" w:hAnsi="Times New Roman;serif"/>
                  <w:b w:val="false"/>
                  <w:i w:val="false"/>
                  <w:caps w:val="false"/>
                  <w:smallCaps w:val="false"/>
                  <w:color w:val="0000FF"/>
                  <w:sz w:val="18"/>
                  <w:u w:val="single"/>
                </w:rPr>
                <w:t>Other Information</w:t>
              </w:r>
            </w:hyperlink>
          </w:p>
        </w:tc>
        <w:tc>
          <w:tcPr>
            <w:tcW w:w="331" w:type="dxa"/>
            <w:tcBorders/>
            <w:vAlign w:val="center"/>
          </w:tcPr>
          <w:p>
            <w:pPr>
              <w:pStyle w:val="TableContents"/>
              <w:bidi w:val="0"/>
              <w:spacing w:lineRule="atLeast" w:line="180" w:before="0" w:after="0"/>
              <w:jc w:val="left"/>
              <w:rPr/>
            </w:pPr>
            <w:hyperlink w:anchor="ib44b4620d6d245e0bae824a83c255a23_142">
              <w:r>
                <w:rPr>
                  <w:rStyle w:val="InternetLink"/>
                  <w:rFonts w:ascii="Times New Roman;serif" w:hAnsi="Times New Roman;serif"/>
                  <w:b w:val="false"/>
                  <w:i w:val="false"/>
                  <w:caps w:val="false"/>
                  <w:smallCaps w:val="false"/>
                  <w:color w:val="0000FF"/>
                  <w:sz w:val="18"/>
                  <w:u w:val="single"/>
                </w:rPr>
                <w:t>64</w:t>
              </w:r>
            </w:hyperlink>
          </w:p>
        </w:tc>
      </w:tr>
      <w:tr>
        <w:trPr/>
        <w:tc>
          <w:tcPr>
            <w:tcW w:w="751" w:type="dxa"/>
            <w:tcBorders/>
            <w:vAlign w:val="center"/>
          </w:tcPr>
          <w:p>
            <w:pPr>
              <w:pStyle w:val="TableContents"/>
              <w:bidi w:val="0"/>
              <w:spacing w:lineRule="atLeast" w:line="180" w:before="0" w:after="0"/>
              <w:jc w:val="left"/>
              <w:rPr/>
            </w:pPr>
            <w:hyperlink w:anchor="ib44b4620d6d245e0bae824a83c255a23_151">
              <w:r>
                <w:rPr>
                  <w:rStyle w:val="InternetLink"/>
                  <w:rFonts w:ascii="Times New Roman;serif" w:hAnsi="Times New Roman;serif"/>
                  <w:b w:val="false"/>
                  <w:i w:val="false"/>
                  <w:caps w:val="false"/>
                  <w:smallCaps w:val="false"/>
                  <w:color w:val="0000FF"/>
                  <w:sz w:val="18"/>
                  <w:u w:val="single"/>
                </w:rPr>
                <w:t>Item 9C.</w:t>
              </w:r>
            </w:hyperlink>
          </w:p>
        </w:tc>
        <w:tc>
          <w:tcPr>
            <w:tcW w:w="8071" w:type="dxa"/>
            <w:tcBorders/>
            <w:vAlign w:val="center"/>
          </w:tcPr>
          <w:p>
            <w:pPr>
              <w:pStyle w:val="TableContents"/>
              <w:bidi w:val="0"/>
              <w:spacing w:lineRule="atLeast" w:line="180" w:before="0" w:after="0"/>
              <w:jc w:val="left"/>
              <w:rPr/>
            </w:pPr>
            <w:hyperlink w:anchor="ib44b4620d6d245e0bae824a83c255a23_151">
              <w:r>
                <w:rPr>
                  <w:rStyle w:val="InternetLink"/>
                  <w:rFonts w:ascii="Times New Roman;serif" w:hAnsi="Times New Roman;serif"/>
                  <w:b w:val="false"/>
                  <w:i w:val="false"/>
                  <w:caps w:val="false"/>
                  <w:smallCaps w:val="false"/>
                  <w:color w:val="0000FF"/>
                  <w:sz w:val="18"/>
                  <w:u w:val="single"/>
                </w:rPr>
                <w:t>Disclosure Regarding Foreign Jurisdictions that Prevent Inspections</w:t>
              </w:r>
            </w:hyperlink>
          </w:p>
        </w:tc>
        <w:tc>
          <w:tcPr>
            <w:tcW w:w="331" w:type="dxa"/>
            <w:tcBorders/>
            <w:vAlign w:val="center"/>
          </w:tcPr>
          <w:p>
            <w:pPr>
              <w:pStyle w:val="TableContents"/>
              <w:bidi w:val="0"/>
              <w:spacing w:lineRule="atLeast" w:line="180" w:before="0" w:after="0"/>
              <w:jc w:val="left"/>
              <w:rPr/>
            </w:pPr>
            <w:hyperlink w:anchor="ib44b4620d6d245e0bae824a83c255a23_151">
              <w:r>
                <w:rPr>
                  <w:rStyle w:val="InternetLink"/>
                  <w:rFonts w:ascii="Times New Roman;serif" w:hAnsi="Times New Roman;serif"/>
                  <w:b w:val="false"/>
                  <w:i w:val="false"/>
                  <w:caps w:val="false"/>
                  <w:smallCaps w:val="false"/>
                  <w:color w:val="0000FF"/>
                  <w:sz w:val="18"/>
                  <w:u w:val="single"/>
                </w:rPr>
                <w:t>64</w:t>
              </w:r>
            </w:hyperlink>
          </w:p>
        </w:tc>
      </w:tr>
      <w:tr>
        <w:trPr/>
        <w:tc>
          <w:tcPr>
            <w:tcW w:w="9153" w:type="dxa"/>
            <w:gridSpan w:val="3"/>
            <w:tcBorders/>
            <w:vAlign w:val="center"/>
          </w:tcPr>
          <w:p>
            <w:pPr>
              <w:pStyle w:val="TableContents"/>
              <w:bidi w:val="0"/>
              <w:spacing w:lineRule="atLeast" w:line="180" w:before="0" w:after="0"/>
              <w:jc w:val="left"/>
              <w:rPr/>
            </w:pPr>
            <w:hyperlink w:anchor="ib44b4620d6d245e0bae824a83c255a23_154">
              <w:r>
                <w:rPr>
                  <w:rStyle w:val="InternetLink"/>
                  <w:rFonts w:ascii="Times New Roman;serif" w:hAnsi="Times New Roman;serif"/>
                  <w:b/>
                  <w:i w:val="false"/>
                  <w:caps w:val="false"/>
                  <w:smallCaps w:val="false"/>
                  <w:color w:val="0000FF"/>
                  <w:sz w:val="18"/>
                  <w:u w:val="single"/>
                </w:rPr>
                <w:t>PART III</w:t>
              </w:r>
            </w:hyperlink>
          </w:p>
        </w:tc>
      </w:tr>
      <w:tr>
        <w:trPr/>
        <w:tc>
          <w:tcPr>
            <w:tcW w:w="751" w:type="dxa"/>
            <w:tcBorders/>
            <w:vAlign w:val="center"/>
          </w:tcPr>
          <w:p>
            <w:pPr>
              <w:pStyle w:val="TableContents"/>
              <w:bidi w:val="0"/>
              <w:spacing w:lineRule="atLeast" w:line="180" w:before="0" w:after="0"/>
              <w:jc w:val="left"/>
              <w:rPr/>
            </w:pPr>
            <w:hyperlink w:anchor="ib44b4620d6d245e0bae824a83c255a23_157">
              <w:r>
                <w:rPr>
                  <w:rStyle w:val="InternetLink"/>
                  <w:rFonts w:ascii="Times New Roman;serif" w:hAnsi="Times New Roman;serif"/>
                  <w:b w:val="false"/>
                  <w:i w:val="false"/>
                  <w:caps w:val="false"/>
                  <w:smallCaps w:val="false"/>
                  <w:color w:val="0000FF"/>
                  <w:sz w:val="18"/>
                  <w:u w:val="single"/>
                </w:rPr>
                <w:t>Item 10.</w:t>
              </w:r>
            </w:hyperlink>
          </w:p>
        </w:tc>
        <w:tc>
          <w:tcPr>
            <w:tcW w:w="8071" w:type="dxa"/>
            <w:tcBorders/>
            <w:vAlign w:val="center"/>
          </w:tcPr>
          <w:p>
            <w:pPr>
              <w:pStyle w:val="TableContents"/>
              <w:bidi w:val="0"/>
              <w:spacing w:lineRule="atLeast" w:line="180" w:before="0" w:after="0"/>
              <w:jc w:val="left"/>
              <w:rPr/>
            </w:pPr>
            <w:hyperlink w:anchor="ib44b4620d6d245e0bae824a83c255a23_157">
              <w:r>
                <w:rPr>
                  <w:rStyle w:val="InternetLink"/>
                  <w:rFonts w:ascii="Times New Roman;serif" w:hAnsi="Times New Roman;serif"/>
                  <w:b w:val="false"/>
                  <w:i w:val="false"/>
                  <w:caps w:val="false"/>
                  <w:smallCaps w:val="false"/>
                  <w:color w:val="0000FF"/>
                  <w:sz w:val="18"/>
                  <w:u w:val="single"/>
                </w:rPr>
                <w:t>Directors, Executive Officers and Corporate Governance</w:t>
              </w:r>
            </w:hyperlink>
          </w:p>
        </w:tc>
        <w:tc>
          <w:tcPr>
            <w:tcW w:w="331" w:type="dxa"/>
            <w:tcBorders/>
            <w:vAlign w:val="center"/>
          </w:tcPr>
          <w:p>
            <w:pPr>
              <w:pStyle w:val="TableContents"/>
              <w:bidi w:val="0"/>
              <w:spacing w:lineRule="atLeast" w:line="180" w:before="0" w:after="0"/>
              <w:jc w:val="left"/>
              <w:rPr/>
            </w:pPr>
            <w:hyperlink w:anchor="ib44b4620d6d245e0bae824a83c255a23_157">
              <w:r>
                <w:rPr>
                  <w:rStyle w:val="InternetLink"/>
                  <w:rFonts w:ascii="Times New Roman;serif" w:hAnsi="Times New Roman;serif"/>
                  <w:b w:val="false"/>
                  <w:i w:val="false"/>
                  <w:caps w:val="false"/>
                  <w:smallCaps w:val="false"/>
                  <w:color w:val="0000FF"/>
                  <w:sz w:val="18"/>
                  <w:u w:val="single"/>
                </w:rPr>
                <w:t>65</w:t>
              </w:r>
            </w:hyperlink>
          </w:p>
        </w:tc>
      </w:tr>
      <w:tr>
        <w:trPr/>
        <w:tc>
          <w:tcPr>
            <w:tcW w:w="751" w:type="dxa"/>
            <w:tcBorders/>
            <w:vAlign w:val="center"/>
          </w:tcPr>
          <w:p>
            <w:pPr>
              <w:pStyle w:val="TableContents"/>
              <w:bidi w:val="0"/>
              <w:spacing w:lineRule="atLeast" w:line="180" w:before="0" w:after="0"/>
              <w:jc w:val="left"/>
              <w:rPr/>
            </w:pPr>
            <w:hyperlink w:anchor="ib44b4620d6d245e0bae824a83c255a23_160">
              <w:r>
                <w:rPr>
                  <w:rStyle w:val="InternetLink"/>
                  <w:rFonts w:ascii="Times New Roman;serif" w:hAnsi="Times New Roman;serif"/>
                  <w:b w:val="false"/>
                  <w:i w:val="false"/>
                  <w:caps w:val="false"/>
                  <w:smallCaps w:val="false"/>
                  <w:color w:val="0000FF"/>
                  <w:sz w:val="18"/>
                  <w:u w:val="single"/>
                </w:rPr>
                <w:t>Item 11.</w:t>
              </w:r>
            </w:hyperlink>
          </w:p>
        </w:tc>
        <w:tc>
          <w:tcPr>
            <w:tcW w:w="8071" w:type="dxa"/>
            <w:tcBorders/>
            <w:vAlign w:val="center"/>
          </w:tcPr>
          <w:p>
            <w:pPr>
              <w:pStyle w:val="TableContents"/>
              <w:bidi w:val="0"/>
              <w:spacing w:lineRule="atLeast" w:line="180" w:before="0" w:after="0"/>
              <w:jc w:val="left"/>
              <w:rPr/>
            </w:pPr>
            <w:hyperlink w:anchor="ib44b4620d6d245e0bae824a83c255a23_160">
              <w:r>
                <w:rPr>
                  <w:rStyle w:val="InternetLink"/>
                  <w:rFonts w:ascii="Times New Roman;serif" w:hAnsi="Times New Roman;serif"/>
                  <w:b w:val="false"/>
                  <w:i w:val="false"/>
                  <w:caps w:val="false"/>
                  <w:smallCaps w:val="false"/>
                  <w:color w:val="0000FF"/>
                  <w:sz w:val="18"/>
                  <w:u w:val="single"/>
                </w:rPr>
                <w:t>Executive Compensation</w:t>
              </w:r>
            </w:hyperlink>
          </w:p>
        </w:tc>
        <w:tc>
          <w:tcPr>
            <w:tcW w:w="331" w:type="dxa"/>
            <w:tcBorders/>
            <w:vAlign w:val="center"/>
          </w:tcPr>
          <w:p>
            <w:pPr>
              <w:pStyle w:val="TableContents"/>
              <w:bidi w:val="0"/>
              <w:spacing w:lineRule="atLeast" w:line="180" w:before="0" w:after="0"/>
              <w:jc w:val="left"/>
              <w:rPr/>
            </w:pPr>
            <w:hyperlink w:anchor="ib44b4620d6d245e0bae824a83c255a23_160">
              <w:r>
                <w:rPr>
                  <w:rStyle w:val="InternetLink"/>
                  <w:rFonts w:ascii="Times New Roman;serif" w:hAnsi="Times New Roman;serif"/>
                  <w:b w:val="false"/>
                  <w:i w:val="false"/>
                  <w:caps w:val="false"/>
                  <w:smallCaps w:val="false"/>
                  <w:color w:val="0000FF"/>
                  <w:sz w:val="18"/>
                  <w:u w:val="single"/>
                </w:rPr>
                <w:t>65</w:t>
              </w:r>
            </w:hyperlink>
          </w:p>
        </w:tc>
      </w:tr>
      <w:tr>
        <w:trPr/>
        <w:tc>
          <w:tcPr>
            <w:tcW w:w="751" w:type="dxa"/>
            <w:tcBorders/>
            <w:vAlign w:val="center"/>
          </w:tcPr>
          <w:p>
            <w:pPr>
              <w:pStyle w:val="TableContents"/>
              <w:bidi w:val="0"/>
              <w:spacing w:lineRule="atLeast" w:line="180" w:before="0" w:after="0"/>
              <w:jc w:val="left"/>
              <w:rPr/>
            </w:pPr>
            <w:hyperlink w:anchor="ib44b4620d6d245e0bae824a83c255a23_163">
              <w:r>
                <w:rPr>
                  <w:rStyle w:val="InternetLink"/>
                  <w:rFonts w:ascii="Times New Roman;serif" w:hAnsi="Times New Roman;serif"/>
                  <w:b w:val="false"/>
                  <w:i w:val="false"/>
                  <w:caps w:val="false"/>
                  <w:smallCaps w:val="false"/>
                  <w:color w:val="0000FF"/>
                  <w:sz w:val="18"/>
                  <w:u w:val="single"/>
                </w:rPr>
                <w:t>Item 12.</w:t>
              </w:r>
            </w:hyperlink>
          </w:p>
        </w:tc>
        <w:tc>
          <w:tcPr>
            <w:tcW w:w="8071" w:type="dxa"/>
            <w:tcBorders/>
            <w:vAlign w:val="center"/>
          </w:tcPr>
          <w:p>
            <w:pPr>
              <w:pStyle w:val="TableContents"/>
              <w:bidi w:val="0"/>
              <w:spacing w:lineRule="atLeast" w:line="180" w:before="0" w:after="0"/>
              <w:jc w:val="left"/>
              <w:rPr/>
            </w:pPr>
            <w:hyperlink w:anchor="ib44b4620d6d245e0bae824a83c255a23_163">
              <w:r>
                <w:rPr>
                  <w:rStyle w:val="InternetLink"/>
                  <w:rFonts w:ascii="Times New Roman;serif" w:hAnsi="Times New Roman;serif"/>
                  <w:b w:val="false"/>
                  <w:i w:val="false"/>
                  <w:caps w:val="false"/>
                  <w:smallCaps w:val="false"/>
                  <w:color w:val="0000FF"/>
                  <w:sz w:val="18"/>
                  <w:u w:val="single"/>
                </w:rPr>
                <w:t>Security Ownership of Certain Beneficial Owners and Management and Related Stockholder Matters</w:t>
              </w:r>
            </w:hyperlink>
          </w:p>
        </w:tc>
        <w:tc>
          <w:tcPr>
            <w:tcW w:w="331" w:type="dxa"/>
            <w:tcBorders/>
            <w:vAlign w:val="center"/>
          </w:tcPr>
          <w:p>
            <w:pPr>
              <w:pStyle w:val="TableContents"/>
              <w:bidi w:val="0"/>
              <w:spacing w:lineRule="atLeast" w:line="180" w:before="0" w:after="0"/>
              <w:jc w:val="left"/>
              <w:rPr/>
            </w:pPr>
            <w:hyperlink w:anchor="ib44b4620d6d245e0bae824a83c255a23_163">
              <w:r>
                <w:rPr>
                  <w:rStyle w:val="InternetLink"/>
                  <w:rFonts w:ascii="Times New Roman;serif" w:hAnsi="Times New Roman;serif"/>
                  <w:b w:val="false"/>
                  <w:i w:val="false"/>
                  <w:caps w:val="false"/>
                  <w:smallCaps w:val="false"/>
                  <w:color w:val="0000FF"/>
                  <w:sz w:val="18"/>
                  <w:u w:val="single"/>
                </w:rPr>
                <w:t>65</w:t>
              </w:r>
            </w:hyperlink>
          </w:p>
        </w:tc>
      </w:tr>
      <w:tr>
        <w:trPr/>
        <w:tc>
          <w:tcPr>
            <w:tcW w:w="751" w:type="dxa"/>
            <w:tcBorders/>
            <w:vAlign w:val="center"/>
          </w:tcPr>
          <w:p>
            <w:pPr>
              <w:pStyle w:val="TableContents"/>
              <w:bidi w:val="0"/>
              <w:spacing w:lineRule="atLeast" w:line="180" w:before="0" w:after="0"/>
              <w:jc w:val="left"/>
              <w:rPr/>
            </w:pPr>
            <w:hyperlink w:anchor="ib44b4620d6d245e0bae824a83c255a23_166">
              <w:r>
                <w:rPr>
                  <w:rStyle w:val="InternetLink"/>
                  <w:rFonts w:ascii="Times New Roman;serif" w:hAnsi="Times New Roman;serif"/>
                  <w:b w:val="false"/>
                  <w:i w:val="false"/>
                  <w:caps w:val="false"/>
                  <w:smallCaps w:val="false"/>
                  <w:color w:val="0000FF"/>
                  <w:sz w:val="18"/>
                  <w:u w:val="single"/>
                </w:rPr>
                <w:t>Item 13.</w:t>
              </w:r>
            </w:hyperlink>
          </w:p>
        </w:tc>
        <w:tc>
          <w:tcPr>
            <w:tcW w:w="8071" w:type="dxa"/>
            <w:tcBorders/>
            <w:vAlign w:val="center"/>
          </w:tcPr>
          <w:p>
            <w:pPr>
              <w:pStyle w:val="TableContents"/>
              <w:bidi w:val="0"/>
              <w:spacing w:lineRule="atLeast" w:line="180" w:before="0" w:after="0"/>
              <w:jc w:val="left"/>
              <w:rPr/>
            </w:pPr>
            <w:hyperlink w:anchor="ib44b4620d6d245e0bae824a83c255a23_166">
              <w:r>
                <w:rPr>
                  <w:rStyle w:val="InternetLink"/>
                  <w:rFonts w:ascii="Times New Roman;serif" w:hAnsi="Times New Roman;serif"/>
                  <w:b w:val="false"/>
                  <w:i w:val="false"/>
                  <w:caps w:val="false"/>
                  <w:smallCaps w:val="false"/>
                  <w:color w:val="0000FF"/>
                  <w:sz w:val="18"/>
                  <w:u w:val="single"/>
                </w:rPr>
                <w:t>Certain Relationships and Related Transactions, and Director Independence</w:t>
              </w:r>
            </w:hyperlink>
          </w:p>
        </w:tc>
        <w:tc>
          <w:tcPr>
            <w:tcW w:w="331" w:type="dxa"/>
            <w:tcBorders/>
            <w:vAlign w:val="center"/>
          </w:tcPr>
          <w:p>
            <w:pPr>
              <w:pStyle w:val="TableContents"/>
              <w:bidi w:val="0"/>
              <w:spacing w:lineRule="atLeast" w:line="180" w:before="0" w:after="0"/>
              <w:jc w:val="left"/>
              <w:rPr/>
            </w:pPr>
            <w:hyperlink w:anchor="ib44b4620d6d245e0bae824a83c255a23_166">
              <w:r>
                <w:rPr>
                  <w:rStyle w:val="InternetLink"/>
                  <w:rFonts w:ascii="Times New Roman;serif" w:hAnsi="Times New Roman;serif"/>
                  <w:b w:val="false"/>
                  <w:i w:val="false"/>
                  <w:caps w:val="false"/>
                  <w:smallCaps w:val="false"/>
                  <w:color w:val="0000FF"/>
                  <w:sz w:val="18"/>
                  <w:u w:val="single"/>
                </w:rPr>
                <w:t>65</w:t>
              </w:r>
            </w:hyperlink>
          </w:p>
        </w:tc>
      </w:tr>
      <w:tr>
        <w:trPr/>
        <w:tc>
          <w:tcPr>
            <w:tcW w:w="751" w:type="dxa"/>
            <w:tcBorders/>
            <w:vAlign w:val="center"/>
          </w:tcPr>
          <w:p>
            <w:pPr>
              <w:pStyle w:val="TableContents"/>
              <w:bidi w:val="0"/>
              <w:spacing w:lineRule="atLeast" w:line="180" w:before="0" w:after="0"/>
              <w:jc w:val="left"/>
              <w:rPr/>
            </w:pPr>
            <w:hyperlink w:anchor="ib44b4620d6d245e0bae824a83c255a23_169">
              <w:r>
                <w:rPr>
                  <w:rStyle w:val="InternetLink"/>
                  <w:rFonts w:ascii="Times New Roman;serif" w:hAnsi="Times New Roman;serif"/>
                  <w:b w:val="false"/>
                  <w:i w:val="false"/>
                  <w:caps w:val="false"/>
                  <w:smallCaps w:val="false"/>
                  <w:color w:val="0000FF"/>
                  <w:sz w:val="18"/>
                  <w:u w:val="single"/>
                </w:rPr>
                <w:t>Item 14.</w:t>
              </w:r>
            </w:hyperlink>
          </w:p>
        </w:tc>
        <w:tc>
          <w:tcPr>
            <w:tcW w:w="8071" w:type="dxa"/>
            <w:tcBorders/>
            <w:vAlign w:val="center"/>
          </w:tcPr>
          <w:p>
            <w:pPr>
              <w:pStyle w:val="TableContents"/>
              <w:bidi w:val="0"/>
              <w:spacing w:lineRule="atLeast" w:line="180" w:before="0" w:after="0"/>
              <w:jc w:val="left"/>
              <w:rPr/>
            </w:pPr>
            <w:hyperlink w:anchor="ib44b4620d6d245e0bae824a83c255a23_169">
              <w:r>
                <w:rPr>
                  <w:rStyle w:val="InternetLink"/>
                  <w:rFonts w:ascii="Times New Roman;serif" w:hAnsi="Times New Roman;serif"/>
                  <w:b w:val="false"/>
                  <w:i w:val="false"/>
                  <w:caps w:val="false"/>
                  <w:smallCaps w:val="false"/>
                  <w:color w:val="0000FF"/>
                  <w:sz w:val="18"/>
                  <w:u w:val="single"/>
                </w:rPr>
                <w:t>Principal Accountant Fees and Services</w:t>
              </w:r>
            </w:hyperlink>
          </w:p>
        </w:tc>
        <w:tc>
          <w:tcPr>
            <w:tcW w:w="331" w:type="dxa"/>
            <w:tcBorders/>
            <w:vAlign w:val="center"/>
          </w:tcPr>
          <w:p>
            <w:pPr>
              <w:pStyle w:val="TableContents"/>
              <w:bidi w:val="0"/>
              <w:spacing w:lineRule="atLeast" w:line="180" w:before="0" w:after="0"/>
              <w:jc w:val="left"/>
              <w:rPr/>
            </w:pPr>
            <w:hyperlink w:anchor="ib44b4620d6d245e0bae824a83c255a23_169">
              <w:r>
                <w:rPr>
                  <w:rStyle w:val="InternetLink"/>
                  <w:rFonts w:ascii="Times New Roman;serif" w:hAnsi="Times New Roman;serif"/>
                  <w:b w:val="false"/>
                  <w:i w:val="false"/>
                  <w:caps w:val="false"/>
                  <w:smallCaps w:val="false"/>
                  <w:color w:val="0000FF"/>
                  <w:sz w:val="18"/>
                  <w:u w:val="single"/>
                </w:rPr>
                <w:t>65</w:t>
              </w:r>
            </w:hyperlink>
          </w:p>
        </w:tc>
      </w:tr>
      <w:tr>
        <w:trPr/>
        <w:tc>
          <w:tcPr>
            <w:tcW w:w="9153" w:type="dxa"/>
            <w:gridSpan w:val="3"/>
            <w:tcBorders/>
            <w:vAlign w:val="center"/>
          </w:tcPr>
          <w:p>
            <w:pPr>
              <w:pStyle w:val="TableContents"/>
              <w:bidi w:val="0"/>
              <w:spacing w:lineRule="atLeast" w:line="180" w:before="0" w:after="0"/>
              <w:jc w:val="left"/>
              <w:rPr/>
            </w:pPr>
            <w:hyperlink w:anchor="ib44b4620d6d245e0bae824a83c255a23_172">
              <w:r>
                <w:rPr>
                  <w:rStyle w:val="InternetLink"/>
                  <w:rFonts w:ascii="Times New Roman;serif" w:hAnsi="Times New Roman;serif"/>
                  <w:b/>
                  <w:i w:val="false"/>
                  <w:caps w:val="false"/>
                  <w:smallCaps w:val="false"/>
                  <w:color w:val="0000FF"/>
                  <w:sz w:val="18"/>
                  <w:u w:val="single"/>
                </w:rPr>
                <w:t>PART IV</w:t>
              </w:r>
            </w:hyperlink>
          </w:p>
        </w:tc>
      </w:tr>
      <w:tr>
        <w:trPr/>
        <w:tc>
          <w:tcPr>
            <w:tcW w:w="751" w:type="dxa"/>
            <w:tcBorders/>
            <w:vAlign w:val="center"/>
          </w:tcPr>
          <w:p>
            <w:pPr>
              <w:pStyle w:val="TableContents"/>
              <w:bidi w:val="0"/>
              <w:spacing w:lineRule="atLeast" w:line="180" w:before="0" w:after="0"/>
              <w:jc w:val="left"/>
              <w:rPr/>
            </w:pPr>
            <w:hyperlink w:anchor="ib44b4620d6d245e0bae824a83c255a23_175">
              <w:r>
                <w:rPr>
                  <w:rStyle w:val="InternetLink"/>
                  <w:rFonts w:ascii="Times New Roman;serif" w:hAnsi="Times New Roman;serif"/>
                  <w:b w:val="false"/>
                  <w:i w:val="false"/>
                  <w:caps w:val="false"/>
                  <w:smallCaps w:val="false"/>
                  <w:color w:val="0000FF"/>
                  <w:sz w:val="18"/>
                  <w:u w:val="single"/>
                </w:rPr>
                <w:t>Item 15.</w:t>
              </w:r>
            </w:hyperlink>
          </w:p>
        </w:tc>
        <w:tc>
          <w:tcPr>
            <w:tcW w:w="8071" w:type="dxa"/>
            <w:tcBorders/>
            <w:vAlign w:val="center"/>
          </w:tcPr>
          <w:p>
            <w:pPr>
              <w:pStyle w:val="TableContents"/>
              <w:bidi w:val="0"/>
              <w:spacing w:lineRule="atLeast" w:line="180" w:before="0" w:after="0"/>
              <w:jc w:val="left"/>
              <w:rPr/>
            </w:pPr>
            <w:hyperlink w:anchor="ib44b4620d6d245e0bae824a83c255a23_175">
              <w:r>
                <w:rPr>
                  <w:rStyle w:val="InternetLink"/>
                  <w:rFonts w:ascii="Times New Roman;serif" w:hAnsi="Times New Roman;serif"/>
                  <w:b w:val="false"/>
                  <w:i w:val="false"/>
                  <w:caps w:val="false"/>
                  <w:smallCaps w:val="false"/>
                  <w:color w:val="0000FF"/>
                  <w:sz w:val="18"/>
                  <w:u w:val="single"/>
                </w:rPr>
                <w:t>Exhibits and Financial Statement Schedules</w:t>
              </w:r>
            </w:hyperlink>
          </w:p>
        </w:tc>
        <w:tc>
          <w:tcPr>
            <w:tcW w:w="331" w:type="dxa"/>
            <w:tcBorders/>
            <w:vAlign w:val="center"/>
          </w:tcPr>
          <w:p>
            <w:pPr>
              <w:pStyle w:val="TableContents"/>
              <w:bidi w:val="0"/>
              <w:spacing w:lineRule="atLeast" w:line="180" w:before="0" w:after="0"/>
              <w:jc w:val="left"/>
              <w:rPr/>
            </w:pPr>
            <w:hyperlink w:anchor="ib44b4620d6d245e0bae824a83c255a23_175">
              <w:r>
                <w:rPr>
                  <w:rStyle w:val="InternetLink"/>
                  <w:rFonts w:ascii="Times New Roman;serif" w:hAnsi="Times New Roman;serif"/>
                  <w:b w:val="false"/>
                  <w:i w:val="false"/>
                  <w:caps w:val="false"/>
                  <w:smallCaps w:val="false"/>
                  <w:color w:val="0000FF"/>
                  <w:sz w:val="18"/>
                  <w:u w:val="single"/>
                </w:rPr>
                <w:t>66</w:t>
              </w:r>
            </w:hyperlink>
          </w:p>
        </w:tc>
      </w:tr>
      <w:tr>
        <w:trPr/>
        <w:tc>
          <w:tcPr>
            <w:tcW w:w="751" w:type="dxa"/>
            <w:tcBorders/>
            <w:vAlign w:val="center"/>
          </w:tcPr>
          <w:p>
            <w:pPr>
              <w:pStyle w:val="TableContents"/>
              <w:bidi w:val="0"/>
              <w:spacing w:lineRule="atLeast" w:line="180" w:before="0" w:after="0"/>
              <w:jc w:val="left"/>
              <w:rPr/>
            </w:pPr>
            <w:hyperlink w:anchor="ib44b4620d6d245e0bae824a83c255a23_178">
              <w:r>
                <w:rPr>
                  <w:rStyle w:val="InternetLink"/>
                  <w:rFonts w:ascii="Times New Roman;serif" w:hAnsi="Times New Roman;serif"/>
                  <w:b w:val="false"/>
                  <w:i w:val="false"/>
                  <w:caps w:val="false"/>
                  <w:smallCaps w:val="false"/>
                  <w:color w:val="0000FF"/>
                  <w:sz w:val="18"/>
                  <w:u w:val="single"/>
                </w:rPr>
                <w:t>Item 16.</w:t>
              </w:r>
            </w:hyperlink>
          </w:p>
        </w:tc>
        <w:tc>
          <w:tcPr>
            <w:tcW w:w="8071" w:type="dxa"/>
            <w:tcBorders/>
            <w:vAlign w:val="center"/>
          </w:tcPr>
          <w:p>
            <w:pPr>
              <w:pStyle w:val="TableContents"/>
              <w:bidi w:val="0"/>
              <w:spacing w:lineRule="atLeast" w:line="180" w:before="0" w:after="0"/>
              <w:jc w:val="left"/>
              <w:rPr/>
            </w:pPr>
            <w:hyperlink w:anchor="ib44b4620d6d245e0bae824a83c255a23_178">
              <w:r>
                <w:rPr>
                  <w:rStyle w:val="InternetLink"/>
                  <w:rFonts w:ascii="Times New Roman;serif" w:hAnsi="Times New Roman;serif"/>
                  <w:b w:val="false"/>
                  <w:i w:val="false"/>
                  <w:caps w:val="false"/>
                  <w:smallCaps w:val="false"/>
                  <w:color w:val="0000FF"/>
                  <w:sz w:val="18"/>
                  <w:u w:val="single"/>
                </w:rPr>
                <w:t>Form 10-K Summary</w:t>
              </w:r>
            </w:hyperlink>
          </w:p>
        </w:tc>
        <w:tc>
          <w:tcPr>
            <w:tcW w:w="331" w:type="dxa"/>
            <w:tcBorders/>
            <w:vAlign w:val="center"/>
          </w:tcPr>
          <w:p>
            <w:pPr>
              <w:pStyle w:val="TableContents"/>
              <w:bidi w:val="0"/>
              <w:spacing w:lineRule="atLeast" w:line="180" w:before="0" w:after="0"/>
              <w:jc w:val="left"/>
              <w:rPr/>
            </w:pPr>
            <w:hyperlink w:anchor="ib44b4620d6d245e0bae824a83c255a23_178">
              <w:r>
                <w:rPr>
                  <w:rStyle w:val="InternetLink"/>
                  <w:rFonts w:ascii="Times New Roman;serif" w:hAnsi="Times New Roman;serif"/>
                  <w:b w:val="false"/>
                  <w:i w:val="false"/>
                  <w:caps w:val="false"/>
                  <w:smallCaps w:val="false"/>
                  <w:color w:val="0000FF"/>
                  <w:sz w:val="18"/>
                  <w:u w:val="single"/>
                </w:rPr>
                <w:t>69</w:t>
              </w:r>
            </w:hyperlink>
          </w:p>
        </w:tc>
      </w:tr>
      <w:tr>
        <w:trPr/>
        <w:tc>
          <w:tcPr>
            <w:tcW w:w="75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lineRule="atLeast" w:line="180" w:before="0" w:after="0"/>
              <w:jc w:val="left"/>
              <w:rPr/>
            </w:pPr>
            <w:hyperlink w:anchor="ib44b4620d6d245e0bae824a83c255a23_181">
              <w:r>
                <w:rPr>
                  <w:rStyle w:val="InternetLink"/>
                  <w:rFonts w:ascii="Times New Roman;serif" w:hAnsi="Times New Roman;serif"/>
                  <w:b w:val="false"/>
                  <w:i w:val="false"/>
                  <w:caps w:val="false"/>
                  <w:smallCaps w:val="false"/>
                  <w:color w:val="0000FF"/>
                  <w:sz w:val="18"/>
                  <w:u w:val="single"/>
                </w:rPr>
                <w:t>Signatures</w:t>
              </w:r>
            </w:hyperlink>
          </w:p>
        </w:tc>
        <w:tc>
          <w:tcPr>
            <w:tcW w:w="331" w:type="dxa"/>
            <w:tcBorders/>
            <w:vAlign w:val="center"/>
          </w:tcPr>
          <w:p>
            <w:pPr>
              <w:pStyle w:val="TableContents"/>
              <w:bidi w:val="0"/>
              <w:spacing w:lineRule="atLeast" w:line="180" w:before="0" w:after="0"/>
              <w:jc w:val="left"/>
              <w:rPr/>
            </w:pPr>
            <w:hyperlink w:anchor="ib44b4620d6d245e0bae824a83c255a23_181">
              <w:r>
                <w:rPr>
                  <w:rStyle w:val="InternetLink"/>
                  <w:rFonts w:ascii="Times New Roman;serif" w:hAnsi="Times New Roman;serif"/>
                  <w:b w:val="false"/>
                  <w:i w:val="false"/>
                  <w:caps w:val="false"/>
                  <w:smallCaps w:val="false"/>
                  <w:color w:val="0000FF"/>
                  <w:sz w:val="18"/>
                  <w:u w:val="single"/>
                </w:rPr>
                <w:t>70</w:t>
              </w:r>
            </w:hyperlink>
          </w:p>
        </w:tc>
      </w:tr>
    </w:tbl>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Vertex,” “we,” “us” and “our” as used in this Annual Report on Form 10-K refer to Vertex Pharmaceuticals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a Massachusetts corporation, and its subsidiaries.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VERTEX</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“KALYDECO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“ORKAMBI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“SYMDEKO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“SYMKEVI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“TRIKAFTA</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“KAFTRIO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CASGEVY</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“ALYFTREK</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and “JOURNAVX</w:t>
      </w:r>
      <w:r>
        <w:rPr>
          <w:rFonts w:ascii="Times New Roman;serif" w:hAnsi="Times New Roman;serif"/>
          <w:b w:val="false"/>
          <w:i w:val="false"/>
          <w:caps w:val="false"/>
          <w:smallCaps w:val="false"/>
          <w:sz w:val="13"/>
        </w:rPr>
        <w:t>®</w:t>
      </w:r>
      <w:r>
        <w:rPr>
          <w:caps w:val="false"/>
          <w:smallCaps w:val="false"/>
        </w:rPr>
        <w:t xml:space="preserve">” </w:t>
      </w:r>
      <w:r>
        <w:rPr>
          <w:rFonts w:ascii="Times New Roman;serif" w:hAnsi="Times New Roman;serif"/>
          <w:b w:val="false"/>
          <w:i w:val="false"/>
          <w:caps w:val="false"/>
          <w:smallCaps w:val="false"/>
          <w:sz w:val="20"/>
        </w:rPr>
        <w:t xml:space="preserve">are registered trademarks of Vertex. Other brands, names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trademarks contained in this Annual Report on Form 10-K are the property of their respective owners.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the brand name for our products when we refer to the product that has been approved and with respect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indications on the approved label. Otherwise, we refer to our product candidates by their scientific (or generic) name or VX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developmental designation.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Annual Report on Form 10-K contains forward-looking statements. Words such as “anticipates,” “may,”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forecasts,” “expects,” “intends,” “plans,” “potentially,” “believes,” “seeks,” “estimates,” variations of such words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similar expressions are intended to identify such forward-looking statements, although not all forward-looking 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contain these identifying words. Please refer to “Special Note Regarding Forward-Looking Statements” set forth in Part 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Item 1A, for a discussion of our forward-looking statements and the related risks and uncertainties of such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ITEM 1.B</w:t>
      </w:r>
      <w:r>
        <w:rPr>
          <w:rFonts w:ascii="Times New Roman;serif" w:hAnsi="Times New Roman;serif"/>
          <w:b/>
          <w:i w:val="false"/>
          <w:caps w:val="false"/>
          <w:smallCaps w:val="false"/>
          <w:sz w:val="20"/>
        </w:rPr>
        <w:t>USINESS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OVERVIEW</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We are a global biotechnology company that invests in scientific innovation to create transformative </w:t>
      </w:r>
      <w:r>
        <w:rPr>
          <w:rFonts w:ascii="Times New Roman;serif" w:hAnsi="Times New Roman;serif"/>
          <w:b w:val="false"/>
          <w:i w:val="false"/>
          <w:caps w:val="false"/>
          <w:smallCaps w:val="false"/>
          <w:strike w:val="false"/>
          <w:dstrike w:val="false"/>
          <w:sz w:val="20"/>
          <w:u w:val="none"/>
          <w:effect w:val="none"/>
          <w:shd w:fill="FFFFFF" w:val="clear"/>
        </w:rPr>
        <w:t xml:space="preserve">medicines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people with serious diseases, with a focus on specialty markets. We have approved medicines for cystic fibrosis (“CF”),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sickle cell disease (“SCD”), transfusion dependent beta thalassemia (“TDT”), and acute pain, and we continue to serially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innovate and advance next-generation clinical and research programs in these areas. Our mid- and late-stage clinical pipeline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includes programs across a range of modalities in additional serious diseases, including IgA nephropathy, APOL1-mediated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kidney disease, neuropathic pain, type 1 diabetes,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primary membranous nephropathy, autosomal dominant polycystic kidney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disease, and myotonic dystrophy type 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chart sets forth our approved products, clinical-stage programs, and select pre-clinical programs:</w:t>
      </w:r>
    </w:p>
    <w:p>
      <w:pPr>
        <w:pStyle w:val="TextBody"/>
        <w:bidi w:val="0"/>
        <w:spacing w:before="0" w:after="0"/>
        <w:jc w:val="left"/>
        <w:rPr/>
      </w:pPr>
      <w:r>
        <w:rPr/>
        <w:drawing>
          <wp:inline distT="0" distB="0" distL="0" distR="0">
            <wp:extent cx="6400800" cy="3017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3017520"/>
                    </a:xfrm>
                    <a:prstGeom prst="rect">
                      <a:avLst/>
                    </a:prstGeom>
                  </pic:spPr>
                </pic:pic>
              </a:graphicData>
            </a:graphic>
          </wp:inline>
        </w:drawing>
      </w:r>
      <w:bookmarkStart w:id="0" w:name="i-1"/>
      <w:bookmarkEnd w:id="0"/>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advancing five pivotal programs across multiple disease areas: </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sz w:val="20"/>
        </w:rPr>
        <w:t>IgA Nephropathy</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We are developing povetacicept, a dual inhibitor of the B cell activating factor (“BAFF”) and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proliferation-inducing ligand (“APRIL”) pathways, as a potentially best-in-class approach to treat IgA nephropathy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(“IgAN”), a serious, progressive, life-threatening kidney disease that often progresses to end-stage renal disease</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We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completed enrollment in the IgAN </w:t>
      </w:r>
      <w:r>
        <w:rPr>
          <w:rFonts w:ascii="Times New Roman;serif" w:hAnsi="Times New Roman;serif"/>
          <w:b w:val="false"/>
          <w:i w:val="false"/>
          <w:caps w:val="false"/>
          <w:smallCaps w:val="false"/>
          <w:sz w:val="20"/>
        </w:rPr>
        <w:t xml:space="preserve">Phase 3 clinical trial and </w:t>
      </w:r>
      <w:r>
        <w:rPr>
          <w:rFonts w:ascii="Times New Roman;serif" w:hAnsi="Times New Roman;serif"/>
          <w:b w:val="false"/>
          <w:i w:val="false"/>
          <w:caps w:val="false"/>
          <w:smallCaps w:val="false"/>
          <w:strike w:val="false"/>
          <w:dstrike w:val="false"/>
          <w:sz w:val="20"/>
          <w:u w:val="none"/>
          <w:effect w:val="none"/>
        </w:rPr>
        <w:t xml:space="preserve">submitted the first module of the rolling </w:t>
      </w:r>
      <w:r>
        <w:rPr>
          <w:rFonts w:ascii="Times New Roman;serif" w:hAnsi="Times New Roman;serif"/>
          <w:b w:val="false"/>
          <w:i w:val="false"/>
          <w:caps w:val="false"/>
          <w:smallCaps w:val="false"/>
          <w:sz w:val="20"/>
        </w:rPr>
        <w:t xml:space="preserve">Biologics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Licensing Application (“BLA”) for povetacicept in IgAN in the fourth quarter of 2025. We expect to complete the </w:t>
      </w:r>
    </w:p>
    <w:p>
      <w:pPr>
        <w:pStyle w:val="TextBody"/>
        <w:bidi w:val="0"/>
        <w:spacing w:lineRule="atLeast" w:line="200" w:before="0" w:after="0"/>
        <w:jc w:val="left"/>
        <w:rPr/>
      </w:pPr>
      <w:r>
        <w:rPr>
          <w:rFonts w:ascii="Times New Roman;serif" w:hAnsi="Times New Roman;serif"/>
          <w:b w:val="false"/>
          <w:i w:val="false"/>
          <w:caps w:val="false"/>
          <w:smallCaps w:val="false"/>
          <w:sz w:val="20"/>
        </w:rPr>
        <w:t>submission for potential accelerated approval in the U.S. in the first half of 2026</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sz w:val="20"/>
        </w:rPr>
        <w:t xml:space="preserve">APOL1-Mediated Kidney Disease. </w:t>
      </w:r>
      <w:r>
        <w:rPr>
          <w:rFonts w:ascii="Times New Roman;serif" w:hAnsi="Times New Roman;serif"/>
          <w:b w:val="false"/>
          <w:i w:val="false"/>
          <w:caps w:val="false"/>
          <w:smallCaps w:val="false"/>
          <w:sz w:val="20"/>
        </w:rPr>
        <w:t xml:space="preserve">We are developing inaxaplin, a small molecule inhibitor of APOL1 as a potential </w:t>
      </w:r>
    </w:p>
    <w:p>
      <w:pPr>
        <w:pStyle w:val="TextBody"/>
        <w:bidi w:val="0"/>
        <w:spacing w:lineRule="atLeast" w:line="200" w:before="0" w:after="0"/>
        <w:jc w:val="left"/>
        <w:rPr/>
      </w:pPr>
      <w:r>
        <w:rPr>
          <w:rFonts w:ascii="Times New Roman;serif" w:hAnsi="Times New Roman;serif"/>
          <w:b w:val="false"/>
          <w:i w:val="false"/>
          <w:caps w:val="false"/>
          <w:smallCaps w:val="false"/>
          <w:sz w:val="20"/>
        </w:rPr>
        <w:t>first-in-class treatment for APOL1-mediated kidney disease (“AMKD”)</w:t>
      </w:r>
      <w:r>
        <w:rPr>
          <w:rFonts w:ascii="Times New Roman;serif" w:hAnsi="Times New Roman;serif"/>
          <w:b w:val="false"/>
          <w:i w:val="false"/>
          <w:caps w:val="false"/>
          <w:smallCaps w:val="false"/>
          <w:strike w:val="false"/>
          <w:dstrike w:val="false"/>
          <w:sz w:val="20"/>
          <w:u w:val="none"/>
          <w:effect w:val="none"/>
          <w:shd w:fill="FFFFFF" w:val="clear"/>
        </w:rPr>
        <w:t xml:space="preserve">. We have completed the enrollment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interim analysis cohort of the Phase 2/3 clinical trial and will conduct the pre-planned interim analysis once this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cohort reaches 48 weeks of treatment. We expect to share data from the interim analysis in late 2026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or early 2027.</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sz w:val="20"/>
        </w:rPr>
        <w:t>Peripheral Neuropathic Pain.</w:t>
      </w:r>
      <w:r>
        <w:rPr>
          <w:caps w:val="false"/>
          <w:smallCaps w:val="false"/>
        </w:rPr>
        <w:t xml:space="preserve"> </w:t>
      </w:r>
      <w:r>
        <w:rPr>
          <w:rFonts w:ascii="Times New Roman;serif" w:hAnsi="Times New Roman;serif"/>
          <w:b w:val="false"/>
          <w:i w:val="false"/>
          <w:caps w:val="false"/>
          <w:smallCaps w:val="false"/>
          <w:sz w:val="20"/>
        </w:rPr>
        <w:t xml:space="preserve">We are developing suzetrigine, a selective non-opioid NaV1.8 pain signal inhibitor,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diabetic peripheral neuropathy (“DPN”), a common form of peripheral neuropathic pain. We are evaluating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suzetrigine for the treatment of DPN in two Phase 3 clinical trials. We expect to complete enrollment in both Phase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clinical trials by the end of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200" w:before="0" w:after="0"/>
        <w:jc w:val="left"/>
        <w:rPr/>
      </w:pPr>
      <w:r>
        <w:rPr/>
        <w:t>•</w:t>
      </w:r>
      <w:r>
        <w:rPr>
          <w:rFonts w:ascii="Times New Roman;serif" w:hAnsi="Times New Roman;serif"/>
          <w:b w:val="false"/>
          <w:i/>
          <w:sz w:val="20"/>
        </w:rPr>
        <w:t>Type 1 Diabetes. Z</w:t>
      </w:r>
      <w:r>
        <w:rPr>
          <w:rFonts w:ascii="Times New Roman;serif" w:hAnsi="Times New Roman;serif"/>
          <w:b w:val="false"/>
          <w:i w:val="false"/>
          <w:caps w:val="false"/>
          <w:smallCaps w:val="false"/>
          <w:sz w:val="20"/>
        </w:rPr>
        <w:t xml:space="preserve">imislecel is an allogeneic stem-cell derived, fully differentiated islet cell therapy in pivotal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for the treatment of type 1 diabetes (“T1D”). We have completed enrollment in the Phase 1/2/3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trial of zimislecel in people with T1D. We have temporarily postponed completion of the dosing in this clinical trial,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pending an ongoing internal manufacturing analysis.</w:t>
      </w:r>
    </w:p>
    <w:p>
      <w:pPr>
        <w:pStyle w:val="TextBody"/>
        <w:bidi w:val="0"/>
        <w:spacing w:lineRule="atLeast" w:line="200" w:before="0" w:after="0"/>
        <w:jc w:val="left"/>
        <w:rPr/>
      </w:pPr>
      <w:r>
        <w:rPr>
          <w:strike w:val="false"/>
          <w:dstrike w:val="false"/>
          <w:u w:val="none"/>
          <w:effect w:val="none"/>
          <w:shd w:fill="FFFFFF" w:val="clear"/>
        </w:rPr>
        <w:t>•</w:t>
      </w:r>
      <w:r>
        <w:rPr>
          <w:rFonts w:ascii="Times New Roman;serif" w:hAnsi="Times New Roman;serif"/>
          <w:b w:val="false"/>
          <w:i/>
          <w:strike w:val="false"/>
          <w:dstrike w:val="false"/>
          <w:sz w:val="20"/>
          <w:u w:val="none"/>
          <w:effect w:val="none"/>
          <w:shd w:fill="FFFFFF" w:val="clear"/>
        </w:rPr>
        <w:t xml:space="preserve">Primary Membranous Nephropathy. </w:t>
      </w:r>
      <w:r>
        <w:rPr>
          <w:rFonts w:ascii="Times New Roman;serif" w:hAnsi="Times New Roman;serif"/>
          <w:b w:val="false"/>
          <w:i w:val="false"/>
          <w:caps w:val="false"/>
          <w:smallCaps w:val="false"/>
          <w:strike w:val="false"/>
          <w:dstrike w:val="false"/>
          <w:sz w:val="20"/>
          <w:u w:val="none"/>
          <w:effect w:val="none"/>
          <w:shd w:fill="FFFFFF" w:val="clear"/>
        </w:rPr>
        <w:t xml:space="preserve">We are also developing povetacicept to treat primary membranous nephropathy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(“pMN”), a rare and serious autoimmune glomerular disease that can lead to kidney damage and renal failure,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which has no treatments specifically approved for this condition. We continue to enroll and dose patients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adaptive Phase 2/3 pivotal trial in people with pMN. We expect to complete the Phase 2 portion of the clinical trial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and to initiate the Phase 3 portion in mid-2026.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core strategy is to discover, develop, and commercialize innovative medicines by combining transformative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advances in the understanding of human disease and the science of therapeutics, to dramatically advance human health.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focus on validated targets that address causal human biology, predictive lab assays and clinical biomarkers, rapid paths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registration and approval, and product candidates that hold the potential for transformative patient benefit. Our approach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includes advancing multiple compounds or therapies from each program into early clinical trials to obtain patient data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 inform selection of the most promising therapies for later stage development as well as inform our ongoing discovery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development efforts.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aim to serially innovate in our disease areas of interest and follow our first-in-class therapies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potential best-in-class candidates.</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We plan to continue investing to advance our strategy, fostering scientific innovation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identifying additional product candidates through internal research efforts, and investing in business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to access emerging technologies, products and product candidates.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serial innovation approach is intended to increase the likelihood of successfully bringing transformative medicines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patients and to provide durable clinical and commercial success. We are working to ensure broad access for eligible patients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with these conditions in all countries with regulatory approval. </w:t>
      </w:r>
      <w:r>
        <w:rPr>
          <w:rFonts w:ascii="Times New Roman;serif" w:hAnsi="Times New Roman;serif"/>
          <w:b w:val="false"/>
          <w:i w:val="false"/>
          <w:caps w:val="false"/>
          <w:smallCaps w:val="false"/>
          <w:strike w:val="false"/>
          <w:dstrike w:val="false"/>
          <w:sz w:val="20"/>
          <w:u w:val="none"/>
          <w:effect w:val="none"/>
        </w:rPr>
        <w:t xml:space="preserve">Within our clinical pipeline, we are rapidly progressing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multiple programs into pivotal development.</w:t>
      </w:r>
      <w:r>
        <w:rPr>
          <w:caps w:val="false"/>
          <w:smallCaps w:val="false"/>
          <w:sz w:val="24"/>
        </w:rPr>
        <w:t xml:space="preserve"> </w:t>
      </w:r>
      <w:r>
        <w:rPr>
          <w:rFonts w:ascii="Times New Roman;serif" w:hAnsi="Times New Roman;serif"/>
          <w:b w:val="false"/>
          <w:i w:val="false"/>
          <w:caps w:val="false"/>
          <w:smallCaps w:val="false"/>
          <w:sz w:val="20"/>
        </w:rPr>
        <w:t xml:space="preserve">We maintain a strong financial profile as we continue to invest in our serial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innovation strategy, launch new products, advance our diverse pipeline, and expand geographically.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MARKETED PRODUCTS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regarding our marketed products, including information regarding the disease area, initial approval and 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group for which the therapy is approved, are set forth in the table below.</w:t>
      </w:r>
    </w:p>
    <w:tbl>
      <w:tblPr>
        <w:tblW w:w="6642" w:type="dxa"/>
        <w:jc w:val="left"/>
        <w:tblInd w:w="0" w:type="dxa"/>
        <w:tblLayout w:type="fixed"/>
        <w:tblCellMar>
          <w:top w:w="28" w:type="dxa"/>
          <w:left w:w="28" w:type="dxa"/>
          <w:bottom w:w="28" w:type="dxa"/>
          <w:right w:w="28" w:type="dxa"/>
        </w:tblCellMar>
      </w:tblPr>
      <w:tblGrid>
        <w:gridCol w:w="1685"/>
        <w:gridCol w:w="1670"/>
        <w:gridCol w:w="1351"/>
        <w:gridCol w:w="1936"/>
      </w:tblGrid>
      <w:tr>
        <w:trPr/>
        <w:tc>
          <w:tcPr>
            <w:tcW w:w="168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355" w:type="dxa"/>
            <w:gridSpan w:val="2"/>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Disease</w:t>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Initial Approval</w:t>
            </w:r>
          </w:p>
        </w:tc>
        <w:tc>
          <w:tcPr>
            <w:tcW w:w="193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z w:val="18"/>
              </w:rPr>
              <w:t>Eligible Age Group</w:t>
            </w:r>
            <w:r>
              <w:rPr>
                <w:rFonts w:ascii="Times New Roman;serif" w:hAnsi="Times New Roman;serif"/>
                <w:b/>
                <w:i w:val="false"/>
                <w:caps w:val="false"/>
                <w:smallCaps w:val="false"/>
                <w:sz w:val="12"/>
              </w:rPr>
              <w:t>(1)</w:t>
            </w:r>
          </w:p>
        </w:tc>
      </w:tr>
      <w:tr>
        <w:trPr/>
        <w:tc>
          <w:tcPr>
            <w:tcW w:w="6642" w:type="dxa"/>
            <w:gridSpan w:val="4"/>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Cystic Fibrosis</w:t>
            </w:r>
          </w:p>
        </w:tc>
      </w:tr>
      <w:tr>
        <w:trPr/>
        <w:tc>
          <w:tcPr>
            <w:tcW w:w="3355" w:type="dxa"/>
            <w:gridSpan w:val="2"/>
            <w:tcBorders/>
            <w:vAlign w:val="center"/>
          </w:tcPr>
          <w:p>
            <w:pPr>
              <w:pStyle w:val="TableContents"/>
              <w:bidi w:val="0"/>
              <w:spacing w:before="0" w:after="0"/>
              <w:jc w:val="left"/>
              <w:rPr/>
            </w:pPr>
            <w:r>
              <w:rPr/>
              <w:drawing>
                <wp:inline distT="0" distB="0" distL="0" distR="0">
                  <wp:extent cx="1005840" cy="5092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 cy="509270"/>
                          </a:xfrm>
                          <a:prstGeom prst="rect">
                            <a:avLst/>
                          </a:prstGeom>
                        </pic:spPr>
                      </pic:pic>
                    </a:graphicData>
                  </a:graphic>
                </wp:inline>
              </w:drawing>
            </w:r>
            <w:bookmarkStart w:id="1" w:name="i-2"/>
            <w:bookmarkEnd w:id="1"/>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2024</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 years of age and older</w:t>
            </w:r>
          </w:p>
        </w:tc>
      </w:tr>
      <w:tr>
        <w:trPr/>
        <w:tc>
          <w:tcPr>
            <w:tcW w:w="1685" w:type="dxa"/>
            <w:tcBorders/>
            <w:vAlign w:val="center"/>
          </w:tcPr>
          <w:p>
            <w:pPr>
              <w:pStyle w:val="TableContents"/>
              <w:bidi w:val="0"/>
              <w:spacing w:before="0" w:after="0"/>
              <w:jc w:val="left"/>
              <w:rPr/>
            </w:pPr>
            <w:r>
              <w:rPr/>
              <w:drawing>
                <wp:inline distT="0" distB="0" distL="0" distR="0">
                  <wp:extent cx="1005840" cy="7550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 cy="755015"/>
                          </a:xfrm>
                          <a:prstGeom prst="rect">
                            <a:avLst/>
                          </a:prstGeom>
                        </pic:spPr>
                      </pic:pic>
                    </a:graphicData>
                  </a:graphic>
                </wp:inline>
              </w:drawing>
            </w:r>
            <w:bookmarkStart w:id="2" w:name="i-3"/>
            <w:bookmarkEnd w:id="2"/>
          </w:p>
        </w:tc>
        <w:tc>
          <w:tcPr>
            <w:tcW w:w="1670" w:type="dxa"/>
            <w:tcBorders/>
            <w:vAlign w:val="center"/>
          </w:tcPr>
          <w:p>
            <w:pPr>
              <w:pStyle w:val="TableContents"/>
              <w:bidi w:val="0"/>
              <w:spacing w:before="0" w:after="0"/>
              <w:jc w:val="left"/>
              <w:rPr/>
            </w:pPr>
            <w:r>
              <w:rPr/>
              <w:drawing>
                <wp:inline distT="0" distB="0" distL="0" distR="0">
                  <wp:extent cx="914400" cy="51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 cy="511175"/>
                          </a:xfrm>
                          <a:prstGeom prst="rect">
                            <a:avLst/>
                          </a:prstGeom>
                        </pic:spPr>
                      </pic:pic>
                    </a:graphicData>
                  </a:graphic>
                </wp:inline>
              </w:drawing>
            </w:r>
            <w:bookmarkStart w:id="3" w:name="i-4"/>
            <w:bookmarkEnd w:id="3"/>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2019</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 years of age and older</w:t>
            </w:r>
          </w:p>
        </w:tc>
      </w:tr>
      <w:tr>
        <w:trPr/>
        <w:tc>
          <w:tcPr>
            <w:tcW w:w="1685" w:type="dxa"/>
            <w:tcBorders/>
            <w:vAlign w:val="center"/>
          </w:tcPr>
          <w:p>
            <w:pPr>
              <w:pStyle w:val="TableContents"/>
              <w:bidi w:val="0"/>
              <w:spacing w:before="0" w:after="0"/>
              <w:jc w:val="left"/>
              <w:rPr/>
            </w:pPr>
            <w:r>
              <w:rPr/>
              <w:drawing>
                <wp:inline distT="0" distB="0" distL="0" distR="0">
                  <wp:extent cx="914400" cy="4076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 cy="407670"/>
                          </a:xfrm>
                          <a:prstGeom prst="rect">
                            <a:avLst/>
                          </a:prstGeom>
                        </pic:spPr>
                      </pic:pic>
                    </a:graphicData>
                  </a:graphic>
                </wp:inline>
              </w:drawing>
            </w:r>
            <w:bookmarkStart w:id="4" w:name="i-5"/>
            <w:bookmarkEnd w:id="4"/>
          </w:p>
        </w:tc>
        <w:tc>
          <w:tcPr>
            <w:tcW w:w="1670" w:type="dxa"/>
            <w:tcBorders/>
            <w:vAlign w:val="center"/>
          </w:tcPr>
          <w:p>
            <w:pPr>
              <w:pStyle w:val="TableContents"/>
              <w:bidi w:val="0"/>
              <w:spacing w:before="0" w:after="0"/>
              <w:jc w:val="left"/>
              <w:rPr/>
            </w:pPr>
            <w:r>
              <w:rPr/>
              <w:drawing>
                <wp:inline distT="0" distB="0" distL="0" distR="0">
                  <wp:extent cx="1005840" cy="42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 cy="425450"/>
                          </a:xfrm>
                          <a:prstGeom prst="rect">
                            <a:avLst/>
                          </a:prstGeom>
                        </pic:spPr>
                      </pic:pic>
                    </a:graphicData>
                  </a:graphic>
                </wp:inline>
              </w:drawing>
            </w:r>
            <w:bookmarkStart w:id="5" w:name="i-6"/>
            <w:bookmarkEnd w:id="5"/>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2018</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 years of age and older</w:t>
            </w:r>
          </w:p>
        </w:tc>
      </w:tr>
      <w:tr>
        <w:trPr/>
        <w:tc>
          <w:tcPr>
            <w:tcW w:w="3355" w:type="dxa"/>
            <w:gridSpan w:val="2"/>
            <w:tcBorders/>
            <w:vAlign w:val="center"/>
          </w:tcPr>
          <w:p>
            <w:pPr>
              <w:pStyle w:val="TableContents"/>
              <w:bidi w:val="0"/>
              <w:spacing w:before="0" w:after="0"/>
              <w:jc w:val="left"/>
              <w:rPr/>
            </w:pPr>
            <w:r>
              <w:rPr/>
              <w:drawing>
                <wp:inline distT="0" distB="0" distL="0" distR="0">
                  <wp:extent cx="1097280" cy="5734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97280" cy="573405"/>
                          </a:xfrm>
                          <a:prstGeom prst="rect">
                            <a:avLst/>
                          </a:prstGeom>
                        </pic:spPr>
                      </pic:pic>
                    </a:graphicData>
                  </a:graphic>
                </wp:inline>
              </w:drawing>
            </w:r>
            <w:bookmarkStart w:id="6" w:name="i-7"/>
            <w:bookmarkEnd w:id="6"/>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2015</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 year of age and older</w:t>
            </w:r>
          </w:p>
        </w:tc>
      </w:tr>
      <w:tr>
        <w:trPr/>
        <w:tc>
          <w:tcPr>
            <w:tcW w:w="3355" w:type="dxa"/>
            <w:gridSpan w:val="2"/>
            <w:tcBorders/>
            <w:vAlign w:val="center"/>
          </w:tcPr>
          <w:p>
            <w:pPr>
              <w:pStyle w:val="TableContents"/>
              <w:bidi w:val="0"/>
              <w:spacing w:before="0" w:after="0"/>
              <w:jc w:val="left"/>
              <w:rPr/>
            </w:pPr>
            <w:r>
              <w:rPr/>
              <w:drawing>
                <wp:inline distT="0" distB="0" distL="0" distR="0">
                  <wp:extent cx="1097280" cy="568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97280" cy="568325"/>
                          </a:xfrm>
                          <a:prstGeom prst="rect">
                            <a:avLst/>
                          </a:prstGeom>
                        </pic:spPr>
                      </pic:pic>
                    </a:graphicData>
                  </a:graphic>
                </wp:inline>
              </w:drawing>
            </w:r>
            <w:bookmarkStart w:id="7" w:name="i-8"/>
            <w:bookmarkEnd w:id="7"/>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2012</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 month of age and older</w:t>
            </w:r>
          </w:p>
        </w:tc>
      </w:tr>
      <w:tr>
        <w:trPr/>
        <w:tc>
          <w:tcPr>
            <w:tcW w:w="6642" w:type="dxa"/>
            <w:gridSpan w:val="4"/>
            <w:tcBorders/>
            <w:shd w:fill="CCEEFF" w:val="clear"/>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Sickle Cell Disease and Transfusion-Dependent Beta Thalassemia</w:t>
            </w:r>
          </w:p>
        </w:tc>
      </w:tr>
      <w:tr>
        <w:trPr/>
        <w:tc>
          <w:tcPr>
            <w:tcW w:w="3355" w:type="dxa"/>
            <w:gridSpan w:val="2"/>
            <w:tcBorders/>
            <w:vAlign w:val="center"/>
          </w:tcPr>
          <w:p>
            <w:pPr>
              <w:pStyle w:val="TableContents"/>
              <w:bidi w:val="0"/>
              <w:spacing w:before="0" w:after="0"/>
              <w:jc w:val="left"/>
              <w:rPr/>
            </w:pPr>
            <w:r>
              <w:rPr/>
              <w:drawing>
                <wp:inline distT="0" distB="0" distL="0" distR="0">
                  <wp:extent cx="1188720" cy="4521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88720" cy="452120"/>
                          </a:xfrm>
                          <a:prstGeom prst="rect">
                            <a:avLst/>
                          </a:prstGeom>
                        </pic:spPr>
                      </pic:pic>
                    </a:graphicData>
                  </a:graphic>
                </wp:inline>
              </w:drawing>
            </w:r>
            <w:bookmarkStart w:id="8" w:name="i-9"/>
            <w:bookmarkEnd w:id="8"/>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2023</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 years of age and older</w:t>
            </w:r>
          </w:p>
        </w:tc>
      </w:tr>
      <w:tr>
        <w:trPr/>
        <w:tc>
          <w:tcPr>
            <w:tcW w:w="6642" w:type="dxa"/>
            <w:gridSpan w:val="4"/>
            <w:tcBorders/>
            <w:shd w:fill="CCEEFF" w:val="clear"/>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Acute Pain</w:t>
            </w:r>
          </w:p>
        </w:tc>
      </w:tr>
      <w:tr>
        <w:trPr/>
        <w:tc>
          <w:tcPr>
            <w:tcW w:w="3355" w:type="dxa"/>
            <w:gridSpan w:val="2"/>
            <w:tcBorders/>
            <w:vAlign w:val="center"/>
          </w:tcPr>
          <w:p>
            <w:pPr>
              <w:pStyle w:val="TableContents"/>
              <w:bidi w:val="0"/>
              <w:spacing w:before="0" w:after="0"/>
              <w:jc w:val="left"/>
              <w:rPr/>
            </w:pPr>
            <w:r>
              <w:rPr/>
              <w:drawing>
                <wp:inline distT="0" distB="0" distL="0" distR="0">
                  <wp:extent cx="1188720" cy="1752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88720" cy="175260"/>
                          </a:xfrm>
                          <a:prstGeom prst="rect">
                            <a:avLst/>
                          </a:prstGeom>
                        </pic:spPr>
                      </pic:pic>
                    </a:graphicData>
                  </a:graphic>
                </wp:inline>
              </w:drawing>
            </w:r>
            <w:bookmarkStart w:id="9" w:name="i-10"/>
            <w:bookmarkEnd w:id="9"/>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2025</w:t>
            </w:r>
          </w:p>
        </w:tc>
        <w:tc>
          <w:tcPr>
            <w:tcW w:w="19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Adults</w:t>
            </w:r>
          </w:p>
        </w:tc>
      </w:tr>
    </w:tbl>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 xml:space="preserve">(1) </w:t>
      </w:r>
      <w:r>
        <w:rPr>
          <w:rFonts w:ascii="Times New Roman;serif" w:hAnsi="Times New Roman;serif"/>
          <w:b w:val="false"/>
          <w:i w:val="false"/>
          <w:caps w:val="false"/>
          <w:smallCaps w:val="false"/>
          <w:strike w:val="false"/>
          <w:dstrike w:val="false"/>
          <w:sz w:val="16"/>
          <w:u w:val="none"/>
          <w:effect w:val="none"/>
        </w:rPr>
        <w:t xml:space="preserve">Specifies the youngest eligible age group in any major market.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CF</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 is a life-shortening genetic disease caused by a defective or missing cystic fibrosis transmembrane conductance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receptor (“CFTR”) protein resulting from mutations in the CFTR gene. The absence of working CFTR protein results in poor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flow of salt and water into and out of cells in a number of organs, including the lungs, where mucus </w:t>
      </w:r>
      <w:r>
        <w:rPr>
          <w:rFonts w:ascii="Times New Roman;serif" w:hAnsi="Times New Roman;serif"/>
          <w:b w:val="false"/>
          <w:i w:val="false"/>
          <w:caps w:val="false"/>
          <w:smallCaps w:val="false"/>
          <w:strike w:val="false"/>
          <w:dstrike w:val="false"/>
          <w:sz w:val="20"/>
          <w:u w:val="none"/>
          <w:effect w:val="none"/>
        </w:rPr>
        <w:t>builds</w:t>
      </w:r>
      <w:r>
        <w:rPr>
          <w:caps w:val="false"/>
          <w:smallCaps w:val="false"/>
          <w:sz w:val="24"/>
        </w:rPr>
        <w:t xml:space="preserve"> </w:t>
      </w:r>
      <w:r>
        <w:rPr>
          <w:rFonts w:ascii="Times New Roman;serif" w:hAnsi="Times New Roman;serif"/>
          <w:b w:val="false"/>
          <w:i w:val="false"/>
          <w:caps w:val="false"/>
          <w:smallCaps w:val="false"/>
          <w:sz w:val="20"/>
        </w:rPr>
        <w:t xml:space="preserve">up, causing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chronic lung infections and progressive lung damage. Our CFTR modulators, including ivacaftor, deutivacaftor, lumacaftor,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tezacaftor, elexacaftor, and vanzacaftor, target the underlying cause of disease by improving CFTR protein function, and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have been shown to provide transformative benefit for people living with CF.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marketed CF medicines, </w:t>
      </w:r>
      <w:r>
        <w:rPr>
          <w:rFonts w:ascii="Times New Roman;serif" w:hAnsi="Times New Roman;serif"/>
          <w:b w:val="false"/>
          <w:i w:val="false"/>
          <w:caps w:val="false"/>
          <w:smallCaps w:val="false"/>
          <w:strike w:val="false"/>
          <w:dstrike w:val="false"/>
          <w:sz w:val="20"/>
          <w:u w:val="none"/>
          <w:effect w:val="none"/>
        </w:rPr>
        <w:t>ALYFTREK (vanzacaftor/tezacaftor/deutivacaftor)</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TRIKAFTA/KAFTRIO (elexacaftor/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tezacaftor/ivacaftor and ivacaftor), SYMDEKO/SYMKEVI (tezacaftor/ivacaftor and ivacaftor), ORKAMBI (lumacaftor/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ivacaftor) and KALYDECO (ivacaftor)</w:t>
      </w:r>
      <w:r>
        <w:rPr>
          <w:rFonts w:ascii="Times New Roman;serif" w:hAnsi="Times New Roman;serif"/>
          <w:b w:val="false"/>
          <w:i w:val="false"/>
          <w:caps w:val="false"/>
          <w:smallCaps w:val="false"/>
          <w:sz w:val="20"/>
        </w:rPr>
        <w:t xml:space="preserve">, are being used by nearly three quarters of the approximately 97,000 people with CF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U.S., Europe, Australia, and Canada. We estimate that there are approximately 112,000 people with CF in all target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CF medicines are reimbursed or accessible in more than 60 countries across six continents. ALYFTREK, our most-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recently approved triple combination CF medicine, has the benefit of a once-daily dosing regimen and demonstrated non-</w:t>
      </w:r>
    </w:p>
    <w:p>
      <w:pPr>
        <w:pStyle w:val="TextBody"/>
        <w:bidi w:val="0"/>
        <w:spacing w:lineRule="atLeast" w:line="200" w:before="0" w:after="0"/>
        <w:jc w:val="left"/>
        <w:rPr/>
      </w:pPr>
      <w:r>
        <w:rPr>
          <w:rFonts w:ascii="Times New Roman;serif" w:hAnsi="Times New Roman;serif"/>
          <w:b w:val="false"/>
          <w:i w:val="false"/>
          <w:caps w:val="false"/>
          <w:smallCaps w:val="false"/>
          <w:sz w:val="20"/>
        </w:rPr>
        <w:t>inferiority to TRIKAFTA in ppFEV</w:t>
      </w:r>
      <w:r>
        <w:rPr>
          <w:rFonts w:ascii="Times New Roman;serif" w:hAnsi="Times New Roman;serif"/>
          <w:b w:val="false"/>
          <w:i w:val="false"/>
          <w:caps w:val="false"/>
          <w:smallCaps w:val="false"/>
          <w:sz w:val="13"/>
        </w:rPr>
        <w:t>1</w:t>
      </w:r>
      <w:r>
        <w:rPr>
          <w:rFonts w:ascii="Times New Roman;serif" w:hAnsi="Times New Roman;serif"/>
          <w:b w:val="false"/>
          <w:i w:val="false"/>
          <w:caps w:val="false"/>
          <w:smallCaps w:val="false"/>
          <w:sz w:val="20"/>
        </w:rPr>
        <w:t xml:space="preserve">, a measure of lung function, and an improvement in sweat chloride levels as compared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to TRIKAFTA. </w:t>
      </w:r>
      <w:r>
        <w:rPr>
          <w:rFonts w:ascii="Times New Roman;serif" w:hAnsi="Times New Roman;serif"/>
          <w:b w:val="false"/>
          <w:i w:val="false"/>
          <w:caps w:val="false"/>
          <w:smallCaps w:val="false"/>
          <w:strike w:val="false"/>
          <w:dstrike w:val="false"/>
          <w:sz w:val="20"/>
          <w:u w:val="none"/>
          <w:effect w:val="none"/>
        </w:rPr>
        <w:t xml:space="preserve">We expect that the majority of people with CF will transition to ALYFTREK over time.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Sickle Cell Disease and Transfusion-Dependent Beta Thalassemia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SCD and TDT are hemoglobinopathies, a group of inherited blood disorders that result from gene mutations that alter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hemoglobin, a protein in red blood cells that delivers oxygen throughout the body.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SCD is caused by the change of a single amino acid in the β-hemoglobin gene that causes red cells to change shape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settings of low oxygen. These sickled cells block blood flow and can lead to severe pain (known as vaso-occlusive crises),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 damage, and shortened life span. Treatment is typically focused on relieving pain and minimizing organ damage,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requiring medication and, for some patients, monthly blood transfusions and frequent hospital visits.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Beta thalassemia is caused by loss-of-function mutations in the same β-hemoglobin gene that lead to severe anemia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patients, which causes fatigue and shortness of breath. In infants, beta thalassemia causes failure to thrive, jaundice,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feeding problems. Complications of beta thalassemia can lead to an enlarged spleen, liver and/or heart, misshapen bones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delayed puberty. Treatment for beta thalassemia varies depending on the disease severity for each patient. People with TDT,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most severe form of the disease, require regular blood transfusions, as frequently as every two to four weeks. Repeated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blood transfusions eventually cause an unhealthy buildup of iron in the patient, leading to organ damage.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CASGEVY (exagamglogene autotemcel), our ex-vivo, non-viral CRISPR/Cas9-based gene-editing therapy for severe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SCD and TDT, is approved in the</w:t>
      </w:r>
      <w:r>
        <w:rPr>
          <w:caps w:val="false"/>
          <w:smallCaps w:val="false"/>
          <w:sz w:val="24"/>
        </w:rPr>
        <w:t xml:space="preserve"> </w:t>
      </w:r>
      <w:r>
        <w:rPr>
          <w:rFonts w:ascii="Times New Roman;serif" w:hAnsi="Times New Roman;serif"/>
          <w:b w:val="false"/>
          <w:i w:val="false"/>
          <w:caps w:val="false"/>
          <w:smallCaps w:val="false"/>
          <w:sz w:val="20"/>
        </w:rPr>
        <w:t xml:space="preserve">U.S. </w:t>
      </w:r>
      <w:r>
        <w:rPr>
          <w:rFonts w:ascii="Times New Roman;serif" w:hAnsi="Times New Roman;serif"/>
          <w:b w:val="false"/>
          <w:i w:val="false"/>
          <w:caps w:val="false"/>
          <w:smallCaps w:val="false"/>
          <w:strike w:val="false"/>
          <w:dstrike w:val="false"/>
          <w:sz w:val="20"/>
          <w:u w:val="none"/>
          <w:effect w:val="none"/>
        </w:rPr>
        <w:t>and across multiple geographies including Europe, Canada, and the Middle East</w:t>
      </w:r>
      <w:r>
        <w:rPr>
          <w:rFonts w:ascii="Times New Roman;serif" w:hAnsi="Times New Roman;serif"/>
          <w:b w:val="false"/>
          <w:i w:val="false"/>
          <w:caps w:val="false"/>
          <w:smallCaps w:val="false"/>
          <w:sz w:val="20"/>
        </w:rPr>
        <w:t xml:space="preserv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 approximately 60,000 people with severe SCD or TDT are or could become eligible for CASGEVY in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geographies. To receive CASGEVY, patients first undergo a treatment at an authorized treatment center (“ATC”)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mobilizes a population of hematopoietic stem and progenitor cells (“HSPC”) from the bone marrow into the bloodstream.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cells are collected from the patient’s bloodstream and transferred to a manufacturing facility where the HSPCs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isolated and CRISPR/Cas9 gene-editing is performed on the cells. The gene-editing procedure results in a precise and specific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gene-edit in a non-coding intron of the BCL11A gene. Following manufacturing, the edited cells, now called CASGEVY,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transferred back to the ATC. Patients are preconditioned with a myeloablative conditioning treatment that ablates their bone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marrow to create </w:t>
      </w:r>
      <w:r>
        <w:rPr>
          <w:rFonts w:ascii="Times New Roman;serif" w:hAnsi="Times New Roman;serif"/>
          <w:b w:val="false"/>
          <w:i w:val="false"/>
          <w:caps w:val="false"/>
          <w:smallCaps w:val="false"/>
          <w:strike w:val="false"/>
          <w:dstrike w:val="false"/>
          <w:sz w:val="20"/>
          <w:u w:val="none"/>
          <w:effect w:val="none"/>
        </w:rPr>
        <w:t xml:space="preserve">space </w:t>
      </w:r>
      <w:r>
        <w:rPr>
          <w:rFonts w:ascii="Times New Roman;serif" w:hAnsi="Times New Roman;serif"/>
          <w:b w:val="false"/>
          <w:i w:val="false"/>
          <w:caps w:val="false"/>
          <w:smallCaps w:val="false"/>
          <w:sz w:val="20"/>
        </w:rPr>
        <w:t xml:space="preserve">for the edited cells. After CASGEVY is infused into the patient and the edited cells engraft, the levels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fetal hemoglobin erythrocytes increase, thereby reducing or eliminating symptoms associated with disease. Efficacy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 the profile of CASGEVY as a potential one-time functional cure for people with severe SCD and TDT.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CASGEVY is broadly reimbursed by third-party payors in the U.S., including the federal government and commercial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payors. In addition, we have agreements with national and regional payors covering more than 275 million lives, to provide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access to CASGEVY. Outside of the U.S., patients have access to CASGEVY in Austria, Denmark, the U.K., Italy,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Luxembourg, Bahrain, Saudi Arabia, the UAE, and Kuwait. We continue to expand access and pursue additional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reimbursement arrangements and to engage with payors in the E.U. and the Middle East.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Globally in 2025, </w:t>
      </w:r>
      <w:r>
        <w:rPr>
          <w:rFonts w:ascii="Times New Roman;serif" w:hAnsi="Times New Roman;serif"/>
          <w:b w:val="false"/>
          <w:i w:val="false"/>
          <w:caps w:val="false"/>
          <w:smallCaps w:val="false"/>
          <w:strike w:val="false"/>
          <w:dstrike w:val="false"/>
          <w:sz w:val="20"/>
          <w:u w:val="none"/>
          <w:effect w:val="none"/>
        </w:rPr>
        <w:t xml:space="preserve">approximately 300 people with SCD or TDT initiated treatment with CASGEVY, 147 people had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first cell collection for CASGEVY, and 64 people received infusions of CASGEVY. In 2026, we expect to reach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eligible patients and drive patient infusions through our global ATC network.</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Acute Pain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Acute pain is a disabling condition that may occur suddenly but typically lasts less than 90 days and resolves in days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weeks (for example, following surgery or an injury). It is estimated that over 80 million people are prescribed a medicine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acute pain every year in the U.S. Currently available treatments have limitations around efficacy or side effects, including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 of addiction with opioids. Because of these challenges, over- and under-utilization, as well as misutilization, of current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pain medicines may occur.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JOURNAVX (suzetrigine) is a </w:t>
      </w:r>
      <w:r>
        <w:rPr>
          <w:rFonts w:ascii="Times New Roman;serif" w:hAnsi="Times New Roman;serif"/>
          <w:b w:val="false"/>
          <w:i w:val="false"/>
          <w:caps w:val="false"/>
          <w:smallCaps w:val="false"/>
          <w:strike w:val="false"/>
          <w:dstrike w:val="false"/>
          <w:sz w:val="20"/>
          <w:u w:val="none"/>
          <w:effect w:val="none"/>
        </w:rPr>
        <w:t xml:space="preserve">first-in-class, oral pain signal inhibitor that is highly selective for voltage-gated sodium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channel NaV1.8</w:t>
      </w:r>
      <w:r>
        <w:rPr>
          <w:rFonts w:ascii="Times New Roman;serif" w:hAnsi="Times New Roman;serif"/>
          <w:b w:val="false"/>
          <w:i w:val="false"/>
          <w:caps w:val="false"/>
          <w:smallCaps w:val="false"/>
          <w:sz w:val="20"/>
        </w:rPr>
        <w:t xml:space="preserve">. Through this mechanism, JOURNAVX provides effective relief of pain without evidence of the several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limitations of other currently available therapies, including the addictive potential of opioids. JOURNAVX was approved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U.S. Food and Drug Administration (“FDA”) in January 2025 for the </w:t>
      </w:r>
      <w:r>
        <w:rPr>
          <w:rFonts w:ascii="Times New Roman;serif" w:hAnsi="Times New Roman;serif"/>
          <w:b w:val="false"/>
          <w:i w:val="false"/>
          <w:caps w:val="false"/>
          <w:smallCaps w:val="false"/>
          <w:strike w:val="false"/>
          <w:dstrike w:val="false"/>
          <w:sz w:val="20"/>
          <w:u w:val="none"/>
          <w:effect w:val="none"/>
        </w:rPr>
        <w:t xml:space="preserve">treatment of moderate-to-severe acute pain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adults</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Since JOURNAVX became available </w:t>
      </w:r>
      <w:r>
        <w:rPr>
          <w:rFonts w:ascii="Times New Roman;serif" w:hAnsi="Times New Roman;serif"/>
          <w:b w:val="false"/>
          <w:i w:val="false"/>
          <w:caps w:val="false"/>
          <w:smallCaps w:val="false"/>
          <w:strike w:val="false"/>
          <w:dstrike w:val="false"/>
          <w:sz w:val="20"/>
          <w:u w:val="none"/>
          <w:effect w:val="none"/>
        </w:rPr>
        <w:t>at U.S. p</w:t>
      </w:r>
      <w:r>
        <w:rPr>
          <w:rFonts w:ascii="Times New Roman;serif" w:hAnsi="Times New Roman;serif"/>
          <w:b w:val="false"/>
          <w:i w:val="false"/>
          <w:caps w:val="false"/>
          <w:smallCaps w:val="false"/>
          <w:sz w:val="20"/>
        </w:rPr>
        <w:t xml:space="preserve">harmacies in March 2025 and through the end of 2025, </w:t>
      </w:r>
      <w:r>
        <w:rPr>
          <w:rFonts w:ascii="Times New Roman;serif" w:hAnsi="Times New Roman;serif"/>
          <w:b w:val="false"/>
          <w:i w:val="false"/>
          <w:caps w:val="false"/>
          <w:smallCaps w:val="false"/>
          <w:strike w:val="false"/>
          <w:dstrike w:val="false"/>
          <w:sz w:val="20"/>
          <w:u w:val="none"/>
          <w:effect w:val="none"/>
        </w:rPr>
        <w:t xml:space="preserve">more than 550,000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prescriptions were written and filled across the hospital and retail settings in different acute pain conditions, consistent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product’s broad label. We have secured access for JOURNAVX with all three national pharmacy benefit managers,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w:t>
      </w:r>
      <w:r>
        <w:rPr>
          <w:rFonts w:ascii="Times New Roman;serif" w:hAnsi="Times New Roman;serif"/>
          <w:b w:val="false"/>
          <w:i w:val="false"/>
          <w:caps w:val="false"/>
          <w:smallCaps w:val="false"/>
          <w:strike w:val="false"/>
          <w:dstrike w:val="false"/>
          <w:sz w:val="20"/>
          <w:u w:val="none"/>
          <w:effect w:val="none"/>
        </w:rPr>
        <w:t>s of January 2026, more than 200 million individuals across commercial and government payors hav</w:t>
      </w:r>
      <w:r>
        <w:rPr>
          <w:rFonts w:ascii="Times New Roman;serif" w:hAnsi="Times New Roman;serif"/>
          <w:b w:val="false"/>
          <w:i w:val="false"/>
          <w:caps w:val="false"/>
          <w:smallCaps w:val="false"/>
          <w:sz w:val="20"/>
        </w:rPr>
        <w:t xml:space="preserve">e coverage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JOURNAVX, representing two-thirds </w:t>
      </w:r>
      <w:r>
        <w:rPr>
          <w:rFonts w:ascii="Times New Roman;serif" w:hAnsi="Times New Roman;serif"/>
          <w:b w:val="false"/>
          <w:i w:val="false"/>
          <w:caps w:val="false"/>
          <w:smallCaps w:val="false"/>
          <w:strike w:val="false"/>
          <w:dstrike w:val="false"/>
          <w:sz w:val="20"/>
          <w:u w:val="none"/>
          <w:effect w:val="none"/>
        </w:rPr>
        <w:t>of U.S. covered lives. In addition, 21 states provide coverage via Medicaid.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COMMERCIALIZATION OF OUR MEDICINES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sell our medicines primarily to a limited number of specialty pharmacy and specialty distributors globally,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certain major wholesalers in the U.S. Our customers in the U.S. subsequently resell our medicines to patients, health care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providers, retail pharmacies, hospitals, or ATCs. Outside of the U.S., we generate sales primarily through distributor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and to retail pharmacies, as well as to hospitals and clinics, many of which are government-owned or supported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In certain markets, we may not utilize a specialty distributor or specialty pharmacy to distribute CASGEVY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instead may sell CASGEVY directly to ATCs. We contract with government agencies so that our medicines will be eligible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purchase by, or partial or full reimbursement from, such third-party payors.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promote the use of our medicines directly to healthcare professionals and organizations such as doctors, nurse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practitioners, physician assistants, pharmacists, hospitals, and pharmacy benefit managers. Through our field sales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medical organizations, we explain the risks and benefits of our medicines to these healthcare professionals and organizations.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marketing is limited to the approved uses of the particular medicine. We also continue to develop scientific data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information about potential additional uses of our medicines and provide such information through clinical or medical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affairs teams as scientific exchange at scientific congresses or in other ways, including the development of publications, or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response to unsolicited inquiries from healthcare professionals and organizations. In the U.S., we also market directly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consumers by communicating the approved uses, benefits and risks.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dedicated to helping patients obtain access to our therapies. We work to gain access for our medicines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formularies and reimbursement plans (lists of formulary-recommended or approved medicines and other products)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providing information about the clinical profiles of our medicines. Our patient support representatives help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understand their insurance coverage and, in the U.S., we have established programs that provide co-pay assistance or free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medicine for qualified uninsured or underinsured patients, based on specific eligibility criteria.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RESEARCH AND DEVELOPMENT PROGRAMS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invest in research and development to discover and develop transformative medicines for people with serious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diseases, with a focus on specialty markets. Our research strategy is to combine transformative advances in the understanding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human disease and in the science of therapeutics to dramatically advance human health. We focus 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disease areas with known causal human biology;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targets validated by causal human biology;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predictive lab assays and clinical biomarkers;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potential for transformative benefit regardless of modality;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efficient path to registration and approval.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development-stage product candidates are focused on the treatment of serious diseases. In pursuit of serial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innovation, our research and development approach includes advancing multiple candidates into clinical trials and pursuing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multiple modalities with the goal of bringing first-in-class and/or best-in-class therapies to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research and development strategy has been validated through our success in moving novel product candidates into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trials and obtaining marketing approvals for our five CF medicines, CASGEVY, and JOURNAVX. Our approach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 discovery has been further validated by ongoing pivotal development in five additional disease areas: in IgAN and pMN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povetacicept, in AMKD with inaxaplin, in T1D with zimislecel, and in diabetic peripheral neuropathy with suzetrigine.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augment our internal programs, we acquire businesses and technologies and collaborate with biopharmaceutical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companies, leading academic research institutions, government laboratories, foundations and other organizations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advance research in our disease areas of interest, as well as to access technologies needed to execute on our strategy.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internal and external innovation approaches are based on the same strategy, which enables us to effectively integrate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execute on new internal capabilities as we invest in external innovation. Our investments in external innovation include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 with CRISPR, which resulted in the successful development and approval of CASGEVY; our acquisition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Semma Therapeutics, Inc. (“Semma”), which established and advanced our T1D program; our expansion of our renal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programs through our acquisition of Alpine Immune Sciences, Inc. (“Alpine”); our mRNA therapeutic, </w:t>
      </w:r>
      <w:r>
        <w:rPr>
          <w:rFonts w:ascii="Times New Roman;serif" w:hAnsi="Times New Roman;serif"/>
          <w:b w:val="false"/>
          <w:i w:val="false"/>
          <w:caps w:val="false"/>
          <w:smallCaps w:val="false"/>
          <w:strike w:val="false"/>
          <w:dstrike w:val="false"/>
          <w:sz w:val="20"/>
          <w:u w:val="none"/>
          <w:effect w:val="none"/>
        </w:rPr>
        <w:t xml:space="preserve">VX-522,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treatment of CF through our collaboration with Moderna</w:t>
      </w:r>
      <w:r>
        <w:rPr>
          <w:rFonts w:ascii="Times New Roman;serif" w:hAnsi="Times New Roman;serif"/>
          <w:b w:val="false"/>
          <w:i w:val="false"/>
          <w:caps w:val="false"/>
          <w:smallCaps w:val="false"/>
          <w:sz w:val="20"/>
        </w:rPr>
        <w:t xml:space="preserve">; and our intracellular therapeutic for myotonic dystrophy type 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(“DM1”), VX-670, through our collaboration with Entrada.</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goal in CF is to continue to extend our leadership by developing treatment regimens that will provide benefits to all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people with CF. W</w:t>
      </w:r>
      <w:r>
        <w:rPr>
          <w:rFonts w:ascii="Times New Roman;serif" w:hAnsi="Times New Roman;serif"/>
          <w:b w:val="false"/>
          <w:i w:val="false"/>
          <w:caps w:val="false"/>
          <w:smallCaps w:val="false"/>
          <w:strike w:val="false"/>
          <w:dstrike w:val="false"/>
          <w:sz w:val="20"/>
          <w:u w:val="none"/>
          <w:effect w:val="none"/>
        </w:rPr>
        <w:t>e have completed the Phase 3 clinical trial evaluating TRIKAFTA/KAFTR</w:t>
      </w:r>
      <w:r>
        <w:rPr>
          <w:rFonts w:ascii="Times New Roman;serif" w:hAnsi="Times New Roman;serif"/>
          <w:b w:val="false"/>
          <w:i w:val="false"/>
          <w:caps w:val="false"/>
          <w:smallCaps w:val="false"/>
          <w:sz w:val="20"/>
        </w:rPr>
        <w:t xml:space="preserve">IO in children one year to less </w:t>
      </w:r>
    </w:p>
    <w:p>
      <w:pPr>
        <w:pStyle w:val="TextBody"/>
        <w:bidi w:val="0"/>
        <w:spacing w:lineRule="atLeast" w:line="200" w:before="0" w:after="0"/>
        <w:jc w:val="left"/>
        <w:rPr/>
      </w:pPr>
      <w:r>
        <w:rPr>
          <w:rFonts w:ascii="Times New Roman;serif" w:hAnsi="Times New Roman;serif"/>
          <w:b w:val="false"/>
          <w:i w:val="false"/>
          <w:caps w:val="false"/>
          <w:smallCaps w:val="false"/>
          <w:sz w:val="20"/>
        </w:rPr>
        <w:t>than two years of age. T</w:t>
      </w:r>
      <w:r>
        <w:rPr>
          <w:rFonts w:ascii="Times New Roman;serif" w:hAnsi="Times New Roman;serif"/>
          <w:b w:val="false"/>
          <w:i w:val="false"/>
          <w:caps w:val="false"/>
          <w:smallCaps w:val="false"/>
          <w:strike w:val="false"/>
          <w:dstrike w:val="false"/>
          <w:sz w:val="20"/>
          <w:u w:val="none"/>
          <w:effect w:val="none"/>
        </w:rPr>
        <w:t xml:space="preserve">he data showed that TRIKAFTA was generally safe and well-tolerated, consistent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established safety profile. Treatment with TRIKAFTA in this age group resulted in rapid, robust, and clinically meaningful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improvement in the secondary endpoint of sweat chloride reduction. We expect to begin submissions for global regulatory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approvals in this age group in the first half of 2026. </w:t>
      </w:r>
      <w:r>
        <w:rPr>
          <w:rFonts w:ascii="Times New Roman;serif" w:hAnsi="Times New Roman;serif"/>
          <w:b w:val="false"/>
          <w:i w:val="false"/>
          <w:caps w:val="false"/>
          <w:smallCaps w:val="false"/>
          <w:sz w:val="20"/>
        </w:rPr>
        <w:t xml:space="preserve">We completed the global trial evaluating ALYFTREK in children 2 to 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years of age. The data showed that ALYFTREK was generally safe and well-tolerated, consistent with the established safety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profile. Treatment with ALYFTREK in this age group resulted in a clinically meaningful improvement in the CFTR function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measured by sweat chloride. We expect to submit for approval with global regulators in this age group in the first half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2026. In addition, </w:t>
      </w:r>
      <w:r>
        <w:rPr>
          <w:rFonts w:ascii="Times New Roman;serif" w:hAnsi="Times New Roman;serif"/>
          <w:b w:val="false"/>
          <w:i w:val="false"/>
          <w:caps w:val="false"/>
          <w:smallCaps w:val="false"/>
          <w:strike w:val="false"/>
          <w:dstrike w:val="false"/>
          <w:sz w:val="20"/>
          <w:u w:val="none"/>
          <w:effect w:val="none"/>
        </w:rPr>
        <w:t xml:space="preserve">we initiated a </w:t>
      </w:r>
      <w:r>
        <w:rPr>
          <w:rFonts w:ascii="Times New Roman;serif" w:hAnsi="Times New Roman;serif"/>
          <w:b w:val="false"/>
          <w:i w:val="false"/>
          <w:caps w:val="false"/>
          <w:smallCaps w:val="false"/>
          <w:sz w:val="20"/>
        </w:rPr>
        <w:t>pivotal trial evaluating ALYFTREK in children one to less than two years of age.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W</w:t>
      </w:r>
      <w:r>
        <w:rPr>
          <w:rFonts w:ascii="Times New Roman;serif" w:hAnsi="Times New Roman;serif"/>
          <w:b w:val="false"/>
          <w:i w:val="false"/>
          <w:caps w:val="false"/>
          <w:smallCaps w:val="false"/>
          <w:strike w:val="false"/>
          <w:dstrike w:val="false"/>
          <w:sz w:val="20"/>
          <w:u w:val="none"/>
          <w:effect w:val="none"/>
        </w:rPr>
        <w:t xml:space="preserve">e estimate that nearly 95% of people with CF could benefit from our five approved medicines, and, in connection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serial innovation approach, we</w:t>
      </w:r>
      <w:r>
        <w:rPr>
          <w:caps w:val="false"/>
          <w:smallCaps w:val="false"/>
          <w:sz w:val="24"/>
        </w:rPr>
        <w:t xml:space="preserve"> </w:t>
      </w:r>
      <w:r>
        <w:rPr>
          <w:rFonts w:ascii="Times New Roman;serif" w:hAnsi="Times New Roman;serif"/>
          <w:b w:val="false"/>
          <w:i w:val="false"/>
          <w:caps w:val="false"/>
          <w:smallCaps w:val="false"/>
          <w:sz w:val="20"/>
        </w:rPr>
        <w:t xml:space="preserve">continue to identify and develop additional CFTR modulators with the goal of developing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best-in-class medicines that can treat more people with CF. We h</w:t>
      </w:r>
      <w:r>
        <w:rPr>
          <w:rFonts w:ascii="Times New Roman;serif" w:hAnsi="Times New Roman;serif"/>
          <w:b w:val="false"/>
          <w:i w:val="false"/>
          <w:caps w:val="false"/>
          <w:smallCaps w:val="false"/>
          <w:strike w:val="false"/>
          <w:dstrike w:val="false"/>
          <w:sz w:val="20"/>
          <w:u w:val="none"/>
          <w:effect w:val="none"/>
        </w:rPr>
        <w:t xml:space="preserve">ave advanced several next-generation, 3.0 CFTR modulators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into the clinic. VX-828 is the first of these and is being evaluated in a proof-of-concept clinical trial of people with CF.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 to complete enrollment and dosing in the first half of 2026. We are also enrolling and dosing in a Phase 1 clinical trial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VX-581, another corrector in the next-generation 3.0 class, in healthy volunteers.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To treat people with CF who do not make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full-length</w:t>
      </w:r>
      <w:r>
        <w:rPr>
          <w:caps w:val="false"/>
          <w:smallCaps w:val="false"/>
          <w:sz w:val="24"/>
        </w:rPr>
        <w:t xml:space="preserve"> </w:t>
      </w:r>
      <w:r>
        <w:rPr>
          <w:rFonts w:ascii="Times New Roman;serif" w:hAnsi="Times New Roman;serif"/>
          <w:b w:val="false"/>
          <w:i w:val="false"/>
          <w:caps w:val="false"/>
          <w:smallCaps w:val="false"/>
          <w:sz w:val="20"/>
        </w:rPr>
        <w:t xml:space="preserve">CFTR protein, and as a result, cannot benefit from our CFTR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modulators, we are researching and developing genetic therapies, such as mRNA, and gene-editing approaches to CF.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 with Moderna, we are developing VX-522, a nebulized CF mRNA therapeutic designed to treat the underlying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cause of CF lung disease for these people by enabling cells in the lungs to produce functional CFTR protein. We are targeting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completion of dosing in the multiple ascending dose portion of the Phase 1/2 clinical trial evaluating VX-522 and disclosure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of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data in the second half of 202</w:t>
      </w:r>
      <w:r>
        <w:rPr>
          <w:rFonts w:ascii="Times New Roman;serif" w:hAnsi="Times New Roman;serif"/>
          <w:b w:val="false"/>
          <w:i w:val="false"/>
          <w:caps w:val="false"/>
          <w:smallCaps w:val="false"/>
          <w:sz w:val="20"/>
        </w:rPr>
        <w:t>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Sickle Cell Disease and Transfusion-Dependent Beta Thalassemia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 December 2025, we presented positive data from the pivotal trials evaluating CASGEVY in children 5 to 11 years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age with severe SCD (the CLIMB SCD-151 clinical trial) and TDT (the CLIMB THAL-141 clinical trial). We expect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initiate global regulatory submissions for this age group, including in the U.S., in the first half of 2026. In the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CASGEVY has received a Commissioner’s National Priority Voucher for use in this age group, which is meant to accelerate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the FDA’s review of the application once submitted.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our serial innovation approach, we are advancing preclinical assets for myeloablative conditioning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agents with improved tolerability profiles, which we refer to as “improved conditioning agents,” which could be used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connection with treatment with CASGEVY, significantly broadening the eligible SCD and TDT patient population. We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also investigating in vivo gene-editing approaches and small molecules for the potential treatment of SCD and TDT.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Pain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Pain can be debilitating and develop from a variety of conditions. Most commonly, people with pain can be categorized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suffering from one of three types of pain: acute pain, chronic neuropathic pain (caused primarily by damage or dysfunction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peripheral nerves), or chronic musculoskeletal pain (caused primarily by damage to muscle, joints or bone). Acute pain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usually resolves in days or weeks (for example, following surgery or an injury), while chronic pain generally lasts greater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than three months due to unresolved or ongoing damage to tissues or nerves. Currently available treatments have limitations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around efficacy or side effects, including a risk of addiction. Because of these challenges, over, under, and mis-utilization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 pain medicines may occur.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sodium channels NaV1.8 and NaV1.7 play important roles in the physiology of pain. We have discovered multiple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selective small molecule inhibitors of NaV1.8 as potential treatments for pain. We obtained pharmacological validation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NaV1.8 inhibition with a first generation NaV1.8 inhibitor in acute pain, chronic neuropathic pain, and chronic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musculoskeletal pain.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Acute Pain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 August 2025, we announced results from the Phase 2 placebo-controlled dose-ranging clinical trial evaluating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safety and efficacy of VX-993, an investigational selective NaV1.8 pain signal inhibitor, for the treatment of acute pain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following bunionectomy surgery. The clinical trial was powered to determine whether VX-993 would result in higher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efficacy than previously demonstrated with the NaV1.8 pathway. Based on the efficacy results of the clinical trial, we did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expect VX-993 to be superior to suzetrigine and therefore chose not to further advance VX-993 as monotherapy in acute pain.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VX-993 was generally safe and well-tolerated. </w:t>
      </w:r>
    </w:p>
    <w:p>
      <w:pPr>
        <w:pStyle w:val="TextBody"/>
        <w:bidi w:val="0"/>
        <w:spacing w:lineRule="atLeast" w:line="200"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Peripheral Neuropathic Pain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approved medicines in the U.S. that are labeled for the treatment of peripheral neuropathic pain. We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evaluating suzetrigine, our selective non-opioid NaV1.8 pain signal inhibitor, for the treatment of DPN, a type of peripheral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neuropathic pain, in two Phase 3 clinical trials. We expect to complete enrollment in both Phase 3 clinical trials by the end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2026. The FDA granted Breakthrough Therapy Designation to suzetrigine in DPN. </w:t>
      </w:r>
      <w:r>
        <w:rPr>
          <w:rFonts w:ascii="Times New Roman;serif" w:hAnsi="Times New Roman;serif"/>
          <w:b w:val="false"/>
          <w:i w:val="false"/>
          <w:caps w:val="false"/>
          <w:smallCaps w:val="false"/>
          <w:strike w:val="false"/>
          <w:dstrike w:val="false"/>
          <w:sz w:val="20"/>
          <w:u w:val="none"/>
          <w:effect w:val="none"/>
        </w:rPr>
        <w:t xml:space="preserve">We are also enrolling and dosing people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DPN in a Phase 2 clinical trial evaluating VX-993.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connection with our serial innovation approach, we are advancing multiple NaV1.8 inhibitors and NaV1.7 inhibitors,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could be used alone or in combination, for the treatment of acute pain and peripheral neuropathic pain</w:t>
      </w:r>
      <w:r>
        <w:rPr>
          <w:rFonts w:ascii="Times New Roman;serif" w:hAnsi="Times New Roman;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IgA Nephropathy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IgAN is a serious, progressive, life-threatening chronic kidney disease driven by uncontrolled autoreactive B cell activity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that causes inflammation and damage to the kidneys. It is the most common cause of primary glomerulonephritis worldwide.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estimate that IgAN affects approximately 330,000 people in the U.S. and Europe, and, globally, more than 1.5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people are diagnosed with IgAN. A high percentage of people with IgAN progress to end-stage kidney disease.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IgAN is thought to occur when the body produces an abnormal form of IgA, a type of antibody that normally helps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body fight infections. The body generates an abnormal immune response, including antibodies (autoantibodies), against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abnormal IgA, and these antibodies can combine to create larger molecules called immune complexes. These immune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complexes can deposit in the kidneys, triggering damage and inflammation, especially within the glomeruli, impairing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kidneys’ ability to properly filter waste and fluid.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developing povetacicept for multiple diseases and believe that it has pipeline-in-a-product potential. Povetacicept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a potent dual inhibitor of the BAFF and APRIL cytokines, which promote B cell proliferation, differentiation and survival,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provides B cell control by inhibiting the ability of BAFF and APRIL to drive the pathogenesis of multiple autoimmune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diseases, such as IgAN, pMN and generalized myasthenia gravis (“gMG”) (as described below). Povetacicept was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specifically engineered to achieve improvements in binding affinity, potency, pharmacokinetics, and tissue distribution.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has demonstrated potential best-in-class efficacy in a global Phase 1/2 clinical trial in people with IgAN.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small volume dose of povetacicept is expected to be self-administered at home once every four weeks via a subcutaneous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auto-injector.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completed enrollment in RAINIER, the global Phase 3 pivotal trial of povetacicept versus placebo in people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IgAN. The clinical trial design contemplates a pre-planned interim analysis evaluating the change from baseline in urine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protein-to-creatine ratio (“UPCR”) after a certain number of patients reach 36 weeks of treatment.</w:t>
      </w:r>
      <w:r>
        <w:rPr>
          <w:caps w:val="false"/>
          <w:smallCaps w:val="false"/>
        </w:rPr>
        <w:t xml:space="preserve"> </w:t>
      </w:r>
      <w:r>
        <w:rPr>
          <w:rFonts w:ascii="Times New Roman;serif" w:hAnsi="Times New Roman;serif"/>
          <w:b w:val="false"/>
          <w:i w:val="false"/>
          <w:caps w:val="false"/>
          <w:smallCaps w:val="false"/>
          <w:sz w:val="20"/>
        </w:rPr>
        <w:t xml:space="preserve">We expect to share data </w:t>
      </w:r>
    </w:p>
    <w:p>
      <w:pPr>
        <w:pStyle w:val="TextBody"/>
        <w:bidi w:val="0"/>
        <w:spacing w:lineRule="atLeast" w:line="200" w:before="0" w:after="0"/>
        <w:jc w:val="left"/>
        <w:rPr/>
      </w:pPr>
      <w:r>
        <w:rPr>
          <w:rFonts w:ascii="Times New Roman;serif" w:hAnsi="Times New Roman;serif"/>
          <w:b w:val="false"/>
          <w:i w:val="false"/>
          <w:caps w:val="false"/>
          <w:smallCaps w:val="false"/>
          <w:sz w:val="20"/>
        </w:rPr>
        <w:t>from the interim analysis in the first half of 2026</w:t>
      </w:r>
      <w:r>
        <w:rPr>
          <w:rFonts w:ascii="Times New Roman;serif" w:hAnsi="Times New Roman;serif"/>
          <w:b w:val="false"/>
          <w:i w:val="false"/>
          <w:caps w:val="false"/>
          <w:smallCaps w:val="false"/>
          <w:strike w:val="false"/>
          <w:dstrike w:val="false"/>
          <w:sz w:val="20"/>
          <w:u w:val="none"/>
          <w:effect w:val="none"/>
          <w:shd w:fill="FFFFFF" w:val="clear"/>
        </w:rPr>
        <w:t xml:space="preserve">. If positive, the interim analysis may serve as the basis to seek accelerated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approval in the U.S. The final analysis will occur when patients reach two years of treatment and will evaluate total eGFR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(estimated glomerular filtration rate) slope. The FDA has granted Breakthrough Therapy Designation for povetacicept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IgAN. We submitted the first module of the IgAN BLA to the FDA at the end of 2025 under the rolling submission pathway,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we expect to complete the submission in the first half of 2026, pending positive results from the interim analysis.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using a priority review voucher to expedite the FDA review of the povetacicept BLA from ten months to six months.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Our serial innovation approach continues with respect to IgAN and other B cell-mediated diseases.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APOL1-Mediated Kidney Disease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AMKD is a rapidly progressive, proteinuric kidney disease caused by variants in the APOL1 gene. In AMKD,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kidney’s filtering units, known as the glomeruli, and within them the cells known as podocytes, are damaged, leading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leakage of protein into the urine, deterioration in kidney function, scarring, and, ultimately, end stage renal disease. People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AMKD progress to end stage kidney disease at a faster rate than those with other forms of chronic kidney disease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reach kidney failure at a median age of 45 years old. AMKD occurs in people with African ancestry, with an estimated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 population of approximately 150,000 people in the U.S. and Europe. In addition, we estimate that there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approximately 100,000 people with AMKD with comorbidities, such as type 2 diabetes, in the U.S. and </w:t>
      </w:r>
      <w:r>
        <w:rPr>
          <w:rFonts w:ascii="Times New Roman;serif" w:hAnsi="Times New Roman;serif"/>
          <w:b w:val="false"/>
          <w:i w:val="false"/>
          <w:caps w:val="false"/>
          <w:smallCaps w:val="false"/>
          <w:strike w:val="false"/>
          <w:dstrike w:val="false"/>
          <w:sz w:val="20"/>
          <w:u w:val="none"/>
          <w:effect w:val="none"/>
        </w:rPr>
        <w:t>Europe</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 Phase 2 proof-of-concept clinical trial, people with APOL1-mediated focal segmental glomerulosclerosis (“FSGS”)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treated with inaxaplin on top of standard of care achieved a statistically significant, substantial, and clinically meaningful </w:t>
      </w:r>
    </w:p>
    <w:p>
      <w:pPr>
        <w:pStyle w:val="TextBody"/>
        <w:bidi w:val="0"/>
        <w:spacing w:lineRule="atLeast" w:line="200" w:before="0" w:after="0"/>
        <w:jc w:val="left"/>
        <w:rPr/>
      </w:pPr>
      <w:r>
        <w:rPr>
          <w:rFonts w:ascii="Times New Roman;serif" w:hAnsi="Times New Roman;serif"/>
          <w:b w:val="false"/>
          <w:i w:val="false"/>
          <w:caps w:val="false"/>
          <w:smallCaps w:val="false"/>
          <w:sz w:val="20"/>
        </w:rPr>
        <w:t>reduction of proteinuria. I</w:t>
      </w:r>
      <w:r>
        <w:rPr>
          <w:rFonts w:ascii="Times New Roman;serif" w:hAnsi="Times New Roman;serif"/>
          <w:b w:val="false"/>
          <w:i w:val="false"/>
          <w:caps w:val="false"/>
          <w:smallCaps w:val="false"/>
          <w:strike w:val="false"/>
          <w:dstrike w:val="false"/>
          <w:sz w:val="20"/>
          <w:u w:val="none"/>
          <w:effect w:val="none"/>
        </w:rPr>
        <w:t xml:space="preserve">naxaplin was generally safe and well tolerated by patients. </w:t>
      </w:r>
      <w:r>
        <w:rPr>
          <w:rFonts w:ascii="Times New Roman;serif" w:hAnsi="Times New Roman;serif"/>
          <w:b w:val="false"/>
          <w:i w:val="false"/>
          <w:caps w:val="false"/>
          <w:smallCaps w:val="false"/>
          <w:sz w:val="20"/>
        </w:rPr>
        <w:t xml:space="preserve">Based on the positive Phase 2 data,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FDA granted Breakthrough Therapy Designation to inaxaplin for FSGS and the European Medicines Agency (“EMA”)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granted Priority Medicines (“PRIME”) designation to inaxaplin for AMKD. We initiated pivotal development of inaxaplin in </w:t>
      </w:r>
    </w:p>
    <w:p>
      <w:pPr>
        <w:pStyle w:val="TextBody"/>
        <w:bidi w:val="0"/>
        <w:spacing w:lineRule="atLeast" w:line="200" w:before="0" w:after="0"/>
        <w:jc w:val="left"/>
        <w:rPr/>
      </w:pPr>
      <w:r>
        <w:rPr>
          <w:rFonts w:ascii="Times New Roman;serif" w:hAnsi="Times New Roman;serif"/>
          <w:b w:val="false"/>
          <w:i w:val="false"/>
          <w:caps w:val="false"/>
          <w:smallCaps w:val="false"/>
          <w:sz w:val="20"/>
        </w:rPr>
        <w:t>a single Phase 2/3 adaptive clinical trial (“AMPLITUDE”) in people with AMKD in 2022.</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We completed enrollment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interim analysis cohort of AMPLITUDE in 2025 and we expect to conduct the pre-planned interim analysis once this cohort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has been treated for 48 weeks. We expect to share data from the interim analysis in late 2026 or early 2027, and we expect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complete full enrollment in the AMPLITUDE clinical trial in the second half of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Our serial innovation strategy in AMKD focuses on indication expansion: evaluating inaxaplin in new populations of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people with AMKD not included in the AMPLITUDE clinical trial. The </w:t>
      </w:r>
      <w:r>
        <w:rPr>
          <w:rFonts w:ascii="Times New Roman;serif" w:hAnsi="Times New Roman;serif"/>
          <w:b w:val="false"/>
          <w:i w:val="false"/>
          <w:caps w:val="false"/>
          <w:smallCaps w:val="false"/>
          <w:sz w:val="20"/>
        </w:rPr>
        <w:t xml:space="preserve">Phase 2 clinical trial (“AMPLIFIED”) evaluates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inaxaplin as a treatment for people with AMKD with moderate proteinuria, or with AMKD and type 2 diabetes, two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populations that are not being studied in the AMPLITUDE trial. </w:t>
      </w:r>
      <w:r>
        <w:rPr>
          <w:rFonts w:ascii="Times New Roman;serif" w:hAnsi="Times New Roman;serif"/>
          <w:b w:val="false"/>
          <w:i w:val="false"/>
          <w:caps w:val="false"/>
          <w:smallCaps w:val="false"/>
          <w:strike w:val="false"/>
          <w:dstrike w:val="false"/>
          <w:sz w:val="20"/>
          <w:u w:val="none"/>
          <w:effect w:val="none"/>
        </w:rPr>
        <w:t>We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expect to complete the AMPLIFIED clinical trial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share results in mid-2026.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Type 1 Diabetes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T1D is a chronic metabolic disorder caused by insufficient insulin secretion by the beta cells in the pancreas. In people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T1D, the insulin-producing islet cells of the pancreas are destroyed by the person’s own immune system, resulting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lack of insulin and impairment of blood glucose control. While insulin therapy allows patients to live for decades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disease, challenges of insulin therapy include inadequate control of blood sugar (both hyper- and hypo-glycemia),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substantial burden of care on patients and families, and long-term vascular complications. Current standards of care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address the underlying causes of the disease, and there are limited treatment options beyond insulin for the management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T1D.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developing non-autologous (allogeneic) fully differentiated, stem-cell derived islet cell therapies designed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replace insulin-producing islet cells that are destroyed in people with T1D, with the goal of delivering a functional cure.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Zimislecel, our first program, is a stem cell-derived, allogeneic, fully differentiated, insulin-producing islet cell replacement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therapy, using standard immunosuppression to protect the implanted cells. We believe that zimislecel has the potential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transform the lives of eligible people with T1D. In the U.S. and Europe, we estimate that there are approximately four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diagnosed with T1D. At initial launch, we expect there will be approximately 65,000 people with high unmet need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who experience severe hypoglycemic events who will be eligible for zimislecel.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completed enrollment in the Phase 1/2/3 clinical trial evaluating the safety and efficacy of zimislecel.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temporarily postponed completion of the dosing pending an ongoing internal manufacturing analysis. The most recent data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from this trial, published online in the </w:t>
      </w:r>
      <w:r>
        <w:rPr>
          <w:rFonts w:ascii="Times New Roman;serif" w:hAnsi="Times New Roman;serif"/>
          <w:b w:val="false"/>
          <w:i/>
          <w:sz w:val="20"/>
        </w:rPr>
        <w:t>New England Journal of Medicine</w:t>
      </w:r>
      <w:r>
        <w:rPr>
          <w:caps w:val="false"/>
          <w:smallCaps w:val="false"/>
        </w:rPr>
        <w:t xml:space="preserve"> </w:t>
      </w:r>
      <w:r>
        <w:rPr>
          <w:rFonts w:ascii="Times New Roman;serif" w:hAnsi="Times New Roman;serif"/>
          <w:b w:val="false"/>
          <w:i w:val="false"/>
          <w:caps w:val="false"/>
          <w:smallCaps w:val="false"/>
          <w:sz w:val="20"/>
        </w:rPr>
        <w:t xml:space="preserve">in June 2025, continue to demonstrate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transformative potential of zimislecel with consistent and durable patient benefit. The safety profile is generally consistent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 immunosuppressive regimen used in the trial, the infusion procedure, and complications from long-standing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diabetes. Zimislecel has been granted Regenerative Medicine Advanced Therapy and Fast Track designations from the FDA,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PRIME designation from the EMA, Breakthrough Medicine designation from the Kingdom of Saudi Arabia (“Saudi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Arabia”), and has secured an Innovation Passport under the Innovative Licensing and Access Pathway from the U.K.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Medicines and Healthcare products Regulatory Agency (the “MHRA”).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March 2025, we announced results from the Phase 1/2 clinical trial evaluating VX-264, which encapsulated zimislecel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an immunoprotective device. VX-264 was generally safe and well-tolerated but did not meet its efficacy endpoint, and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have discontinued development of this 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our serial innovation approach, we are pursuing research-stage programs to evaluate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approaches that could provide transformative benefits to people with T1D and reduce or eliminate the need for standard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immunosuppressive regimens, including targeting improved immunosuppression for zimislecel.</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Primary Membranous Nephropathy</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pMN is a serious, progressive, life-threatening chronic kidney disease </w:t>
      </w:r>
      <w:r>
        <w:rPr>
          <w:rFonts w:ascii="Times New Roman;serif" w:hAnsi="Times New Roman;serif"/>
          <w:b w:val="false"/>
          <w:i w:val="false"/>
          <w:caps w:val="false"/>
          <w:smallCaps w:val="false"/>
          <w:strike w:val="false"/>
          <w:dstrike w:val="false"/>
          <w:sz w:val="20"/>
          <w:u w:val="none"/>
          <w:effect w:val="none"/>
          <w:shd w:fill="FFFFFF" w:val="clear"/>
        </w:rPr>
        <w:t>driven by uncontrolled autoreactive B cell activity</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causes inflammation and damage to the kidneys. It is a rare autoimmune glomerular disease that occurs when the body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generates an abnormal immune response, including antibodies (autoantibodies), against proteins that are part of the kidney.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estimate that pMN affects approximately 150,000 people in the U.S. and Europe, and more than 600,000 people globally.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Autoantibodies trigger damage and inflammation, especially within the glomeruli, impairing the kidneys’ ability to properly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filter waste and fluid.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pMN can experience a variety of serious complications, including blood clots, infection, and heart disease.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time of diagnosis, most people with pMN are at risk of progression to end-stage renal disease. There are no therapies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specifically approved for the treatment of pMN.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povetacicept represents a potentially best-in-class approach to control B cell activity in people with pMN.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received Fast Track Designation from the FDA and PRIME designation from the EMA for povetacicept in pMN.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the strength of the Phase 2 results in the RUBY-3 clinical trial, we completed the End of Phase 2 meeting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FDA and reached agreement on an adaptive Phase 2/3 pivotal development program for pMN; we are enrolling and dosing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pMN in that clinical trial. We expect to complete the Phase 2 portion of the clinical trial and to initiate the Phase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portion of the trial in mid-2026.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Autosomal Dominant Polycystic Kidney Disease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ADPKD is a life-shortening genetic kidney disease characterized by the growth of numerous kidney-enlarging cysts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impair kidney function and can ultimately lead to end stage renal disease. In most cases, ADPKD is caused by variants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PKD1 and PKD2 genes; the majority of ADPKD patients have a variant in the PKD1 gene. Around half of people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ADPKD experience kidney failure by the age of 60. We estimate that there are approximately 300,000 people diagnosed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ADPKD in the U.S. and Europe.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VX-407 is a first-in-class small molecule corrector that is designed to target the underlying cause of ADPKD in people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 subset of PKD1 variants, which represents up to approximately 10% of the overall patient population living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ADPKD. We are enrolling and dosing patients in a Phase 2 proof-of-concept clinical trial evaluating VX-407 (“AGLOW”)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treatment of ADPKD. We expect to complete enrollment in the AGLOW clinical trial by the end of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connection with our serial innovation approach, we are progressing multiple research-stage assets in ADPKD.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Myotonic Dystrophy Type 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DM1 is an inherited disease that results in the weakening and destruction of skeletal muscles over time. Muscle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weakness, muscle wasting and myotonia (sustained muscle contraction and difficulty relaxing muscles) are the hallmark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features of DM1. It is a serious life-shortening disease with no approved treatments, and we estimate that it affects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approximately 110,000 people in the U.S. and Europe.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VX-670, our lead approach for DM1, holds the potential to address the underlying cause of DM1. VX-670 is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oligonucleotide connected to a cyclic peptide to promote effective delivery into cells. We continue to enroll and dose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multiple ascending dose portion of the global Phase 1/2 clinical trial of VX-670 in people with DM1 (“GALILEO”),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evaluates both safety and efficacy of VX-670. We expect to complete enrollment and dosing in this trial in mid-2026.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serial innovation approach in DM1 includes a small molecule program in preclinical development.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Generalized Myasthenia Gravis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gMG is a serious, chronic, and debilitating B cell-mediated immune disorder. This rare condition is caused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formation of pathogenic autoantibodies to key proteins that function in neuromuscular transmission. These pathogenic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antibodies block, alter, or damage the neuromuscular junction, which is the connection point between nerve cells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muscles they control. As a result, people with gMG experience muscle weakness and fatigue, which can lead to inability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 the activities of daily living and, in severe cases, compromise of respiratory muscles that can lead to life-threatening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respiratory failure. Current therapies address only subsets of the gMG population, and many advanced treatments require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cyclic treatment and drug holidays due to safety challenges and immunosuppression. As a consequence, there is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unmet medical need for improved therapies. We estimate that gMG affects approximately 175,000 people in the U.S.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Europe and more than 300,000 people globally.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is a potent dual inhibitor of BAFF and APRIL, two cytokines that are elevated in gMG, where they play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distinct roles in the proliferation, differentiation, and survival of B cells. In gMG, elevated expression of both BAFF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APRIL drives uncontrolled B cell growth and activation, triggering overproduction of the pathogenic autoantibodies driving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disease activity. By inhibiting both BAFF and APRIL, we believe povetacicept represents a potential best-in-class approach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reducing production of these pathogenic autoantibodies in gMG.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to initiate a placebo-controlled, Phase 2 dose-ranging proof-of-concept clinical trial evaluating povetacicept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treatment of people with gMG in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STRATEGIC TRANSACTIONS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license or acquire technologies, products, product candidates, and businesses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are aligned with our corporate and research and development strategies and that complement and advance our ongoing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efforts. In addition, we establish business relationships with collaborators to support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activities and to lead or support development and/or commercialization of certain product candidates. We expect to continue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identify and evaluate potential acquisitions, licenses and collaborations that may be similar to or different from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transactions that we have engaged in previously.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Acquisitions</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In 2024, we acquired Alpine for approximately $5.0 billion. Alpine’s lead molecule, povetacicept, is </w:t>
      </w:r>
      <w:r>
        <w:rPr>
          <w:rFonts w:ascii="Times New Roman;serif" w:hAnsi="Times New Roman;serif"/>
          <w:b w:val="false"/>
          <w:i w:val="false"/>
          <w:caps w:val="false"/>
          <w:smallCaps w:val="false"/>
          <w:sz w:val="20"/>
        </w:rPr>
        <w:t xml:space="preserve">a highly potent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effective dual inhibitor of BAFF and APRIL. We are currently evaluating povetacicept in a pivotal trial as a potentially best-</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in-class approach to treat IgAN. </w:t>
      </w:r>
      <w:r>
        <w:rPr>
          <w:rFonts w:ascii="Times New Roman;serif" w:hAnsi="Times New Roman;serif"/>
          <w:b w:val="false"/>
          <w:i w:val="false"/>
          <w:caps w:val="false"/>
          <w:smallCaps w:val="false"/>
          <w:strike w:val="false"/>
          <w:dstrike w:val="false"/>
          <w:sz w:val="20"/>
          <w:u w:val="none"/>
          <w:effect w:val="none"/>
          <w:shd w:fill="FFFFFF" w:val="clear"/>
        </w:rPr>
        <w:t xml:space="preserve">We also believe povetacicept holds pipeline-in-a-product potential for other indications,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as pMN and gMG.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previously made other acquisitions which have expanded and advanced our pipeline, including: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2019, we established our T1D program through our acquisition of Semma, a privately held company focused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use of stem cell-derived human islets as a potentially curative treatment for T1D. We are evaluating zimislecel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potential treatment of T1D in a Phase 1/2/3 clinical trial.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 2017, we enhanced our CF portfolio through our acquisition of certain CF assets, including deutivacaftor, from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Concert Pharmaceuticals Inc. In 2024, the FDA approved ALYFTREK </w:t>
      </w:r>
      <w:r>
        <w:rPr>
          <w:rFonts w:ascii="Times New Roman;serif" w:hAnsi="Times New Roman;serif"/>
          <w:b w:val="false"/>
          <w:i w:val="false"/>
          <w:caps w:val="false"/>
          <w:smallCaps w:val="false"/>
          <w:strike w:val="false"/>
          <w:dstrike w:val="false"/>
          <w:sz w:val="20"/>
          <w:u w:val="none"/>
          <w:effect w:val="none"/>
          <w:shd w:fill="FFFFFF" w:val="clear"/>
        </w:rPr>
        <w:t xml:space="preserve">for people with CF 6 years of age and older.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to continue to identify and make acquisitions to expand and advance our pipeline and business.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Collaboration and Licensing Arrangements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Joint Development and Commercialization Agreement with CRISPR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2017, we entered into a joint development and commercialization agreement (“Original JDCA”) with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AG (“CRISPR”), pursuant to which we are co-developing and co-commercializing CASGEVY for SCD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TDT. In 2021, we and CRISPR amended and restated the Original JDCA (the “A&amp;R JDCA”).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A&amp;R JDCA, we lead global development, manufacturing and commercialization of CASGEVY,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 from CRISPR. Subject to the terms and conditions of the A&amp;R JDCA, we have the right to conduct all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manufacturing, and commercialization activities relating to the product candidates and products under the A&amp;R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JDCA (including CASGEVY) throughout the world, subject to CRISPR’s reserved right to conduct certain activities.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net profits and net losses incurred pursuant to the A&amp;R JDCA with respect to CASGEVY are allocated 60% to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40% to CRISPR, subject to certain adjustments, while all other product candidates and products under the A&amp;R JDCA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have net profits and net losses shared equally between the parties.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Either party may terminate the A&amp;R JDCA upon the other party’s material breach, subject to specified notice and cure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provisions, or, in our case, in the event that CRISPR becomes subject to specified bankruptcy, winding up, or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circumstances. Either party may terminate the A&amp;R JDCA in the event the other party commences or participates in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action or proceeding challenging the validity or enforceability of any patent that is licensed to such challenging 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A&amp;R JDCA. We also have the right to terminate the A&amp;R JDCA for convenience at any time after giving </w:t>
      </w:r>
    </w:p>
    <w:p>
      <w:pPr>
        <w:pStyle w:val="TextBody"/>
        <w:bidi w:val="0"/>
        <w:spacing w:lineRule="atLeast" w:line="200" w:before="0" w:after="0"/>
        <w:jc w:val="left"/>
        <w:rPr/>
      </w:pPr>
      <w:r>
        <w:rPr>
          <w:rFonts w:ascii="Times New Roman;serif" w:hAnsi="Times New Roman;serif"/>
          <w:b w:val="false"/>
          <w:i w:val="false"/>
          <w:caps w:val="false"/>
          <w:smallCaps w:val="false"/>
          <w:sz w:val="20"/>
        </w:rPr>
        <w:t>prior written notice.</w:t>
      </w:r>
      <w:r>
        <w:rPr/>
        <w:t xml:space="preserve"> </w:t>
      </w:r>
      <w:r>
        <w:rPr>
          <w:rFonts w:ascii="Times New Roman;serif" w:hAnsi="Times New Roman;serif"/>
          <w:b w:val="false"/>
          <w:i w:val="false"/>
          <w:caps w:val="false"/>
          <w:smallCaps w:val="false"/>
          <w:sz w:val="20"/>
        </w:rPr>
        <w:t xml:space="preserve">If circumstances arise pursuant to which a party would have the right to terminate the A&amp;R JDCA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 of an uncured material breach, such party may elect to keep the A&amp;R JDCA in effect and cause such breaching 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be treated as if it had exercised its opt-out rights with respect to the products associated with such uncured material breach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the royalties payable to the breaching party would be reduced by a specified percentage.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Either party may opt out of the development of a product candidate under the A&amp;R JDCA after predetermined points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development of the product candidate, on a candidate-by-candidate basis. In the event of such opt-out, the party opting-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 will no longer share in the net profits and net losses associated with such product candidate and, instead, the opting out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party will be entitled to high single to mid-teen percentage royalties on the net sales of such product, if commercialized.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In-License Agreements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entered into various agreements pursuant to which we have obtained access to technologies from third parties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are conducting research and development activities with collaborators. Pursuant to these arrangements, we have obtained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and commercialization rights to resulting product candidates. Depending on the terms of the arrangements,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responsible for the costs of research activities, required to make upfront payments and/or milestone payments upon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achievement of certain research, development, and commercial objectives, and/or pay royalties on future sales, if any,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commercial products resulting from the collaboration. O</w:t>
      </w:r>
      <w:r>
        <w:rPr>
          <w:rFonts w:ascii="Times New Roman;serif" w:hAnsi="Times New Roman;serif"/>
          <w:b w:val="false"/>
          <w:i w:val="false"/>
          <w:caps w:val="false"/>
          <w:smallCaps w:val="false"/>
          <w:strike w:val="false"/>
          <w:dstrike w:val="false"/>
          <w:sz w:val="20"/>
          <w:u w:val="none"/>
          <w:effect w:val="none"/>
        </w:rPr>
        <w:t>ur current in-license agreements include:</w:t>
      </w:r>
    </w:p>
    <w:p>
      <w:pPr>
        <w:pStyle w:val="TextBody"/>
        <w:bidi w:val="0"/>
        <w:spacing w:lineRule="atLeast" w:line="200" w:before="0" w:after="0"/>
        <w:jc w:val="left"/>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z w:val="20"/>
          <w:u w:val="single"/>
        </w:rPr>
        <w:t>CRISPR Therapeutics AG.</w:t>
      </w:r>
      <w:r>
        <w:rPr>
          <w:caps w:val="false"/>
          <w:smallCaps w:val="false"/>
        </w:rPr>
        <w:t xml:space="preserve"> </w:t>
      </w:r>
      <w:r>
        <w:rPr>
          <w:rFonts w:ascii="Times New Roman;serif" w:hAnsi="Times New Roman;serif"/>
          <w:b w:val="false"/>
          <w:i w:val="false"/>
          <w:caps w:val="false"/>
          <w:smallCaps w:val="false"/>
          <w:sz w:val="20"/>
        </w:rPr>
        <w:t xml:space="preserve">In addition to our arrangement with CRISPR described above, we have exercised options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exclusively license treatments for specific targets, including CF, that were subject to the research program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collaboration agreement we entered into with CRISPR in 2015. In 2019, we obtained exclusive worldwide rights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CRISPR’s intellectual property for Duchenne muscular dystrophy (“DMD”) and DM1 gene-editing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a new agreement with CRISPR. In 2023, we obtained non-exclusive rights to CRISPR’s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property for the development of hypoimmune gene-edited cell therapies for T1D through a new agreement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CRISPR.</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u w:val="single"/>
        </w:rPr>
        <w:t>Moderna, Inc.</w:t>
      </w:r>
      <w:r>
        <w:rPr/>
        <w:t xml:space="preserve"> </w:t>
      </w:r>
      <w:r>
        <w:rPr>
          <w:rFonts w:ascii="Times New Roman;serif" w:hAnsi="Times New Roman;serif"/>
          <w:b w:val="false"/>
          <w:i w:val="false"/>
          <w:caps w:val="false"/>
          <w:smallCaps w:val="false"/>
          <w:sz w:val="20"/>
        </w:rPr>
        <w:t xml:space="preserve">In 2016, we entered into a collaboration with Moderna for the identification and development of </w:t>
      </w:r>
    </w:p>
    <w:p>
      <w:pPr>
        <w:pStyle w:val="TextBody"/>
        <w:bidi w:val="0"/>
        <w:spacing w:lineRule="atLeast" w:line="200" w:before="0" w:after="0"/>
        <w:jc w:val="left"/>
        <w:rPr/>
      </w:pPr>
      <w:r>
        <w:rPr>
          <w:rFonts w:ascii="Times New Roman;serif" w:hAnsi="Times New Roman;serif"/>
          <w:b w:val="false"/>
          <w:i w:val="false"/>
          <w:caps w:val="false"/>
          <w:smallCaps w:val="false"/>
          <w:sz w:val="20"/>
        </w:rPr>
        <w:t>mRNA therapeutics encoding CFTR for the treatment of CF. We are evaluating</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VX-522, an mRNA therapeutic,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pursuant to this collaboration.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u w:val="single"/>
        </w:rPr>
        <w:t>Entrada Therapeutics, Inc.</w:t>
      </w:r>
      <w:r>
        <w:rPr>
          <w:caps w:val="false"/>
          <w:smallCaps w:val="false"/>
        </w:rPr>
        <w:t xml:space="preserve"> </w:t>
      </w:r>
      <w:r>
        <w:rPr>
          <w:rFonts w:ascii="Times New Roman;serif" w:hAnsi="Times New Roman;serif"/>
          <w:b w:val="false"/>
          <w:i w:val="false"/>
          <w:caps w:val="false"/>
          <w:smallCaps w:val="false"/>
          <w:sz w:val="20"/>
        </w:rPr>
        <w:t xml:space="preserve">In 2022, we established a collaboration with Entrada focused on enabling efficient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intracellular delivery of an oligonucleotide for DM1. This collaboration includes VX-670, an investigational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candidate for the treatment of DM1 that is in clinical development. </w:t>
      </w:r>
      <w:r>
        <w:rPr>
          <w:rFonts w:ascii="Times New Roman;serif" w:hAnsi="Times New Roman;serif"/>
          <w:b w:val="false"/>
          <w:i w:val="false"/>
          <w:caps w:val="false"/>
          <w:smallCaps w:val="false"/>
          <w:strike w:val="false"/>
          <w:dstrike w:val="false"/>
          <w:sz w:val="20"/>
          <w:u w:val="none"/>
          <w:effect w:val="none"/>
          <w:shd w:fill="FFFFFF" w:val="clear"/>
        </w:rPr>
        <w:t xml:space="preserve">We are evaluating VX-670 in people with DM1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pursuant to this collaboration.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Out-license Agreements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entered into various agreements pursuant to which we have out-licensed rights to certain product candidates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collaborators. Pursuant to these out-license arrangements, our collaborators are responsible for certain costs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to the continued development of such product candidates and obtain development and commercialization rights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product candidates. Depending on the terms of the arrangements, our collaborators may be required to make upfront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milestone payments upon the achievement of certain research and development objectives and/or pay royalties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future sales, if any, of commercial products licensed under the agreement.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In 2025, we entered into agreements with </w:t>
      </w:r>
      <w:r>
        <w:rPr>
          <w:rFonts w:ascii="Times New Roman;serif" w:hAnsi="Times New Roman;serif"/>
          <w:b w:val="false"/>
          <w:i w:val="false"/>
          <w:caps w:val="false"/>
          <w:smallCaps w:val="false"/>
          <w:strike w:val="false"/>
          <w:dstrike w:val="false"/>
          <w:sz w:val="20"/>
          <w:u w:val="none"/>
          <w:effect w:val="none"/>
          <w:shd w:fill="FFFFFF" w:val="clear"/>
        </w:rPr>
        <w:t>Zai Lab Limited (“Zai”) and Ono Pharmaceuticals Co., Ltd (“Ono”)</w:t>
      </w:r>
      <w:r>
        <w:rPr>
          <w:caps w:val="false"/>
          <w:smallCaps w:val="false"/>
        </w:rPr>
        <w:t xml:space="preserve"> </w:t>
      </w:r>
      <w:r>
        <w:rPr>
          <w:rFonts w:ascii="Times New Roman;serif" w:hAnsi="Times New Roman;serif"/>
          <w:b w:val="false"/>
          <w:i w:val="false"/>
          <w:caps w:val="false"/>
          <w:smallCaps w:val="false"/>
          <w:sz w:val="20"/>
        </w:rPr>
        <w:t xml:space="preserve">related to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the development and commercialization of povetacicept in certain Asian markets. </w:t>
      </w:r>
      <w:r>
        <w:rPr>
          <w:rFonts w:ascii="Times New Roman;serif" w:hAnsi="Times New Roman;serif"/>
          <w:b w:val="false"/>
          <w:i w:val="false"/>
          <w:caps w:val="false"/>
          <w:smallCaps w:val="false"/>
          <w:strike w:val="false"/>
          <w:dstrike w:val="false"/>
          <w:sz w:val="20"/>
          <w:u w:val="none"/>
          <w:effect w:val="none"/>
          <w:shd w:fill="FFFFFF" w:val="clear"/>
        </w:rPr>
        <w:t xml:space="preserve">Zai licensed povetacicept for mainland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China, Hong Kong SAR, Macau SAR, Taiwan region, and Singapore, while Ono licensed povetacicept for Japan and South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Korea. Zai and Ono will help advance povetacicept clinical trials and will be responsible for obtaining marketing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authorizations and commercialization activities in the licensed territories, if povetacicept becomes an approved product.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Cystic Fibrosis Foundation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2004, we entered into an agreement (the “CFF Agreement”) with the Cystic Fibrosis Foundation (the “CFF”),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successor in interest to the Cystic Fibrosis Foundation Therapeutics, Inc., to support research and development activities.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the CFF Agreement, as amended, we have agreed to pay tiered royalties ranging from single digits to sub-teens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covered compounds first synthesized and/or tested during a research term on or before February 28, 2014,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ivacaftor, lumacaftor and tezacaftor, and royalties ranging from low-single digits to mid-single digits on net sales of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compounds first synthesized and/or tested between March 1, 2014 and August 31, 2016, including elexacaftor. We do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any royalty obligations on compounds first synthesized and tested on or after September 1, 2016. For combination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such as ORKAMBI, SYMDEKO/SYMKEVI, TRIKAFTA/KAFTRIO, and ALYFTREK, sales are allocated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equally to each of the active pharmaceutical ingredients in the combination product, and royalties are then paid for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royalty-bearing components included in the combination. </w:t>
      </w:r>
      <w:r>
        <w:rPr>
          <w:rFonts w:ascii="Times New Roman;serif" w:hAnsi="Times New Roman;serif"/>
          <w:b w:val="false"/>
          <w:i w:val="false"/>
          <w:caps w:val="false"/>
          <w:smallCaps w:val="false"/>
          <w:sz w:val="20"/>
        </w:rPr>
        <w:t xml:space="preserve">For TRIKAFTA/KAFTRIO, the CFF Agreement does not identify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specific date on which royalty obligations terminate. To qualify as a royalty bearing “Drug Product” as defined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CFF Agreement, a compound must be covered by intellectual property protection (including patents) that Vertex has the legal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to license to another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INTELLECTUAL PROPERTY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Patents and other intellectual property rights such as trademarks, trade secrets, and copyrights are critical to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actively seek protection for our products and proprietary information by means of U.S. and foreign patents, trademarks,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copyrights, as appropriate. In addition, we rely upon trade secret protection and contractual arrangements to protect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proprietary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Patents provide a period of exclusivity that can make it more difficult for competitors to market and use our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own and control patents and pending patent applications that relate to compounds, formulations, synthetic routes,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intermediates, devices, treatment of diseases, and other inventions.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protect our intellectual property, we typically apply for patents several years before a product receives 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 Under current law, a patent expires 20 years from its first effective filing date. Since the drug development process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last for many years, there may be a period of time in which we have an issued patent but not marketing approval to sell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drug. To compensate for patent term lost while a product is in clinical trials and undergoing review for 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 we may be able to apply for patent term extensions or supplementary protection certificates (“SPCs”) in some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countries. In addition to patent protection, we receive regulatory exclusivity from U.S. and European regulatory agencies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active pharmaceutical and biological agents and, where applicable, their approved orphan indications for a certain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 Regulatory exclusivity runs concurrently with patent exclusivity and provides complementary protection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products.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our approved commercial products, and those in development, we own or hold exclusive and non-exclusive licenses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several hundred patents around the world. In the U.S., once a New Drug Application (“NDA”), or a supplement thereto,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approved we are required to list with the FDA each U.S. patent with claims that cover our product or a method of using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The FDA publishes the patents we list in a book referred to as the Orange Book. We have fourteen issued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patents listed in the Orange Book that cover the active pharmaceutical ingredients in KALYDECO, its marketed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formulations, and/or its approved indication. We have 22 issued U.S. patents listed in the Orange Book that cover the active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pharmaceutical ingredients in ORKAMBI, its marketed formulations, and/or its approved indication. We have 25 issued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patents listed in the Orange Book that cover the active pharmaceutical ingredients in SYMDEKO, its marketed formulations,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and/or its approved indication. W</w:t>
      </w:r>
      <w:r>
        <w:rPr>
          <w:rFonts w:ascii="Times New Roman;serif" w:hAnsi="Times New Roman;serif"/>
          <w:b w:val="false"/>
          <w:i w:val="false"/>
          <w:caps w:val="false"/>
          <w:smallCaps w:val="false"/>
          <w:strike w:val="false"/>
          <w:dstrike w:val="false"/>
          <w:sz w:val="20"/>
          <w:u w:val="none"/>
          <w:effect w:val="none"/>
        </w:rPr>
        <w:t xml:space="preserve">e have 34 issued U.S. patents listed in the Orange Book that cover the active pharmaceutical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ingredients in TRIKAFTA, its marketed formulations, and/or its approved indication. We have 35 issued U.S. patents listed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Orange Book that cover the active pharmaceutical ingredients in ALYFTREK, its marketed formulations, and/or its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approved indication</w:t>
      </w:r>
      <w:r>
        <w:rPr>
          <w:rFonts w:ascii="Times New Roman;serif" w:hAnsi="Times New Roman;serif"/>
          <w:b w:val="false"/>
          <w:i w:val="false"/>
          <w:caps w:val="false"/>
          <w:smallCaps w:val="false"/>
          <w:sz w:val="20"/>
        </w:rPr>
        <w:t xml:space="preserve">. We have an issued patent listed in the Orange Book that covers the active pharmaceutical ingredient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JOURNAVX, its marketed formulation, and/or its approved indication.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approved by the FDA under a BLA, including CASGEVY, receive 12 years of regulatory exclusivity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from a product’s approval date. Additionally, we have licenses to dozens of issued U.S. patents that cover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its approved indication, and/or its manufacture. Products approved by the FDA under a BLA are not subject to the Orange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Book patent listing requirement.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sets forth the year of projected expiration for the basic product patent covering each of our approved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For products that are combinations of two or more active ingredients, the table lists the projected expiration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latest expiring patent covering any of the active pharmaceutical ingredients (lumacaftor for ORKAMBI, tezacaftor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SYMDEKO/SYMKEVI, elexacaftor for TRIKAFTA/KAFTRIO and vanzacaftor for ALYFTREK). Unless otherwise noted,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 term extensions, and pediatric exclusivity periods are not reflected in the expiration dates listed in the table below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extend protection. In some instances, we also own later-expiring patents and applications relating to solid forms,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formulations, methods of manufacture, or the use of these drugs in the treatment of particular diseases or conditions. In some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cases, however, such patents may not protect our drug from generic competition after the expiration of the basic patent.</w:t>
      </w:r>
    </w:p>
    <w:tbl>
      <w:tblPr>
        <w:tblW w:w="7469" w:type="dxa"/>
        <w:jc w:val="left"/>
        <w:tblInd w:w="0" w:type="dxa"/>
        <w:tblLayout w:type="fixed"/>
        <w:tblCellMar>
          <w:top w:w="28" w:type="dxa"/>
          <w:left w:w="28" w:type="dxa"/>
          <w:bottom w:w="28" w:type="dxa"/>
          <w:right w:w="28" w:type="dxa"/>
        </w:tblCellMar>
      </w:tblPr>
      <w:tblGrid>
        <w:gridCol w:w="1996"/>
        <w:gridCol w:w="327"/>
        <w:gridCol w:w="1584"/>
        <w:gridCol w:w="548"/>
        <w:gridCol w:w="337"/>
        <w:gridCol w:w="1640"/>
        <w:gridCol w:w="1037"/>
      </w:tblGrid>
      <w:tr>
        <w:trPr/>
        <w:tc>
          <w:tcPr>
            <w:tcW w:w="199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Product</w:t>
            </w:r>
          </w:p>
        </w:tc>
        <w:tc>
          <w:tcPr>
            <w:tcW w:w="245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Expiration Year</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U.S. Basic Product Patent</w:t>
            </w:r>
          </w:p>
        </w:tc>
        <w:tc>
          <w:tcPr>
            <w:tcW w:w="301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Expiration Year</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European Basic Product Patent</w:t>
            </w:r>
          </w:p>
        </w:tc>
      </w:tr>
      <w:tr>
        <w:trPr/>
        <w:tc>
          <w:tcPr>
            <w:tcW w:w="19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KALYDECO</w:t>
            </w:r>
          </w:p>
        </w:tc>
        <w:tc>
          <w:tcPr>
            <w:tcW w:w="32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c>
          <w:tcPr>
            <w:tcW w:w="54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c>
        <w:tc>
          <w:tcPr>
            <w:tcW w:w="33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2027 </w:t>
            </w:r>
          </w:p>
        </w:tc>
        <w:tc>
          <w:tcPr>
            <w:tcW w:w="10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2,3</w:t>
            </w:r>
          </w:p>
        </w:tc>
      </w:tr>
      <w:tr>
        <w:trPr/>
        <w:tc>
          <w:tcPr>
            <w:tcW w:w="19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ORKAMBI</w:t>
            </w:r>
          </w:p>
        </w:tc>
        <w:tc>
          <w:tcPr>
            <w:tcW w:w="327" w:type="dxa"/>
            <w:tcBorders/>
            <w:shd w:fill="FFFFFF" w:val="clear"/>
            <w:vAlign w:val="center"/>
          </w:tcPr>
          <w:p>
            <w:pPr>
              <w:pStyle w:val="TableContents"/>
              <w:bidi w:val="0"/>
              <w:spacing w:before="0" w:after="283"/>
              <w:jc w:val="left"/>
              <w:rPr>
                <w:sz w:val="4"/>
                <w:szCs w:val="4"/>
              </w:rPr>
            </w:pPr>
            <w:r>
              <w:rPr>
                <w:sz w:val="4"/>
                <w:szCs w:val="4"/>
              </w:rPr>
            </w:r>
          </w:p>
        </w:tc>
        <w:tc>
          <w:tcPr>
            <w:tcW w:w="15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2031</w:t>
            </w:r>
          </w:p>
        </w:tc>
        <w:tc>
          <w:tcPr>
            <w:tcW w:w="5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1</w:t>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16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2030</w:t>
            </w:r>
          </w:p>
        </w:tc>
        <w:tc>
          <w:tcPr>
            <w:tcW w:w="103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2</w:t>
            </w:r>
          </w:p>
        </w:tc>
      </w:tr>
      <w:tr>
        <w:trPr/>
        <w:tc>
          <w:tcPr>
            <w:tcW w:w="19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SYMDEKO/SYMKEVI</w:t>
            </w:r>
          </w:p>
        </w:tc>
        <w:tc>
          <w:tcPr>
            <w:tcW w:w="327" w:type="dxa"/>
            <w:tcBorders/>
            <w:shd w:fill="CCEEFF" w:val="clear"/>
            <w:vAlign w:val="center"/>
          </w:tcPr>
          <w:p>
            <w:pPr>
              <w:pStyle w:val="TableContents"/>
              <w:bidi w:val="0"/>
              <w:spacing w:before="0" w:after="283"/>
              <w:jc w:val="left"/>
              <w:rPr>
                <w:sz w:val="4"/>
                <w:szCs w:val="4"/>
              </w:rPr>
            </w:pPr>
            <w:r>
              <w:rPr>
                <w:sz w:val="4"/>
                <w:szCs w:val="4"/>
              </w:rPr>
            </w:r>
          </w:p>
        </w:tc>
        <w:tc>
          <w:tcPr>
            <w:tcW w:w="15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2027</w:t>
            </w:r>
          </w:p>
        </w:tc>
        <w:tc>
          <w:tcPr>
            <w:tcW w:w="548"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c>
          <w:tcPr>
            <w:tcW w:w="16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2033</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2</w:t>
            </w:r>
          </w:p>
        </w:tc>
      </w:tr>
      <w:tr>
        <w:trPr/>
        <w:tc>
          <w:tcPr>
            <w:tcW w:w="19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TRIKAFTA/KAFTRIO</w:t>
            </w:r>
          </w:p>
        </w:tc>
        <w:tc>
          <w:tcPr>
            <w:tcW w:w="327" w:type="dxa"/>
            <w:tcBorders/>
            <w:shd w:fill="FFFFFF" w:val="clear"/>
            <w:vAlign w:val="center"/>
          </w:tcPr>
          <w:p>
            <w:pPr>
              <w:pStyle w:val="TableContents"/>
              <w:bidi w:val="0"/>
              <w:spacing w:before="0" w:after="283"/>
              <w:jc w:val="left"/>
              <w:rPr>
                <w:sz w:val="4"/>
                <w:szCs w:val="4"/>
              </w:rPr>
            </w:pPr>
            <w:r>
              <w:rPr>
                <w:sz w:val="4"/>
                <w:szCs w:val="4"/>
              </w:rPr>
            </w:r>
          </w:p>
        </w:tc>
        <w:tc>
          <w:tcPr>
            <w:tcW w:w="15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2037</w:t>
            </w:r>
          </w:p>
        </w:tc>
        <w:tc>
          <w:tcPr>
            <w:tcW w:w="548"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16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2037</w:t>
            </w:r>
          </w:p>
        </w:tc>
        <w:tc>
          <w:tcPr>
            <w:tcW w:w="1037" w:type="dxa"/>
            <w:tcBorders/>
            <w:shd w:fill="FFFFFF" w:val="clear"/>
            <w:vAlign w:val="center"/>
          </w:tcPr>
          <w:p>
            <w:pPr>
              <w:pStyle w:val="TableContents"/>
              <w:bidi w:val="0"/>
              <w:spacing w:before="0" w:after="283"/>
              <w:jc w:val="left"/>
              <w:rPr>
                <w:sz w:val="4"/>
                <w:szCs w:val="4"/>
              </w:rPr>
            </w:pPr>
            <w:r>
              <w:rPr>
                <w:sz w:val="4"/>
                <w:szCs w:val="4"/>
              </w:rPr>
            </w:r>
          </w:p>
        </w:tc>
      </w:tr>
      <w:tr>
        <w:trPr/>
        <w:tc>
          <w:tcPr>
            <w:tcW w:w="19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CASGEVY</w:t>
            </w:r>
          </w:p>
        </w:tc>
        <w:tc>
          <w:tcPr>
            <w:tcW w:w="327" w:type="dxa"/>
            <w:tcBorders/>
            <w:shd w:fill="CCEEFF" w:val="clear"/>
            <w:vAlign w:val="center"/>
          </w:tcPr>
          <w:p>
            <w:pPr>
              <w:pStyle w:val="TableContents"/>
              <w:bidi w:val="0"/>
              <w:spacing w:before="0" w:after="283"/>
              <w:jc w:val="left"/>
              <w:rPr>
                <w:sz w:val="4"/>
                <w:szCs w:val="4"/>
              </w:rPr>
            </w:pPr>
            <w:r>
              <w:rPr>
                <w:sz w:val="4"/>
                <w:szCs w:val="4"/>
              </w:rPr>
            </w:r>
          </w:p>
        </w:tc>
        <w:tc>
          <w:tcPr>
            <w:tcW w:w="15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2035</w:t>
            </w:r>
          </w:p>
        </w:tc>
        <w:tc>
          <w:tcPr>
            <w:tcW w:w="54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4</w:t>
            </w:r>
          </w:p>
        </w:tc>
        <w:tc>
          <w:tcPr>
            <w:tcW w:w="337" w:type="dxa"/>
            <w:tcBorders/>
            <w:shd w:fill="CCEEFF" w:val="clear"/>
            <w:vAlign w:val="center"/>
          </w:tcPr>
          <w:p>
            <w:pPr>
              <w:pStyle w:val="TableContents"/>
              <w:bidi w:val="0"/>
              <w:spacing w:before="0" w:after="283"/>
              <w:jc w:val="left"/>
              <w:rPr>
                <w:sz w:val="4"/>
                <w:szCs w:val="4"/>
              </w:rPr>
            </w:pPr>
            <w:r>
              <w:rPr>
                <w:sz w:val="4"/>
                <w:szCs w:val="4"/>
              </w:rPr>
            </w:r>
          </w:p>
        </w:tc>
        <w:tc>
          <w:tcPr>
            <w:tcW w:w="16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2034</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13"/>
              </w:rPr>
            </w:pPr>
            <w:r>
              <w:rPr>
                <w:rFonts w:ascii="Times New Roman;serif" w:hAnsi="Times New Roman;serif"/>
                <w:b w:val="false"/>
                <w:i w:val="false"/>
                <w:caps w:val="false"/>
                <w:smallCaps w:val="false"/>
                <w:sz w:val="13"/>
              </w:rPr>
              <w:t>5,6</w:t>
            </w:r>
          </w:p>
        </w:tc>
      </w:tr>
      <w:tr>
        <w:trPr/>
        <w:tc>
          <w:tcPr>
            <w:tcW w:w="19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ALYFTREK</w:t>
            </w:r>
          </w:p>
        </w:tc>
        <w:tc>
          <w:tcPr>
            <w:tcW w:w="327" w:type="dxa"/>
            <w:tcBorders/>
            <w:shd w:fill="FFFFFF" w:val="clear"/>
            <w:vAlign w:val="center"/>
          </w:tcPr>
          <w:p>
            <w:pPr>
              <w:pStyle w:val="TableContents"/>
              <w:bidi w:val="0"/>
              <w:spacing w:before="0" w:after="283"/>
              <w:jc w:val="left"/>
              <w:rPr>
                <w:sz w:val="4"/>
                <w:szCs w:val="4"/>
              </w:rPr>
            </w:pPr>
            <w:r>
              <w:rPr>
                <w:sz w:val="4"/>
                <w:szCs w:val="4"/>
              </w:rPr>
            </w:r>
          </w:p>
        </w:tc>
        <w:tc>
          <w:tcPr>
            <w:tcW w:w="15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2039</w:t>
            </w:r>
          </w:p>
        </w:tc>
        <w:tc>
          <w:tcPr>
            <w:tcW w:w="548"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164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2039</w:t>
            </w:r>
          </w:p>
        </w:tc>
        <w:tc>
          <w:tcPr>
            <w:tcW w:w="1037" w:type="dxa"/>
            <w:tcBorders/>
            <w:shd w:fill="FFFFFF" w:val="clear"/>
            <w:vAlign w:val="center"/>
          </w:tcPr>
          <w:p>
            <w:pPr>
              <w:pStyle w:val="TableContents"/>
              <w:bidi w:val="0"/>
              <w:spacing w:before="0" w:after="283"/>
              <w:jc w:val="left"/>
              <w:rPr>
                <w:sz w:val="4"/>
                <w:szCs w:val="4"/>
              </w:rPr>
            </w:pPr>
            <w:r>
              <w:rPr>
                <w:sz w:val="4"/>
                <w:szCs w:val="4"/>
              </w:rPr>
            </w:r>
          </w:p>
        </w:tc>
      </w:tr>
      <w:tr>
        <w:trPr/>
        <w:tc>
          <w:tcPr>
            <w:tcW w:w="19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JOURNAVX</w:t>
            </w:r>
          </w:p>
        </w:tc>
        <w:tc>
          <w:tcPr>
            <w:tcW w:w="327" w:type="dxa"/>
            <w:tcBorders/>
            <w:shd w:fill="CCEEFF" w:val="clear"/>
            <w:vAlign w:val="center"/>
          </w:tcPr>
          <w:p>
            <w:pPr>
              <w:pStyle w:val="TableContents"/>
              <w:bidi w:val="0"/>
              <w:spacing w:before="0" w:after="283"/>
              <w:jc w:val="left"/>
              <w:rPr>
                <w:sz w:val="4"/>
                <w:szCs w:val="4"/>
              </w:rPr>
            </w:pPr>
            <w:r>
              <w:rPr>
                <w:sz w:val="4"/>
                <w:szCs w:val="4"/>
              </w:rPr>
            </w:r>
          </w:p>
        </w:tc>
        <w:tc>
          <w:tcPr>
            <w:tcW w:w="15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2040</w:t>
            </w:r>
          </w:p>
        </w:tc>
        <w:tc>
          <w:tcPr>
            <w:tcW w:w="548"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shd w:fill="CCEEFF" w:val="clear"/>
            <w:vAlign w:val="center"/>
          </w:tcPr>
          <w:p>
            <w:pPr>
              <w:pStyle w:val="TableContents"/>
              <w:bidi w:val="0"/>
              <w:spacing w:before="0" w:after="283"/>
              <w:jc w:val="left"/>
              <w:rPr>
                <w:sz w:val="4"/>
                <w:szCs w:val="4"/>
              </w:rPr>
            </w:pPr>
            <w:r>
              <w:rPr>
                <w:sz w:val="4"/>
                <w:szCs w:val="4"/>
              </w:rPr>
            </w:r>
          </w:p>
        </w:tc>
        <w:tc>
          <w:tcPr>
            <w:tcW w:w="164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2040</w:t>
            </w:r>
          </w:p>
        </w:tc>
        <w:tc>
          <w:tcPr>
            <w:tcW w:w="103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 xml:space="preserve">1 </w:t>
      </w:r>
      <w:r>
        <w:rPr>
          <w:rFonts w:ascii="Times New Roman;serif" w:hAnsi="Times New Roman;serif"/>
          <w:b w:val="false"/>
          <w:i w:val="false"/>
          <w:caps w:val="false"/>
          <w:smallCaps w:val="false"/>
          <w:strike w:val="false"/>
          <w:dstrike w:val="false"/>
          <w:sz w:val="16"/>
          <w:u w:val="none"/>
          <w:effect w:val="none"/>
        </w:rPr>
        <w:t>Includes pediatric exclusivity.</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 xml:space="preserve">2 </w:t>
      </w:r>
      <w:r>
        <w:rPr>
          <w:rFonts w:ascii="Times New Roman;serif" w:hAnsi="Times New Roman;serif"/>
          <w:b w:val="false"/>
          <w:i w:val="false"/>
          <w:caps w:val="false"/>
          <w:smallCaps w:val="false"/>
          <w:strike w:val="false"/>
          <w:dstrike w:val="false"/>
          <w:sz w:val="16"/>
          <w:u w:val="none"/>
          <w:effect w:val="none"/>
        </w:rPr>
        <w:t>Expiration date reflects SPCs granted in the five major European markets (France, Germany, Italy, Spain and the U.K.).</w:t>
      </w:r>
    </w:p>
    <w:p>
      <w:pPr>
        <w:pStyle w:val="TextBody"/>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0"/>
          <w:u w:val="none"/>
          <w:effect w:val="none"/>
        </w:rPr>
        <w:t>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SPC expires in 2028 in Germany; application for pediatric extension pending in France, Italy, Spain, and the U.K.</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 xml:space="preserve">4 </w:t>
      </w:r>
      <w:r>
        <w:rPr>
          <w:rFonts w:ascii="Times New Roman;serif" w:hAnsi="Times New Roman;serif"/>
          <w:b w:val="false"/>
          <w:i w:val="false"/>
          <w:caps w:val="false"/>
          <w:smallCaps w:val="false"/>
          <w:strike w:val="false"/>
          <w:dstrike w:val="false"/>
          <w:sz w:val="16"/>
          <w:u w:val="none"/>
          <w:effect w:val="none"/>
        </w:rPr>
        <w:t>Expiration year reflects the expiration of regulatory exclusivity, which expires later than the basic product patent for this product in this market.</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 xml:space="preserve">5 </w:t>
      </w:r>
      <w:r>
        <w:rPr>
          <w:rFonts w:ascii="Times New Roman;serif" w:hAnsi="Times New Roman;serif"/>
          <w:b w:val="false"/>
          <w:i w:val="false"/>
          <w:caps w:val="false"/>
          <w:smallCaps w:val="false"/>
          <w:strike w:val="false"/>
          <w:dstrike w:val="false"/>
          <w:sz w:val="16"/>
          <w:u w:val="none"/>
          <w:effect w:val="none"/>
        </w:rPr>
        <w:t xml:space="preserve">Expiration year reflects the expiration of regulatory exclusivity in the E.U., which expires later than the basic product patent for this product in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this market. </w:t>
      </w:r>
    </w:p>
    <w:p>
      <w:pPr>
        <w:pStyle w:val="TextBody"/>
        <w:bidi w:val="0"/>
        <w:spacing w:lineRule="atLeast" w:line="160" w:before="0" w:after="0"/>
        <w:jc w:val="left"/>
        <w:rPr/>
      </w:pPr>
      <w:r>
        <w:rPr>
          <w:rFonts w:ascii="Times New Roman;serif" w:hAnsi="Times New Roman;serif"/>
          <w:b w:val="false"/>
          <w:i w:val="false"/>
          <w:caps w:val="false"/>
          <w:smallCaps w:val="false"/>
          <w:strike w:val="false"/>
          <w:dstrike w:val="false"/>
          <w:sz w:val="10"/>
          <w:u w:val="none"/>
          <w:effect w:val="none"/>
        </w:rPr>
        <w:t>6</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Product is approved in Great Britain with regulatory exclusivity until November 2033, which is later than the expiration of the basic product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patent.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protecting our marketed products, we actively file patent applications in the U.S. and in foreign countries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inventions relating to our pipeline. For example, we also own and/or control U.S. and foreign patents and/or patent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applications relating to the following:</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Other CF potentiators and correctors and many other related compounds, and the use of those compounds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treatment of CF.</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VX-522 and other mRNA-based approaches for treating CF.</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VX-993, VX-973, and other compounds being studied for the potential treatment of pain.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Povetacicept for the treatment of IgAN</w:t>
      </w:r>
      <w:r>
        <w:rPr>
          <w:rFonts w:ascii="Times New Roman;serif" w:hAnsi="Times New Roman;serif"/>
          <w:b w:val="false"/>
          <w:i w:val="false"/>
          <w:caps w:val="false"/>
          <w:smallCaps w:val="false"/>
          <w:strike w:val="false"/>
          <w:dstrike w:val="false"/>
          <w:sz w:val="20"/>
          <w:u w:val="none"/>
          <w:effect w:val="none"/>
        </w:rPr>
        <w:t>, pMN and gMG.</w:t>
      </w:r>
    </w:p>
    <w:p>
      <w:pPr>
        <w:pStyle w:val="TextBody"/>
        <w:bidi w:val="0"/>
        <w:spacing w:lineRule="atLeast" w:line="200" w:before="0" w:after="0"/>
        <w:jc w:val="left"/>
        <w:rPr/>
      </w:pPr>
      <w:r>
        <w:rPr/>
        <w:t>•</w:t>
      </w:r>
      <w:r>
        <w:rPr>
          <w:rFonts w:ascii="Times New Roman;serif" w:hAnsi="Times New Roman;serif"/>
          <w:b w:val="false"/>
          <w:i w:val="false"/>
          <w:caps w:val="false"/>
          <w:smallCaps w:val="false"/>
          <w:sz w:val="20"/>
        </w:rPr>
        <w:t>Inaxaplin for the potential treatment of AMKD.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Zimislecel and other cell-based approaches for treating T1D.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VX-407 and other compounds being studied for the potential treatment of ADPKD.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VX-670 for the treatment of DM1.</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Other pre-clinical and clinical candidates and the use of such candidates to treat specified diseases.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manufacture, pharmaceutical compositions, related solid forms, formulations, dosing regimens, and methods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use of many of the above compounds.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CRISPR intend to rely upon a combination of rights, including patent rights, trade secret protection,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exclusivities to protect CASGEVY. CRISPR has licensed certain rights to a worldwide patent portfolio that covers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various aspects of the CRISPR/Cas9 editing platform technology including, for example, compositions of matter and methods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use, including their use in targeting or cutting DNA, from Dr. Emmanuelle Charpentier. In addition to Dr. Charpentier,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 portfolio has named inventors who assigned their rights to the Regents of the University of California or the University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Vienna, to whom we refer, together with Dr. Charpentier, as the CVC Group. CRISPR has non-exclusive or co-exclusive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rights to the patent rights that protect the core CRISPR/Cas9 gene-editing technology. For example, certain third parties,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competitors, have reported obtaining a license to rights in this patent portfolio in certain fields. In addition, patents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patent applications in this patent portfolio are the subject of adversarial proceedings in the U.S., Europe,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including proceedings in the U.S. Patent and Trademark Office (the “USPTO”), between the CVC Group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separately, Sigma-Aldrich, Co. LLC (“Sigma-Aldrich”), ToolGen, Inc. (“ToolGen”), and the Broad Institute, Harvard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University, and Massachusetts Institute of Technology (collectively, “Broad”). To date, both the CVC Group and Broad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obtained granted patents that purport to cover aspects of CRISPR/Cas9 editing platform technology. The patents and patent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applications within the patent portfolios of the CVC Group, Broad, Sigma-Aldrich and/or ToolGen are, or may in the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involved in proceedings similar to interferences or priority disputes in Europe or other foreign jurisdictions. In December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2023, we entered into an agreement with Editas Medicine, Inc. (“Editas”), providing us a non-exclusive sublicense to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patents relating to CRISPR/Cas9 technology, owned by Broad and Harvard, which are licensed to Editas. In addition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 portfolios licensed from Dr. Charpentier, Broad, and Harvard, we own patents and/or patent applications relating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composition, manufacture, and use of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our CASGEVY manufacturing partners are engaged in patent litigation against ToolGen in the U.S., the U.K.,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Netherlands. In these cases, ToolGen alleges that the CASGEVY manufacturing process infringes its patents relating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CRISPR/Cas9. We have argued in the U.K. and the Netherlands that ToolGen’s patents are invalid, and we filed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oppositions at the European Patent Office seeking the revocation of the patents asserted in the U.K. and the Netherlands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cases. We intend to respond to the U.S. case in the first half of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we enter into exclusive and non-exclusive license agreements for proprietary third-party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used in connection with our research activities. These license agreements typically provide for the payment by us of a license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fee but may also include terms providing for milestone payments or royalties for the development and/or commercialization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our drug products arising from the related research.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cannot be certain that issued patents we own or license will be enforceable or provide adequate protection or that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pending patent applications will result in issued patents. </w:t>
      </w:r>
      <w:r>
        <w:rPr>
          <w:rFonts w:ascii="Times New Roman;serif" w:hAnsi="Times New Roman;serif"/>
          <w:b w:val="false"/>
          <w:i w:val="false"/>
          <w:caps w:val="false"/>
          <w:smallCaps w:val="false"/>
          <w:strike w:val="false"/>
          <w:dstrike w:val="false"/>
          <w:sz w:val="20"/>
          <w:u w:val="none"/>
          <w:effect w:val="none"/>
          <w:shd w:fill="FFFFFF" w:val="clear"/>
        </w:rPr>
        <w:t xml:space="preserve">The existence of patents does not guarantee our right to practice the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patented technology or commercialize the patented product. Litigation, interferences, oppositions, </w:t>
      </w:r>
      <w:r>
        <w:rPr>
          <w:rFonts w:ascii="Times New Roman;serif" w:hAnsi="Times New Roman;serif"/>
          <w:b w:val="false"/>
          <w:i/>
          <w:sz w:val="20"/>
        </w:rPr>
        <w:t>inter partes</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reviews,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administrative challenges or other similar types of proceedings may be necessary in some instances to determine the validity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scope of certain patents, regulatory exclusivities or other proprietary rights, and in other instances to determine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validity, scope or non-infringement of intellectual property rights that may be claimed by third parties to be pertinent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manufacture, use or sale of our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 market and sell our approved products and advance our product candidates through clinical development toward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commercialization, we continue to build and maintain our supply chain and quality assurance resources. We rely on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and a global network of third parties to manufacture and distribute our product candidates for clinical trials,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our products for commercial sale and post-approval clinical trials. In addition to establishing supply chains for newly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approved products, we must adapt our supply chains for existing products to increase scale of production or to include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 formulations. We are focused on ensuring the stability of the supply chains for our current products, including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 medicines, CASGEVY, and JOURNAVX, and for our pipeline programs. We are also focused on identifying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ensuring efficient manufacturing and delivery processes for the biologics and cell and genetic therapies we are developing,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including our stem cell therapy program for T1D, and biologics manufacturing for povetacicept.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established our own small molecule manufacturing capabilities in Boston, which we use for clinical trial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supplies, including certain manufacturing steps related to our commercial supply of TRIKAFTA/KAFTRIO.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 to continue to rely on third parties to meet our commercial supply needs and a significant portion of our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supply needs for the foreseeable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supply chain for sourcing raw materials and manufacturing our products and product candidates, including obtaining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necessary supplies, is a multi-step, global endeavor. In general, these raw materials and other necessary supplies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available from multiple sources. Third-party contract manufacturers, including some based in China, perform different parts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manufacturing process. Contract manufacturers supply us with raw materials, convert these raw materials into drug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substance and/or convert the drug substance or product into final dosage form. In addition, third parties assist us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packaging, warehousing, and global distribution of our products. Establishing and managing this global supply chain for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products and product candidates requires a significant financial commitment and the creation and maintenance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numerous third-party contractual relationships. We have established and we maintain second sources for the vast majority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commercial products, including active ingredients, drug product, and finished dosage form packaging. Similarly,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commercial manufacturing for the vast majority of our small molecule drug products is in the U.S.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manufacturing processes for biologics and cell and genetic therapies are more complex than those required for small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molecule drugs and require different systems, equipment, facilities, and expertise. Additionally, we are unable to utilize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single process for all of our biologics and cell and genetic therapies; they must be customized for each program and therapy.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investing and plan to continue to invest significant resources in expanding and strengthening our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infrastructure and capabilities, such as current Good Manufacturing Practices (“cGMP”) clinical manufacturing, both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independently and through third-party networks, in an effort to develop and commercialize our biologics and cell and genetic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therapies. We have secured agreements to meet our current demands for these products and product candidates. We continue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evaluate additional suppliers for all of our late-stage clinical programs for additional capacity and redundancy to support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supply.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rely on third-party manufacturers to produce or process cell culture reagents and gene-editing components,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Cas9 protein and guide RNA molecules, for clinical trials and commercial supply of CASGEVY, and to generate gene-edited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cells to supply CASGEVY. The manufacturing process for CASGEVY involves a number of steps prior to the final infusion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drug product into patients. Following mobilization and collection of blood cells from the patient, cells are transferred to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site where HSPCs are purified and CRISPR/Cas9 gene-editing is performed. The edited cellular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called CASGEVY, is frozen and transported back to the authorized treatment center where it is stored prior to infusion into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patient. Each step must be completed successfully, and in a timely manner, requiring coordination between us, authorized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treatment centers, third-party manufacturers and shipping vendors. We are making investments to enhance the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process, to secure additional capacity, and to coordinate manufacturing, testing, and logistics activities at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larger scale across multiple facilities to serve the geographies in which we are treating and expect to treat additional people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CASGEVY.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have established cell therapy manufacturing capabilities at our facilities in the Boston area to supply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and potentially commercial quantities of our cell therapies as our needs evolve, including our plans to utilize our own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capabilities in Boston for additional commercial supply of CASGEVY. To further expand our ability to supply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and potentially commercial quantities of our cell therapies, we have a strategic agreement with Lonza to support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 of T1D cell therapy product candidates. We also rely on third-party manufacturers to produce drug substance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finished drug product for clinical trials for povetacicept. In addition, we have obligations to supply product to global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that support the development and commercialization of povetacicept.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developed systems and processes to track, monitor, and oversee our and our third-party manufacturers’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activities, including a quality assurance program intended to ensure that our third-party manufacturers comply with cGMP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foreign jurisdictional equivalents when applicable. We devote substantial time, resources, and effort in the areas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production, quality control, and quality assurance to maintain cGMP compliance. We regularly evaluate the performance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third-party manufacturers with the objective of confirming their continuing capabilities to meet our needs compliantly,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efficiently, and economically. Manufacturing facilities, both foreign and domestic, are subject to inspections by or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authority of the FDA and other U.S. and foreign government authorities. Although we actively engage with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authorities, the timing of inspections and regulatory approvals for each of these facilities is the remit of the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manufacturer and not within our control and may be delayed for a number of reasons.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COMPETITION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pharmaceutical industry is characterized by extensive research efforts, rapid technological progress, and intense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competition. There are many public and private companies, including pharmaceutical companies and biotechnology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companies, engaged in developing products for the indications our medicines are approved to treat and the therapeutic areas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targeting with our research and development activities. Potential competitors also include academic institutions,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agencies, other public and private research organizations and charitable venture philanthropy organizations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conduct research, seek patent protection and/or establish collaborative arrangements for research,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and commercialization. Mergers and acquisitions in the pharmaceutical, biotechnology and gene therapy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industries may result in a larger concentration of resources among a smaller number of our competitors. Some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competitors may have substantially greater financial, technical, sales and marketing, and human resources than we 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Competition may be based, among other things, on efficacy, safety, availability, patient convenience, frequency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dosing, ease of use, delivery devices and overall patient experience; formulary placement, price, payer coverage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rates; regulatory approvals and exclusivity; patent and other intellectual property positions; marketing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effectiveness; and research and development of new products, processes, modalities, indications, and uses. Early market entry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rapid patient access can also be important to achieve product acceptance and success. Accordingly, the relative speed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which we can develop therapies, complete the testing and approval process, and supply commercial quantities of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therapies will have a significant impact on our competitive position.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therapies must compete with other branded or generic products already on the market or those that are developed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future. The introduction of new products or technologies, including the development of new processes or technologies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competitors or new information about existing products or technologies, results in increased competition for our marketed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and pricing pressure on our marketed products. For example, the number of compounds available to treat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particular disease typically increases over time and can result in slowed sales growth or reduced sales of our products in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 area. The development of new or improved treatment options could eliminate the use of our medicines or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 the utility and application of ongoing clinical trials for our product candidates. Similarly, developments of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standards of care practices, treatment options or cures for the diseases our medicines treat could have similar impacts.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our long-term competitive success depends on discovering and developing or acquiring transformative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medicines for people with serious diseases and continuously improving the productivity of our operations in a highly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competitive environment. There can be no assurance that our efforts will result in commercially successful medicines, and it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is possible that our medicines will be, or will become, uncompetitive from time to time. See also </w:t>
      </w:r>
      <w:r>
        <w:rPr>
          <w:rFonts w:ascii="Times New Roman;serif" w:hAnsi="Times New Roman;serif"/>
          <w:b w:val="false"/>
          <w:i/>
          <w:sz w:val="20"/>
        </w:rPr>
        <w:t xml:space="preserve">Item 1A., Risk Factors – </w:t>
      </w:r>
    </w:p>
    <w:p>
      <w:pPr>
        <w:pStyle w:val="TextBody"/>
        <w:bidi w:val="0"/>
        <w:spacing w:lineRule="atLeast" w:line="200" w:before="0" w:after="0"/>
        <w:jc w:val="left"/>
        <w:rPr/>
      </w:pPr>
      <w:r>
        <w:rPr/>
        <w:t>“</w:t>
      </w:r>
      <w:r>
        <w:rPr>
          <w:rFonts w:ascii="Times New Roman;serif" w:hAnsi="Times New Roman;serif"/>
          <w:b w:val="false"/>
          <w:i/>
          <w:sz w:val="20"/>
        </w:rPr>
        <w:t xml:space="preserve">Competing products and technological advances from our competitors may negatively affect our business and market </w:t>
      </w:r>
    </w:p>
    <w:p>
      <w:pPr>
        <w:pStyle w:val="TextBody"/>
        <w:bidi w:val="0"/>
        <w:spacing w:lineRule="atLeast" w:line="200" w:before="0" w:after="0"/>
        <w:jc w:val="left"/>
        <w:rPr/>
      </w:pPr>
      <w:r>
        <w:rPr>
          <w:rFonts w:ascii="Times New Roman;serif" w:hAnsi="Times New Roman;serif"/>
          <w:b w:val="false"/>
          <w:i/>
          <w:sz w:val="20"/>
        </w:rPr>
        <w:t xml:space="preserve">position.” </w:t>
      </w:r>
      <w:r>
        <w:rPr>
          <w:rFonts w:ascii="Times New Roman;serif" w:hAnsi="Times New Roman;serif"/>
          <w:b w:val="false"/>
          <w:i w:val="false"/>
          <w:caps w:val="false"/>
          <w:smallCaps w:val="false"/>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GOVERNMENT REGULATION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operations and activities are subject to extensive regulation by numerous government authorities in the U.S., Europe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other countries, including with respect to the testing, manufacture, labeling, storage, record keeping, approval, pricing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price reporting, and advertising and promotion of our products.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Regulations Concerning Product Development and Approval</w:t>
      </w:r>
    </w:p>
    <w:p>
      <w:pPr>
        <w:pStyle w:val="TextBody"/>
        <w:bidi w:val="0"/>
        <w:spacing w:lineRule="atLeast" w:line="200" w:before="0" w:after="0"/>
        <w:jc w:val="left"/>
        <w:rPr/>
      </w:pPr>
      <w:r>
        <w:rPr>
          <w:rFonts w:ascii="Times New Roman;serif" w:hAnsi="Times New Roman;serif"/>
          <w:b w:val="false"/>
          <w:i/>
          <w:sz w:val="20"/>
        </w:rPr>
        <w:t>United States</w:t>
      </w:r>
      <w:r>
        <w:rPr>
          <w:rFonts w:ascii="Times New Roman;serif" w:hAnsi="Times New Roman;serif"/>
          <w:b w:val="false"/>
          <w:i w:val="false"/>
          <w:caps w:val="false"/>
          <w:smallCaps w:val="false"/>
          <w:sz w:val="20"/>
        </w:rPr>
        <w:t xml:space="preserve">. The process for obtaining regulatory approvals to market a new pharmaceutical product, or an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indication of an existing product, requires substantial effort and financial resources and takes several years to complete.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applicant must complete preclinical tests and submit protocols to the FDA before commencing clinical trials. Clinical trials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intended to establish the safety and efficacy of the pharmaceutical product and typically are conducted in sequential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phases, although the phases may overlap or be combined. If the required clinical testing is successful, the results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submitted to the FDA in the form of an NDA or BLA requesting approval to market the product for one or more indications.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FDA reviews an NDA or BLA to determine whether a product is safe and effective for its intended use and whether 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manufacturing is compliant with cGMP.</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FDA can employ several tools to facilitate the development of certain drugs or expedite certain applications,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fast track designation, Breakthrough Therapy designation, regenerative medicine advanced therapy designation,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priority review, accelerated approval, incentives for orphan drugs developed for rare diseases and others.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with regulatory requirements is assured through periodic, announced or unannounced inspections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FDA and other regulatory authorities, and these inspections associated with clinical development may include the sponsor,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investigator sites, laboratories, hospitals and manufacturing facilities of our subcontractors or other third-party manufacturers.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Failure to comply with applicable regulatory requirements can result in enforcement action by the FDA, including rejection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an NDA or BLA.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Even if an NDA or a BLA receives approval, the applicant must comply with post-approval requirements. For example,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holders of an approval must report adverse reactions, provide updated safety and efficacy information and comply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concerning advertising and promotional materials and activities. Also, quality control and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must continue to conform to cGMP after approval, and certain changes to the manufacturing procedures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finished product must be submitted and approved by the FDA prior to implementation. The FDA periodically inspects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facilities to assess compliance with cGMP, which imposes extensive procedural and record keeping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In addition, as a condition of approval, the FDA may require post-marketing testing and surveillance to further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assess and monitor the product's safety or efficacy after commercialization, which may require additional clinical trials,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 registries, observational data or additional work on chemistry, manufacturing and controls. Any post-approval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obligations, and the cost of complying with such obligations, could expand in the future. Further, the FDA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continues to regulate product labeling and prohibits the promotion of products for unapproved or “off-label” uses along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labeling restrictions.</w:t>
      </w:r>
    </w:p>
    <w:p>
      <w:pPr>
        <w:pStyle w:val="TextBody"/>
        <w:bidi w:val="0"/>
        <w:spacing w:lineRule="atLeast" w:line="200" w:before="0" w:after="0"/>
        <w:jc w:val="left"/>
        <w:rPr/>
      </w:pPr>
      <w:r>
        <w:rPr>
          <w:rFonts w:ascii="Times New Roman;serif" w:hAnsi="Times New Roman;serif"/>
          <w:b w:val="false"/>
          <w:i/>
          <w:sz w:val="20"/>
        </w:rPr>
        <w:t>Outside the United States</w:t>
      </w:r>
      <w:r>
        <w:rPr>
          <w:rFonts w:ascii="Times New Roman;serif" w:hAnsi="Times New Roman;serif"/>
          <w:b w:val="false"/>
          <w:i w:val="false"/>
          <w:caps w:val="false"/>
          <w:smallCaps w:val="false"/>
          <w:sz w:val="20"/>
        </w:rPr>
        <w:t xml:space="preserve">. We are subject to similar regulatory requirements outside the United States for approval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of pharmaceutical products. We must obtain approval of a clinical trial application or product from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supervising regulatory authorities before it can commence clinical trials or marketing of the product in target markets.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 requirements and process for each country can vary, and the time required to obtain approval may be longer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shorter than that required for FDA approval in the United States. For example, we may submit marketing authorizations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E.U. under either a centralized or decentralized procedure. The centralized procedure is mandatory for the approval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biotechnology products and many pharmaceutical products and provides for a single marketing authorization that is valid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E.U. member states. Under the centralized procedure, a single marketing authorization application is submitted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European Medicines Agency. After the agency evaluates the application, it makes a recommendation to the European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Commission, which then makes the final determination on whether to approve the application. The decentralized procedure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provides for mutual recognition of individual national approval decisions and is available for products that are not subject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centralized procedure.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April 2023, the European Commission adopted a proposal to revise the E.U. pharmaceutical legislation. In April 2024,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European Parliament introduced amendments to the European Commission’s proposal. The legislative process remains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ongoing, with several stages still required before the reform can receive final approval. Once completed, the reform is likely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be the most comprehensive overhaul of E.U.’s medicines regulation in over 20 years, with a wide range of impacts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on approval procedures, regulatory data protection, and environmental protection measures. Once approved,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provisions of the reform could potentially have an adverse impact on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requirements governing the conduct of clinical trials and product licensing also vary. In addition, post-approval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obligations such as adverse event reporting and cGMP compliance generally apply and may vary by country.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example, after a marketing authorization has been granted in the E.U., periodic safety reports must be submitted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pharmacovigilance measures may be required.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Regulations Concerning Pricing and Reimbursement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of our products depend, to a large degree, on the extent to which our products will be reimbursed by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payors, such as government health programs, commercial insurance companies, and managed health care organizations.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Increasingly, these third-party payors are becoming stricter in the ways they evaluate and reimburse medical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Additionally, the containment of health care costs has become a priority of many governments, and the prices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drugs have been a focus in this effort. The U.S. government, state legislatures and foreign governments have shown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interest in implementing cost-containment programs, including price controls, restrictions on reimbursement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for substitution of generic products. Adoption of price controls and cost-containment measures, and adoption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more restrictive policies in jurisdictions with existing controls and measures, could limit our revenues. Decisions by third-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party payors to not cover a product could reduce physician usage of the product.</w:t>
      </w:r>
    </w:p>
    <w:p>
      <w:pPr>
        <w:pStyle w:val="TextBody"/>
        <w:bidi w:val="0"/>
        <w:spacing w:lineRule="atLeast" w:line="200" w:before="0" w:after="0"/>
        <w:jc w:val="left"/>
        <w:rPr/>
      </w:pPr>
      <w:r>
        <w:rPr>
          <w:rFonts w:ascii="Times New Roman;serif" w:hAnsi="Times New Roman;serif"/>
          <w:b w:val="false"/>
          <w:i/>
          <w:sz w:val="20"/>
        </w:rPr>
        <w:t>United States</w:t>
      </w:r>
      <w:r>
        <w:rPr>
          <w:rFonts w:ascii="Times New Roman;serif" w:hAnsi="Times New Roman;serif"/>
          <w:b w:val="false"/>
          <w:i w:val="false"/>
          <w:caps w:val="false"/>
          <w:smallCaps w:val="false"/>
          <w:sz w:val="20"/>
        </w:rPr>
        <w:t xml:space="preserve">. In the U.S., we participate in the Medicaid Drug Rebate Program, Medicare, and other governmental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pricing programs. Medicaid is a joint federal and state program that is administered by the states for low-income and disabled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beneficiaries. Under the Medicaid Drug Rebate program, we are required to pay a rebate to each state Medicaid program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covered outpatient drugs, which includes select inpatient drugs for which there is “direct reimbursement.” Medicaid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rebates are based on pricing data reported by us on a monthly and quarterly basis to CMS, the federal agency that administers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Medicaid and Medicare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company that participates in the Medicaid Drug Rebate Program also must participate in the 340B drug pricing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(the “340B program”), and the Federal Supply Schedule (“FSS”) pricing program. The 340B program, which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administered by the Health Resources and Services Administration, requires participating companies to agree to charge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statutorily defined “covered entities” no more than the 340B “ceiling price” for covered outpatient drugs. The 340B ceiling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 is calculated using a statutory formula, which is based on pricing data calculated under the Medicaid Drug Rebate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The FSS pricing program, which is administered by the Department of Veterans Affairs (“VA”), also requires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participating companies to extend discounted prices to the VA, Department of Defense, Coast Guard, and Public Health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 Similar to the 340B program, FSS prices are calculated utilizing pricing data reported by us to the VA on a quarterly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annual basis.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Medicare is a federal program that is administered by the federal government. The program covers individuals age 65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over as well as those with certain disabilities. Medicare Part A generally covers certain inpatient hospital services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eligible beneficiaries. Prescription drugs that are used as part of an inpatient hospital stay will be covered by Medicare Part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these products typically are paid as part of a bundled or composite rate (e.g., diagnosis related group).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Medicare Part D provides coverage to enrolled Medicare patients for self-administered drugs (i.e., drugs that are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administered by a physician). Medicare Part D is administered by private prescription drug plans approved by the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Subject to certain statutory parameters, each drug plan establishes its own Medicare Part D formulary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prescription drug coverage and pricing, which the drug plan may modify from time-to-time. The prescription drug plans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negotiate pricing with manufacturers and pharmacies, and may condition formulary placement on the availability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manufacturer discounts.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government has shown significant interest in implementing cost-containment programs for medicines and has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enacted reforms at the federal level designed to, among other things, modify prescription drug reimbursement amounts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methodologies, and otherwise control health care costs. For example, the Patient Protection and Affordable Care 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(“ACA”) was enacted in March 2010 and was designed to expand coverage for the uninsured while at the same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containing overall health care costs. With regard to pharmaceutical products, among other things, the ACA was designed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expand and increase manufacturer rebates for drugs covered under Medicaid programs, impose an annual fee on branded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pharmaceutical manufacturers, subject biological products to potential competition by lower-cost biosimilars, and make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to the coverage requirements under the Medicare Part D program. Additionally, in August 2022, the Inflation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Reduction Act (“IRA”) was enacted, establishing a Medicare Drug Price Negotiation Program, a Medicare inflationary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rebate, and a redesign of the Part D benefit structure. Certain drugs, including our CF medicines and CASGEVY, currently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excluded from the IRA negotiation program. Nevertheless, other elements of the IRA may have a material impact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including the redesign of the Part D benefit and the Manufacturer Discount Program, which requires manufacturers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take on more of the beneficiary cost previously subsidized by the federal government through the application of increased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 discounts.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anticipate that the U.S. government will continue to engage in activities seeking to address drug pricing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Furthermore, certain states have enacted laws establishing Prescription Drug Affordability Boards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(“PDABs”). Some state PDABs, including those in Colorado, Maryland, Washington, and Minnesota, either have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authority or have defined a pathway pursuant to which they may be granted the authority to establish upper payment limits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prescription drugs. In certain states, there is pending litigation that would establish a PDAB or expand the authority of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existing PDAB. </w:t>
      </w:r>
      <w:r>
        <w:rPr>
          <w:rFonts w:ascii="Times New Roman;serif" w:hAnsi="Times New Roman;serif"/>
          <w:b w:val="false"/>
          <w:i w:val="false"/>
          <w:caps w:val="false"/>
          <w:smallCaps w:val="false"/>
          <w:strike w:val="false"/>
          <w:dstrike w:val="false"/>
          <w:sz w:val="20"/>
          <w:u w:val="none"/>
          <w:effect w:val="none"/>
        </w:rPr>
        <w:t xml:space="preserve">Additionally, the U.S. government continues to focus on obtaining most-favored-nation pricing on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prescription drug prices in government programs. For example, CMS recently issued a proposed rule called the Guarding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 Medicare Against Rising Drug Costs Model (“GUARD”). GUARD is a proposed mandatory model that would assess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rebates for certain drugs payable under Medicare Part D if the prices exceed those paid in economically comparable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countries. While there is significant uncertainty around the potential implementation of GUARD and related executive orders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rulemaking, implementation of mandatory initiatives could result in reduced pricing and reimbursement for our products.</w:t>
      </w:r>
    </w:p>
    <w:p>
      <w:pPr>
        <w:pStyle w:val="TextBody"/>
        <w:bidi w:val="0"/>
        <w:spacing w:lineRule="atLeast" w:line="200" w:before="0" w:after="0"/>
        <w:jc w:val="left"/>
        <w:rPr/>
      </w:pPr>
      <w:r>
        <w:rPr>
          <w:rFonts w:ascii="Times New Roman;serif" w:hAnsi="Times New Roman;serif"/>
          <w:b w:val="false"/>
          <w:i/>
          <w:sz w:val="20"/>
        </w:rPr>
        <w:t>Outside the United States</w:t>
      </w:r>
      <w:r>
        <w:rPr>
          <w:rFonts w:ascii="Times New Roman;serif" w:hAnsi="Times New Roman;serif"/>
          <w:b w:val="false"/>
          <w:i w:val="false"/>
          <w:caps w:val="false"/>
          <w:smallCaps w:val="false"/>
          <w:sz w:val="20"/>
        </w:rPr>
        <w:t xml:space="preserve">. In Europe and other foreign jurisdictions, the success of our products depends largely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obtaining and maintaining government reimbursement, because patients are generally unable to access prescription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pharmaceutical products that are not reimbursed by their governments. In some countries, such as Germany, commercial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of a new product may begin while pricing and reimbursement terms are under discussion. In other countries, a company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must complete reimbursement negotiations prior to the commencement of commercial supply of the pharmaceutical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requirements governing drug pricing vary widely country-by-country and region-by-region. For example,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states of the E.U. can restrict the range of drugs for which their national health insurance systems provide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and can control the prices of prescription drugs. Many countries in the E.U. also attempt to contain drug costs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engaging in some form of reference pricing in which authorities examine pre-determined internal or external markets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published prices of a product or national class of drugs. In addition, many ex-U.S. government payors require companies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health economic assessments of products, which are evaluated by government agencies set up for this purpose.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state may approve a specific price for the drug, or it may instead adopt a system of direct or indirect controls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amount of money that a company may receive for supply of a drug. Countries also may consider increasing mandatory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discounts over time in an attempt to manage increased demands on healthcare budgets. Reimbursement discussions in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countries often result in a reimbursement price that is lower than the net price that companies can obtain for the product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reimbursement discussions may take a significant period of time resulting in commercialization delays.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countries where reimbursement has not yet been obtained, or where there are a limited number of eligible people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medicines or therapies are unregistered, the governments of such countries may agree to purchase our medicines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therapies on an unlicensed and/or named patient basis. Reimbursement for our products cannot be assured because a country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region may only provide for reimbursement on terms that we do not deem 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many governments outside of the U.S. have introduced or are in the process of introducing legislation focusing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cost containment measures in the pharmaceutical industry. The impact of these laws where finalized, the final form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under consideration, and their relevant practical application, are unknown at this time, but may lead to lower prices,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paybacks, or other forms of discounts or special taxes. Reforms in our product markets, including those that may stem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periods of uneven economic growth or downturns or uncertainty, or as a result of high inflation, emergence, or escalation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responses to, international tension and conflicts, or government budgeting priorities, may continue to result in added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pressure on pricing, access, and reimbursement for our products.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Other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manufacturing process for pharmaceutical products is highly regulated and regulators may shut down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facilities that they observe are not complying with regulations. We, our commercial manufacturing organizations (“CMOs”)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corporate partners are subject to cGMP, which are extensive regulations governing manufacturing processes, stability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testing, record keeping and quality standards as defined by FDA and EMA. Similar regulations are in effect in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Suppliers of key components and materials must be named in the NDA or marketing authorization application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filed with the regulatory authority for any product candidate for which we are seeking marketing approval, and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delays can occur if the qualification of a new supplier is required. Even after our facilities or a third-party supplier is qualified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the regulatory authority, investment and effort must continue to be expended in the areas of production and quality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maintain full compliance with applicable regulatory requirements, including cGMP. Our manufacturing operations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suppliers are subject to regular periodic inspections by regulatory authorities following initial approval.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Pharmaceutical companies must also monitor information on side effects and adverse events reported during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studies and after marketing approval and report such information and events to regulatory agencies. Non-compliance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safety reporting requirements may result in civil or criminal penalties. Side effects or adverse events that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reported during clinical trials can delay, impede or prevent marketing approval. Based on new safety information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emerges after approval, the FDA can mandate product labeling changes, impose risk evaluation and mitigation strategies,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 new post-marketing studies (including additional clinical trials) or suspend or withdraw approval of the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requirements may affect our ability to maintain marketing approval of our products or require us to make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expenditures to obtain or maintain such approvals.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Pharmaceutical companies are also subject to various laws pertaining to healthcare “fraud and abuse,” including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federal Anti-Kickback Statute (“AKS”), the False Claims Act (“FCA”), and other state and federal laws and regulations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outside of the U.S. In the U.S., the Anti-Kickback Statute generally makes it illegal to knowingly and willfully solicit,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offer, receive or pay any remuneration in return for or to induce the referral of business, including the purchase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prescription of a particular drug that is reimbursed by a state or federal health care program. The FCA prohibits knowingly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willingly presenting or causing to be presented for payment to third-party payors (including Medicare and Medicaid),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claims for reimbursed drugs or services that are false or fraudulent, claims for items or services not provided as claimed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claims for medically unnecessary items or services. Violations of fraud and abuse laws may be punishable by criminal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civil sanctions, including fines and civil monetary penalties, as well as by the possibility of exclusion from federal healthcare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programs (including Medicare and Medicaid). Liability under the FCA may also arise when a violation of certain laws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related to the underlying products (e.g., violations regarding improper promotional activity,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or unlawful payments) contributes to the submission of a false claim. If we were subject to allegations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concerning, or convicted of violating, these laws, our business could be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and regulations also have been enacted by the federal government and various states to regulate the sales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practices of pharmaceutical manufacturers. The laws and regulations generally limit financial interactions between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manufacturers and health care providers, require manufacturers to adopt certain compliance standards or require disclosure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government and public of such interactions. The laws include U.S. federal and state “sunshine” provisions. The federal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sunshine provisions apply to pharmaceutical manufacturers with products reimbursed under certain government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require those manufacturers to disclose annually to the federal government (for re-disclosure to the public)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and other transfers of value made to physicians, physicians assistants, advanced practice registered nurses,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teaching hospitals. State laws may also require disclosure of pharmaceutical pricing information and marketing expenditures.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Many of these laws and regulations contain requirements that are subject to interpretation. Outside the U.S., other countries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implemented laws and regulations limiting financial interactions between manufacturers and health care providers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providing requirements for disclosure of financial interactions with healthcare providers and additional countries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consider or implement such laws.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various federal and foreign laws that govern our international business practices with respect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to government officials. Those laws include the U.S. Foreign Corrupt Practices Act (“FCPA”), which prohibits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companies and their representatives from paying, offering to pay, promising, or authorizing the payment of anything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to any foreign government official, government staff member, political party, or political candidate for the purpose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obtaining or retaining business or to otherwise obtain favorable treatment or influence a person working in an official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capacity. In many countries, the health care professionals we regularly interact with may meet the FCPA’s definition of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government official. We are also subject to U.K. Bribery Act 2010 (“the Bribery Act”), which proscribes giving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receiving bribes in the public and private sectors, bribing a foreign public official, and failing to have adequate procedures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prevent employees and other agents from giving bribes. U.S. companies that conduct business in the U.K. generally will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to the Bribery Act.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extensive privacy and data protection laws and regulations concerning the collection, use and sharing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personal data. We routinely collect and use sensitive personal information relating to health. The legislative, regulatory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litigation landscape for privacy and data protection requirements is rapidly evolving and changing, and may limit our 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use data globally or across borders. For example, the E.U. General Data Protection Regulation (“GDPR”) imposes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obligations on us with respect to our processing of personal data and the cross-border transfer of such data, including higher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standards of obtaining consent, more robust transparency requirements, data breach notification requirements, requirements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contractual language with our data processors, and stronger individual data rights. In addition, several U.S. jurisdictions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similar data privacy laws, such as the California Consumer Privacy Act and California Privacy Rights Act.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protection requirements are not universal and can conflict between jurisdictions. There has also been an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enforcement actions from the Federal Trade Commission, with a specific focus on companies operating health-related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websites. Compliance with these laws and regulations is made more complex by the lack of consistent standards, common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definitions, or clear regulatory expectations. At the same time, enforcement of these laws and regulations is increasing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litigation, fines, and penalties are also becoming more common.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as we expand our pipeline and contemplate different approaches that may incorporate the use of medical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devices, such approaches may necessitate compliance with regulatory laws applicable to medical devices, including those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governing the testing, manufacture, approval, distribution, and marketing of medical devices. Furthermore, the extent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government regulation, which might result from future legislation or administrative action, cannot accurately be predicted.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EMPLOYEES AND HUMAN CAPITAL MANAGEMENT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had approximately 6,400 employees. Of these employees, approximately 5,200 were 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U.S. and approximately 1,200 were based outside the U.S. None of our U.S. employees are covered by a collective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bargaining agreement. A small number of employees outside the U.S. are covered by such agreements due to local law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requirements. We consider our relations with our employees to be good.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rely on skilled, experienced, and innovative employees to conduct the operations of our company. The biotechnology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is very competitive, and recruiting and retaining such employees is important to the continued success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We are committed to building an outstanding, committed, and passionate team, and we focus on a culture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values all employees. We focus on recruiting, retaining, and developing qualified and talented employees from a range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backgrounds to conduct our research, development, commercial, and other business activities because we believe that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employee brings unique perspectives and strengths, and by embracing these strengths, we can do our best work for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support our employees through a variety of initiatives including learning resources and forums that promote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belonging in our workplaces; five global employee resource networks open to all employees that promote connectivity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 across levels and functions; and investments that advance access to opportunity in our surrounding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communities.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promote our employees’ continued well-being, we offer comprehensive benefits and resources, including those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focused on health and income protection, such as life insurance and retirement savings programs. We continue to promote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enhance wellness tools supporting our employees’ mental, social, physical and financial health. We continually review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augment our programs to include benefits that support the evolving needs of our workforce.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provide our employees with career development and advancement opportunities, including job rotations,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mentoring, and training. We are committed to identifying and developing our next generation of leaders, which is reflected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manager excellence and talent readiness programs designed for critical roles in our organization.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MATTERS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Financial Information and Significant Customers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operate in one segment, pharmaceuticals. Financial information about our revenue by product and significant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customers is set forth in </w:t>
      </w:r>
      <w:r>
        <w:rPr>
          <w:rFonts w:ascii="Times New Roman;serif" w:hAnsi="Times New Roman;serif"/>
          <w:b w:val="false"/>
          <w:i w:val="false"/>
          <w:caps w:val="false"/>
          <w:smallCaps w:val="false"/>
          <w:strike w:val="false"/>
          <w:dstrike w:val="false"/>
          <w:sz w:val="20"/>
          <w:u w:val="none"/>
          <w:effect w:val="none"/>
        </w:rPr>
        <w:t>Note Q, “Segment Information,”</w:t>
      </w:r>
      <w:r>
        <w:rPr>
          <w:caps w:val="false"/>
          <w:smallCaps w:val="false"/>
          <w:sz w:val="24"/>
        </w:rPr>
        <w:t xml:space="preserve"> </w:t>
      </w:r>
      <w:r>
        <w:rPr>
          <w:rFonts w:ascii="Times New Roman;serif" w:hAnsi="Times New Roman;serif"/>
          <w:b w:val="false"/>
          <w:i w:val="false"/>
          <w:caps w:val="false"/>
          <w:smallCaps w:val="false"/>
          <w:sz w:val="20"/>
        </w:rPr>
        <w:t xml:space="preserve">to our consolidated financial statements included in this Annual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 on Form 10-K.</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Information Available on the Internet</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Our internet address is </w:t>
      </w:r>
      <w:r>
        <w:rPr>
          <w:rFonts w:ascii="Times New Roman;serif" w:hAnsi="Times New Roman;serif"/>
          <w:b w:val="false"/>
          <w:i/>
          <w:sz w:val="20"/>
        </w:rPr>
        <w:t xml:space="preserve">www.vrtx.com. </w:t>
      </w:r>
      <w:r>
        <w:rPr>
          <w:rFonts w:ascii="Times New Roman;serif" w:hAnsi="Times New Roman;serif"/>
          <w:b w:val="false"/>
          <w:i w:val="false"/>
          <w:caps w:val="false"/>
          <w:smallCaps w:val="false"/>
          <w:sz w:val="20"/>
        </w:rPr>
        <w:t xml:space="preserve">Our annual reports on Form 10-K, quarterly reports on Form 10-Q and current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reports on Form 8-K, and all amendments to those reports, are available to you free of charge through the “Investors/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Information/SEC Filings” section of our website as soon as reasonably practicable after those materials have been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electronically filed with, or furnished to, the Securities and Exchange Commission.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Corporate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Vertex was incorporated in Massachusetts in 1989, and our principal executive offices are located at 50 Northern Avenue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Boston, Massachusetts 02210.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INFORMATION ABOUT OUR EXECUTIVE OFFICERS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The names, ages and positions held by our executive officers are as follows:</w:t>
      </w:r>
    </w:p>
    <w:tbl>
      <w:tblPr>
        <w:tblW w:w="9617" w:type="dxa"/>
        <w:jc w:val="left"/>
        <w:tblInd w:w="0" w:type="dxa"/>
        <w:tblLayout w:type="fixed"/>
        <w:tblCellMar>
          <w:top w:w="28" w:type="dxa"/>
          <w:left w:w="28" w:type="dxa"/>
          <w:bottom w:w="28" w:type="dxa"/>
          <w:right w:w="28" w:type="dxa"/>
        </w:tblCellMar>
      </w:tblPr>
      <w:tblGrid>
        <w:gridCol w:w="1360"/>
        <w:gridCol w:w="1205"/>
        <w:gridCol w:w="436"/>
        <w:gridCol w:w="6616"/>
      </w:tblGrid>
      <w:tr>
        <w:trPr/>
        <w:tc>
          <w:tcPr>
            <w:tcW w:w="13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4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66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Position</w:t>
            </w:r>
          </w:p>
        </w:tc>
      </w:tr>
      <w:tr>
        <w:trPr/>
        <w:tc>
          <w:tcPr>
            <w:tcW w:w="256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Reshma Kewalramani, M.D.</w:t>
            </w:r>
          </w:p>
        </w:tc>
        <w:tc>
          <w:tcPr>
            <w:tcW w:w="4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6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Executive Officer and President</w:t>
            </w:r>
          </w:p>
        </w:tc>
      </w:tr>
      <w:tr>
        <w:trPr/>
        <w:tc>
          <w:tcPr>
            <w:tcW w:w="2565" w:type="dxa"/>
            <w:gridSpan w:val="2"/>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Jeffrey M. Leiden, M.D., Ph.D.</w:t>
            </w:r>
          </w:p>
        </w:tc>
        <w:tc>
          <w:tcPr>
            <w:tcW w:w="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6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Chairman</w:t>
            </w:r>
          </w:p>
        </w:tc>
      </w:tr>
      <w:tr>
        <w:trPr/>
        <w:tc>
          <w:tcPr>
            <w:tcW w:w="2565"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 Morrow “Morrey”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Atkinson, III, Ph.D.</w:t>
            </w:r>
          </w:p>
        </w:tc>
        <w:tc>
          <w:tcPr>
            <w:tcW w:w="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c>
          <w:tcPr>
            <w:tcW w:w="6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Executive Vice President, Chief Technical Operations Officer, Head 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Biopharmaceutical Science and Manufacturing Operations</w:t>
            </w:r>
          </w:p>
        </w:tc>
      </w:tr>
      <w:tr>
        <w:trPr/>
        <w:tc>
          <w:tcPr>
            <w:tcW w:w="2565" w:type="dxa"/>
            <w:gridSpan w:val="2"/>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Jonathan Biller, J.D.</w:t>
            </w:r>
          </w:p>
        </w:tc>
        <w:tc>
          <w:tcPr>
            <w:tcW w:w="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6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Legal Officer</w:t>
            </w:r>
          </w:p>
        </w:tc>
      </w:tr>
      <w:tr>
        <w:trPr/>
        <w:tc>
          <w:tcPr>
            <w:tcW w:w="2565"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Carmen Bozic, M.D.</w:t>
            </w:r>
          </w:p>
        </w:tc>
        <w:tc>
          <w:tcPr>
            <w:tcW w:w="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6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Executive Vice President, Global Medicines Development and Medical Affairs,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and Chief Medical Officer</w:t>
            </w:r>
          </w:p>
        </w:tc>
      </w:tr>
      <w:tr>
        <w:trPr/>
        <w:tc>
          <w:tcPr>
            <w:tcW w:w="2565" w:type="dxa"/>
            <w:gridSpan w:val="2"/>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 Bunnage, D.Phil</w:t>
            </w:r>
          </w:p>
        </w:tc>
        <w:tc>
          <w:tcPr>
            <w:tcW w:w="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6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Scientific Officer</w:t>
            </w:r>
          </w:p>
        </w:tc>
      </w:tr>
      <w:tr>
        <w:trPr/>
        <w:tc>
          <w:tcPr>
            <w:tcW w:w="2565"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Duncan J. McKechnie</w:t>
            </w:r>
          </w:p>
        </w:tc>
        <w:tc>
          <w:tcPr>
            <w:tcW w:w="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6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Commercial Officer</w:t>
            </w:r>
          </w:p>
        </w:tc>
      </w:tr>
      <w:tr>
        <w:trPr/>
        <w:tc>
          <w:tcPr>
            <w:tcW w:w="2565" w:type="dxa"/>
            <w:gridSpan w:val="2"/>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Amit K. Sachdev, J.D.</w:t>
            </w:r>
          </w:p>
        </w:tc>
        <w:tc>
          <w:tcPr>
            <w:tcW w:w="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6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Patient and External Affairs Officer</w:t>
            </w:r>
          </w:p>
        </w:tc>
      </w:tr>
      <w:tr>
        <w:trPr/>
        <w:tc>
          <w:tcPr>
            <w:tcW w:w="2565"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Ourania “Nia” Tatsis, Ph.D.</w:t>
            </w:r>
          </w:p>
        </w:tc>
        <w:tc>
          <w:tcPr>
            <w:tcW w:w="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6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Regulatory and Quality Officer</w:t>
            </w:r>
          </w:p>
        </w:tc>
      </w:tr>
      <w:tr>
        <w:trPr/>
        <w:tc>
          <w:tcPr>
            <w:tcW w:w="2565" w:type="dxa"/>
            <w:gridSpan w:val="2"/>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F. Wagner, Jr.</w:t>
            </w:r>
          </w:p>
        </w:tc>
        <w:tc>
          <w:tcPr>
            <w:tcW w:w="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6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Executive Vice President, Chief Operating and Financial Officer</w:t>
            </w:r>
          </w:p>
        </w:tc>
      </w:tr>
      <w:tr>
        <w:trPr/>
        <w:tc>
          <w:tcPr>
            <w:tcW w:w="2565"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Kristen C. Ambrose, CPA</w:t>
            </w:r>
          </w:p>
        </w:tc>
        <w:tc>
          <w:tcPr>
            <w:tcW w:w="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6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Vice President, Chief Accounting Officer</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Kewalramani has been our Chief Executive Officer (CEO”) and President since April 2020 and a member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Board of Directors since February 2020. Dr. Kewalramani was our Executive Vice President and Chief Medical Officer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April 2018 through April 2020. She was our Senior Vice President, Late Development from February 2017 until April 2018.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Kewalramani also served on the board of Ginkgo Bioworks from September 2021 to June 2024. From August 2004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January 2017, she served in roles of increasing responsibility at Amgen Inc., most recently as Vice President and Head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Medical Organization. From 2014 through 2019, Dr. Kewalramani was the industry representative to the FDA’s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Endocrine and Metabolic Drug Advisory Committee. She completed her internship and residency in Internal Medicine at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Massachusetts General Hospital and her fellowship in Nephrology at the Massachusetts General Hospital and Brigham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Women’s Hospital combined program. Dr. Kewalramani holds a B.A. from Boston University and an M.D. from Boston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University School of Medicine. She is an alumna of the Harvard Business School, having completed the General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Leiden is our Executive Chairman, a position he has held since in April 2020. He was our Chief Executive Officer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President from 2012 through March 2020. He has been a member of our Board of Directors since July 2009,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Chairman of our Board of Directors since May 2012, and served as our lead independent director from October 2010 through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2011. Dr. Leiden was a Managing Director at Clarus Ventures, a life sciences venture capital firm, from 2006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January 2012. Dr. Leiden was President and Chief Operating Officer of Abbott Laboratories, Pharmaceuticals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Group, and a member of the Board of Directors of Abbott Laboratories from 2001 to 2006. From 1987 to 2000, Dr.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Leiden held several academic appointments, including the Rawson Professor of Medicine and Pathology and Chief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Cardiology and Director of the Cardiovascular Research Institute at the University of Chicago, the Elkan R. Blout Professor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Biological Sciences at the Harvard School of Public Health, and Professor of Medicine at Harvard Medical School. He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elected member of both the American Academy of Arts and Sciences and the Institute of Medicine of the National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Academy of Sciences. Dr. Leiden was a director and the non-executive Vice Chairman of the board of Shire plc, from 2006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January 2012, a director of Quest Diagnostics, from December 2014 to May 2019, and the Chairman of Revolution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Healthcare Acquisition Corp., from April 2021 to December 2022. Dr. Leiden received his M.D., Ph.D. and B.A. degrees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the University of Chicago.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Atkinson has been our Executive Vice President, Chief Technical Operations Officer, Head of Biopharmaceutical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Sciences and Manufacturing Operations since August 2023. He previously served as our Senior Vice President, Head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Manufacturing and Supply Chain since July 2020. Prior to joining us, Dr. Atkinson served in various roles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Bristol-Myers Squibb Co., including as Senior Vice President, Global Manufacturing Operations from September 2019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June 2020; Vice President and Integration Leader, Corporate Cell Therapy and Global Development and Manufacturing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January 2019 to September 2019; Vice President, Internal Manufacturing, Biologics from June 2017 to January 2019;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Vice President, Biologics Development and Clinical Manufacturing from 2012 to June 2017. Before Bristol-Myers Squibb,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 held various roles at Cook Pharmica, LLC (now owned by Novo Holdings) and Eli Lilly. Dr. Atkinson served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of the Board of Directors of 89bio, Inc. from February 2022 until October 2025, when it was acquired by Roche. Dr.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Atkinson holds a B.S. in Biology from Indiana University and a Ph.D. in Biological Sciences from Stanford University.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Mr. Biller has been our Executive Vice President, Chief Legal Officer since September 2022. From November 2019 until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 joined us, Mr. Biller served in several executive roles at Agios Pharmaceuticals, Inc., including Chief Legal Officer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most recently, Chief Financial Officer and Head of Corporate Affairs. Prior to Agios, he served as Executive Vice President,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Counsel at Celgene from July 2018 to November 2019, where he was responsible for their global legal function,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served as Senior Vice President, Tax and Treasury from 2011 to June 2018. Prior to Celgene, Mr. Biller was General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Counsel, Chief Tax Officer and Secretary at Bunge Limited, a global publicly traded agriculture and food company. Earlier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 career he held various leadership roles at Alcon, Inc. and was a partner at Hopkins &amp; Sutter and Foley &amp; Lardner. Mr.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Biller holds a B.A. from Brown University and a J.D. from Yale Law School.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Bozic is our Executive Vice President, Global Medicines Development and Medical Affairs, a position she has held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since October 2019, and she has been our Chief Medical Officer since April 2020. She was our Senior Vice President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Head of Global Clinical Development from May 2019 to October 2019. Prior to joining us, Dr. Bozic spent more than 20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years at Biogen Inc., a biotechnology company focused on neurological diseases, most recently as Senior Vice President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 Development and Portfolio Transformation from 2015 to May 2019 and as Senior Vice President of Clinical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Safety Sciences from 2013 to 2015. Dr. Bozic has served as the industry representative to the FDA’s Risk Communication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Advisory Committee, and was a member of PhRMA’s Clinical and Preclinical Development Committee and the Board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Managers at BioMotiv. She received her M.D., C.M., completed her residency, and was Chief Resident in Internal Medicine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McGill University. She completed her fellowship in Pulmonary and Critical Care Medicine at Brigham and Women’s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Hospital and was an Associate Physician at Beth Israel Deaconess Medical Center and Harvard Medical School before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joining the biopharmaceutical industry.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Bunnage is our Executive Vice President and Chief Scientific Officer, a position he has held since February 2026. 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was our Senior Vice President &amp; Head of Global Research from March 2024 through January 2026, our Senior 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President &amp; Head of Research from July 2021 to March 2024, and our Senior Vice President &amp; Site Head, Boston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August 2016 to July 2021. Prior to joining Vertex, Dr. Bunnage had a 20-year career at Pfizer Inc. where he held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positions of increasing responsibility, including Vice President, Worldwide Medicinal Chemistry and Head of Medicinal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Chemistry, Sandwich Laboratories. Dr. Bunnage is a Fellow of the Royal Society of Chemistry and a Fellow of the Royal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Society of Biology. He also serves as a visiting professor in chemistry at the University of Oxford, United Kingdom, and is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of the Strategic Advisory Board for the Department of Chemistry at the University of Durham, United Kingdom. Dr.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Bunnage received his B.Sc in Chemistry from the University of Durham and his D.Phil in Chemistry from the University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Oxford. He completed his postdoctoral research as a NATO Fellow at The Scripps Research Institute in La Jolla, California.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Mr. McKechnie is our Executive Vice President, Chief Commercial Officer, a position he has held since July 1,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Mr. McKechnie previously served as our Senior Vice President, Head of North America Commercial from October 2018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July 2025, and as our Vice President of Global Marketing from June 2013 to September 2018. Prior to joining Vertex, Mr.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McKechnie held positions of increasing responsibility at Novartis AG, including Vice President, Respiratory Franchise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January 2013 to June 2013; Vice President and Head Brand Maximization and Established Medicines from April 2012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April 2013; and Vice President, Cardiovascular Marketing from November 2008 to March 2012. Before Novartis, Mr.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McKechnie held various roles at GlaxoSmithKline plc. Mr. McKechnie holds a Business &amp; Marketing degree from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University of Plymouth in England.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Mr. Sachdev is our Executive Vice President, Chief Patient and External Affairs Officer, a role he has held since July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2023. From October 2019 to July 2023, he was our Executive Vice President, Chief Patient Officer. In addition, Mr. Sachdev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served in the role of Chief of Staff to the CEO from April 2020 to March 2023. He served as our Executive Vice President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Chief Regulatory Officer from January 2017 until September 2019, and as our Executive Vice President, Policy, Access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Value from October 2014 through December 2016. In 2010, he established our first international commercial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Canada. In 2007, he joined us as a Senior Vice President, to establish our government affairs and public policy activities,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well as our patient advocacy programs. Prior to joining us, Mr. Sachdev served as Executive Vice President, Health,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Biotechnology Industry Organization (BIO) and was the Deputy Commissioner for Policy at the FDA, where he also served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several other senior positions. Prior to the FDA, Mr. Sachdev served as Majority Counsel to the Committee on Energy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Commerce in the U.S. House of Representatives and practiced law at the American Chemistry Council, and subsequently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law firm of Ropes &amp; Gray LLP. He served as a member of the Board of Directors of Eiger BioPharmaceuticals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April 2019 to September 2024. Mr. Sachdev holds a B.S from Carnegie Mellon University and a J.D. from Emory University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School of Law.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 Tatsis is our Executive Vice President, Chief Regulatory and Quality Officer, a position she has held since August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2020. Previously, she was our Senior Vice President and Chief Regulatory Officer from October 2019 to August 2020,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Senior Vice President, Global Regulatory Affairs from September 2017 to October 2019. Prior to joining us, Dr. Tatsis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held positions of increasing responsibility at several pharmaceutical companies, including Sanofi, Stemnion, Pfizer,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Wyeth. Most recently, from 2014 to 2017, she was Vice President, Head of Global Regulatory Affairs, at the Sanofi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Genzyme Business Unit focused on Inflammation/Immunology, Rare Disease, Multiple Sclerosis, Ophthalmology,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Neurology, and Oncology/Immuno-Oncology. Dr. Tatsis also worked as an associate staff scientist and research fellow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Immunology and Vaccine Development at the Wistar Institute and completed a post-doctoral research fellowship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Immunology at Thomas Jefferson University. Dr. Tatsis has served as a member of the board of directors at Odyssey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since October 2025, and previously served on the board of directors of Verve Therapeutics from June 2024 until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July 2025, when it was acquired by Eli Lilly. She received her Ph.D. in Cell and Molecular Biology from the University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Vermont and holds a B.S. in Biology from Temple University.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Mr. Wagner is our Executive Vice President, Chief Operating &amp; Financial Officer, a position he has held since July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Mr. Wagner was our Executive Vice President, Chief Financial Officer from April 2019 through June 2025</w:t>
      </w:r>
      <w:r>
        <w:rPr>
          <w:rFonts w:ascii="Times New Roman;serif" w:hAnsi="Times New Roman;serif"/>
          <w:b w:val="false"/>
          <w:i w:val="false"/>
          <w:caps w:val="false"/>
          <w:smallCaps w:val="false"/>
          <w:sz w:val="20"/>
        </w:rPr>
        <w:t xml:space="preserve">. Prior to 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role at Vertex, Mr. Wagner was Chief Financial Officer and Executive Vice President, Finance, of Ortho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Diagnostics, a Carlyle Group portfolio company, from June 2015 to March 2019. In that role, he led the finance, accounting,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treasury, global financial systems, lender relations, and acquisitions and divestiture groups. From July 2012 to June 2015,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Mr. Wagner served as Executive Vice President, Chief Financial Officer of Bruker Corporation, a scientific instruments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manufacturer. Prior to that, Mr. Wagner served as Chief Financial Officer for Progress Software Corporation, a provider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enterprise software, and Millipore Corporation, a global provider of products and services in the life science tools market. Mr.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Wagner served as a director of Good Start Genetics, Inc., from April 2014 to August 2017 and served as a director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of the Audit Committee of Bruker Corporation from August 2010 to June 2012. He has served as a member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Board of Directors of The TJX Companies, Inc., since September 2023. Mr. Wagner holds a B.S. in Accounting from Boston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College and a M.B.A from Harvard Business School.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Ms. Ambrose is our Senior Vice President, Chief Accounting Officer, a position she has held since May 2021. 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Ambrose previously served as our Senior Vice President, Accounting, Tax, Treasury, Strategic Sourcing and Corporate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since March 2021. From February 2003 until she joined us, Ms. Ambrose held roles of increasing responsibility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Boston Scientific Corporation, a medical device company, most recently as Vice President of Finance and Controller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 Endoscopy Division from July 2019 to March 2021 and as Vice President of Global Internal Audit from February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2017 to June 2019. Prior to Boston Scientific Corporation, Ms. Ambrose served as an accountant at Ernst &amp; Young LLP. She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received her B.S. in Commerce from the University of Virginia and is a Certified Public Accountant.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1A. RISK FACTORS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Investing in our common stock involves a high degree of risk, and you should carefully consider the risks and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uncertainties described below in addition to the other information included or incorporated by reference in this Annual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Report on Form 10-K. If any of the following risks or uncertainties occur, our business, financial condition or results of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operations would likely suffer, possibly materially. In that case, the trading price of our common stock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Risks Related to Our Business and Products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Our success depends on our ability to develop and commercialize additional medicines.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invest significant resources in research and development to discover and develop transformative medicines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serious diseases. Product development is highly uncertain and expensive. Product candidates may appear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promising in research and development but may fail to reach commercial success for many reasons, including:</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failure to establish safety and efficacy through clinical trials;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failure to obtain marketing approval;</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inability to manufacture on economically feasible terms;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failure to gain and maintain market acceptance among physicians and patients or other members of the medical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community;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the failure to obtain adequate pricing or reimbursement levels from third-party payors or foreign governments;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competition based on, among other factors, safety, efficacy, patient convenience, pricing and reimbursement.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are not able to successfully develop and commercialize additional medicines, our business would be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harmed.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Our business is substantially dependent on the success of our CF medicines.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Substantially all our net product revenues have been derived from the sale of our CF medicines. We may be unable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sustain or increase revenues from sales of our CF medicines in the future for any number of reasons, including the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introduction of competitive products or the inability to successfully develop and commercialize next-generation medications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medicines to treat people with CF who cannot benefit from our current CF medicines. Our concentrated source of revenue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increases the risks associated with potential manufacturing or supply disruptions, safety issues that may be identified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 to our CF medicines, and failure to gain and/or maintain market acceptance or adequate pricing or reimbursement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CF medicines. If we are unable to sustain or increase revenues from sales of our CF medicines, or if we do not meet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expectations of investors, our business would be materially harmed and our ability to fund our operations could be adversely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affected.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are unable to successfully develop and commercialize medicines for acute and neuropathic pain, our business could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be materially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portion of the value attributed to our company by investors is based on the expected commercial success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JOURNAVX for acute pain and on our development programs for both acute and peripheral neuropathic pain. JOURNAVX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gain or maintain market acceptance among physicians, patients, or payors due to various factors, including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availability of lower-cost alternatives, and sales, marketing, pricing, and/or distribution challenges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introducing a product into a highly competitive market. Furthermore, we may not succeed in developing JOURNAVX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 indications or in advancing other product candidates, including NaV1.8 or NaV1.7 inhibitors, for the treatment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acute or peripheral neuropathic pain. Even if we obtain marketing approvals for these product candidates, they will face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competition and there can be no assurance of commercial success.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We may not be able to increase or maintain CASGEVY product revenues.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future commercial success of CASGEVY depends on physicians, patients, or payors accepting it as medically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useful, cost-effective, ethical, safe, and preferred with respect to current and potential future competitive therapies, and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payors providing adequate reimbursement. In addition to risks generally associated with the commercialization of medicines,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cell collection processes, manufacturing and other procedures required to manufacture and administer CASGEVY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more complex, resource-intensive, and operationally demanding than for small molecules. For example, the cost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CASGEVY as a percentage of revenue is significantly higher than for our CF medicines. Moreover, market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acceptance continues to be dependent in part on the prevalence and severity of side effects associated with the procedure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CASGEVY is administered, including those resulting from the myeloablative preconditioning regime. There can be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assurance that we will be able to increase or maintain our revenues from CASGEVY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Risks Related to Commercialization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We are subject to pricing and reimbursement pressures that could have a material adverse effect on our business,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revenues,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from our products depend, to a large degree, on the extent to which the products are purchased by customers,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wholesalers, pharmacies, and hospitals, and reimbursed by third-party payors, such as government health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insurers, and managed health care organizations. Increasingly, these third-party payors are becoming more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critical in evaluating and reimbursing medicines. The containment of health care costs continues to be a priority for many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governments, and drug pricing has been a focus in this effort. The U.S. federal government and state legislatures and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governments have shown significant and evolving interest in implementing cost-containment programs, including price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controls, restrictions on reimbursement, value-based and reference pricing, compulsory licensing, including the pursuit of so-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called “march in” rights, and mandatory substitution with generic products, all of which could limit the prices of, or access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products. Decisions by third-party payors to not cover a product or restrict access to a product may shift over time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reduce market acceptance of the product and limit product revenues. We must also compete to be placed on formularies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managed care providers, as exclusion of our products from a formulary would limit usage by managed care providers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patients.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U.S., pricing and access is primarily governed by practices of private managed care providers and institutional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governmental purchasers, federal laws and regulations related to Medicare and Medicaid, including the ACA and the IRA,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state activities, including the establishment of PDABs and price transparency rules. For example, in August 2023,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Colorado PDAB selected five drugs for an affordability review, including TRIKAFTA. Although the Colorado PDAB later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found TRIKAFTA to be ineligible for an upper payment limit we cannot predict whether future reviews by the Colorado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PDAB, or any other PDAB, will come to the same conclusion about TRIKAFTA or any of our other therapies, or the amount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any potential upper payment limit. Furthermore, changes to the health care system enacted as part of health care reform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 as well as increased purchasing power of entities that negotiate on behalf of Medicare, Medicaid, and private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payors, could result in further pricing pressures. F</w:t>
      </w:r>
      <w:r>
        <w:rPr>
          <w:rFonts w:ascii="Times New Roman;serif" w:hAnsi="Times New Roman;serif"/>
          <w:b w:val="false"/>
          <w:i w:val="false"/>
          <w:caps w:val="false"/>
          <w:smallCaps w:val="false"/>
          <w:strike w:val="false"/>
          <w:dstrike w:val="false"/>
          <w:sz w:val="20"/>
          <w:u w:val="none"/>
          <w:effect w:val="none"/>
        </w:rPr>
        <w:t>or example, initiatives by the U.S. government to impose most-favored-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nation pricing on U.S. prescription drug prices in government programs, including the recently proposed GUARD Model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CMS. While there is significant uncertainty around the related executive orders and rulemaking, mandatory initiatives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could result in reduced pricing and reimbursement for our products</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most markets outside of the U.S., the pricing and reimbursement medicines is subject to governmental control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governments are making greater efforts to reduce drug prices and limit drug spending. The reimbursement process in ex-U.S.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markets vary widely and can take a significant time to complete, and reimbursement decisions are made on a country-by-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country and region-by-region basis. Reimbursement for our products by governments, including the timing of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reimbursements, may also be affected by budgetary or political constraints, particularly in challenging economic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environments. We have experienced challenges in obtaining timely reimbursement for our products in various countries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outside the U.S., and our future revenues depend on maintaining such reimbursement. There is no assurance that coverage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reimbursement will continue for our current products or be available for our future products. Even if reimbursement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available, there is no assurance that the timing or level of reimbursement will be sufficient. Furthermore, many ex-U.S.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governments are introducing new legislation focused on cost containment measures applicable to the pharmaceutical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industry; such legislation, if finalized, could lead to lower prices, rebates or other forms of discounts or special taxes.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failure to obtain or maintain adequate prices, coverage, or reimbursement for our products would have an adverse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 on our business, revenue and results of operations, could curtail or eliminate our ability to adequately fund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development programs and/or could cause a decline or volatility in our stock price.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Competing products and technological advances from our competitors may negatively affect our business and market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position.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products and product candidates face or may face competition from existing and potential competing products. See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also </w:t>
      </w:r>
      <w:r>
        <w:rPr>
          <w:rFonts w:ascii="Times New Roman;serif" w:hAnsi="Times New Roman;serif"/>
          <w:b w:val="false"/>
          <w:i/>
          <w:sz w:val="20"/>
        </w:rPr>
        <w:t xml:space="preserve">Item 1., Business – Competition </w:t>
      </w:r>
      <w:r>
        <w:rPr>
          <w:rFonts w:ascii="Times New Roman;serif" w:hAnsi="Times New Roman;serif"/>
          <w:b w:val="false"/>
          <w:i w:val="false"/>
          <w:caps w:val="false"/>
          <w:smallCaps w:val="false"/>
          <w:sz w:val="20"/>
        </w:rPr>
        <w:t>of this Annual Report on Form 10-K</w:t>
      </w:r>
      <w:r>
        <w:rPr>
          <w:rFonts w:ascii="Times New Roman;serif" w:hAnsi="Times New Roman;serif"/>
          <w:b w:val="false"/>
          <w:i/>
          <w:sz w:val="20"/>
        </w:rPr>
        <w:t>.</w:t>
      </w:r>
      <w:r>
        <w:rPr>
          <w:caps w:val="false"/>
          <w:smallCaps w:val="false"/>
        </w:rPr>
        <w:t xml:space="preserve"> </w:t>
      </w:r>
      <w:r>
        <w:rPr>
          <w:rFonts w:ascii="Times New Roman;serif" w:hAnsi="Times New Roman;serif"/>
          <w:b w:val="false"/>
          <w:i w:val="false"/>
          <w:caps w:val="false"/>
          <w:smallCaps w:val="false"/>
          <w:sz w:val="20"/>
        </w:rPr>
        <w:t xml:space="preserve">Competing products may be more effective, safer,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more effectively marketed, have lower prices or better coverage or reimbursement levels, eliminate or minimize the need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treatment with our products or product candidates, or have other differentiating factors that negatively affect the demand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products or product candidates. If a competitor obtains approval and reimbursement before we do, approval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of our products or product candidates could be delayed, denied, or otherwise adversely affected. We compete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an array of companies and other organizations, including those that have substantially greater resources, more mature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manufacturing and commercial organizations, and/or other competitive advantages. Smaller companies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innovative programs or technologies are frequently acquired by and enter into collaborations with larger competitors,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result in the acceleration or enhancement of competitive programs. We cannot predict the timing or impact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introduction of competitive products. If a competing product is successfully developed and commercialized for a patient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population we are currently treating or are seeking to treat, our revenues, business or market position could be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adversely affected. In addition, the release of new information, including clinical data and regulatory approval timelines,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competitors regarding competitive products or potentially competitive product candidates can affect investors’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perceptions regarding the prospects of our products and product candidates, and has caused and may in the future cause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price to decline or experience periods of significant volatility.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discover safety or efficacy issues with any of our products, commercialization efforts for the product could be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negatively affected, the approved product could lose its approval, and our business could be materially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After regulatory approval and launch, our products are used over longer periods of time and by larger populations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patients than during pre-approval clinical trials. Additional clinical and non-clinical studies, such as for label expansions,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combinations or otherwise, may also be conducted after regulatory approval. For example, as part of FDA approval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CASGEVY, we are required to conduct post-marketing safety studies to assess certain long-term risks associated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treatment. Additionally, when post-marketing studies involve our marketed products, or an active pharmaceutical ingredient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thereof, they can raise new safety issues for our existing products. The subsequent discovery or appearance of previously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unknown or underestimated safety or efficacy concerns with a product could negatively affect commercial sales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result in reduced coverage or reimbursement by payors, cause reputational harm, government investigations,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lawsuits against us. Subsequent adverse safety events, as well as safety or efficacy issues affecting suppliers or competing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may also lead to recalls, denial or withdrawal of regulatory approvals, non-renewal of conditional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approvals, label changes, obligations to conduct additional or more extensive clinical trials or to implement a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plan, and reductions in market acceptance. Each of our CF products shares at least one active pharmaceutical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ingredient with another of our products. If any of our CF products were to experience safety issues or labeling modifications,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other CF products may be adversely affected. For example, in December 2024, the FDA required us to modify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TRIKAFTA label by revising information regarding liver injury and liver failure and moving that information from the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warnings and precautions” section to a “boxed warning” section; the FDA required similar language in the ALYFTREK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label. In addition, safety or efficacy issues affecting suppliers’ or competitors’ products also may reduce the market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acceptance of our products.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discovery of safety events involving our products or public speculation about such events could limit or reduce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revenues and cause our stock price to decline or experience periods of volatility.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Risks Related to Product Development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The data from our product development activities may not support advancement or regulatory approval of our product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candidates, or label expansions for our marketed products, or provide sufficient data to support the successful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commercialization of our approved products.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Extensive testing is required for our product candidates and for new indications of our marketed products. The outcomes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such clinical and non-clinical testing are highly uncertain, may not generate sufficient safety, efficacy, or other data,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not support regulatory approval of our product candidates. Clinical and non-clinical testing, and in particular our later-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stage clinical trials, are expensive and resource intensive. The data from our preclinical studies and other research activities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in the past and may in the future fail to predict results in clinical trials. For example, despite considerable non-clinical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testing, the clinical study of VX-264 in T1D did not meet its efficacy endpoint. Similarly, results from earlier-stage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trials may not be predictive of the results from later-stage clinical trials, or of the likelihood of approval of a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 for commercial sale. In addition, interim or preliminary data from a clinical trial may not be predictive of final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from the clinical trial and are subject to the risk that one or more of the clinical outcomes may materially change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 enrollment and treatment continues, more patient data become available, or as patients continue other treatments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their disease.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data from our clinical programs may not support approval or successful commercialization of our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and we may be unable to recoup the significant research and development, clinical trial, acquisition-related,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expenses incurred, which could have an adverse effect on our business, financial condition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and/or cause our stock price to decline or experience periods of volatility.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results of our clinical trials and findings from nonclinical studies could lead to abrupt changes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activities, including the possible cessation of development activities associated with a particular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 or program. For example, after VX-264 did not meet its efficacy endpoint, we announced that the program would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advance into further clinical studies. Failure to advance product candidates through clinical development would impair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ability to commercialize products, which could materially harm our business, financial condition and long-term prospects.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research and development activities are highly regulated, and it is possible that the FDA and other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authorities: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pause or halt our clinical trials based on their assessment of the potential or actual risks of continuing;</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disagree with our conclusions about the results from our clinical trials;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require a</w:t>
      </w:r>
      <w:r>
        <w:rPr>
          <w:rFonts w:ascii="Times New Roman;serif" w:hAnsi="Times New Roman;serif"/>
          <w:b w:val="false"/>
          <w:i w:val="false"/>
          <w:caps w:val="false"/>
          <w:smallCaps w:val="false"/>
          <w:strike w:val="false"/>
          <w:dstrike w:val="false"/>
          <w:sz w:val="20"/>
          <w:u w:val="none"/>
          <w:effect w:val="none"/>
        </w:rPr>
        <w:t>dditional</w:t>
      </w:r>
      <w:r>
        <w:rPr>
          <w:caps w:val="false"/>
          <w:smallCaps w:val="false"/>
          <w:sz w:val="24"/>
        </w:rPr>
        <w:t xml:space="preserve"> </w:t>
      </w:r>
      <w:r>
        <w:rPr>
          <w:rFonts w:ascii="Times New Roman;serif" w:hAnsi="Times New Roman;serif"/>
          <w:b w:val="false"/>
          <w:i w:val="false"/>
          <w:caps w:val="false"/>
          <w:smallCaps w:val="false"/>
          <w:sz w:val="20"/>
        </w:rPr>
        <w:t xml:space="preserve">clinical trials, including confirmatory trials, or disagree with our clinical trial design or endpoint;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fail to approve the facilities or processes used to manufacture a product candidate, or our dosing or delivery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methods;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grant marketing approval that is more restricted than anticipated, including limiting indications to narrow patient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populations and imposing safety monitoring requirements, or risk evaluation and mitigation strategies;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withdraw approval of a product or indication, including when the product or indication was approved under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approval pathway and confirmatory studies were unsuccessful.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we periodically release new information, including clinical data, regarding our products and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which may affect investors’ perceptions regarding our products and product candidates, and cause our stock price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decline or experience periods of significant volatility. For example, our stock price decreased in August 2025 after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released Phase 2 data for VX-993 and informed investors that the FDA did not see a path toward a broad peripheral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neuropathic pain label for suzetrigine at that time. The timing of the release of information by us regarding our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programs is often beyond our control and is influenced by the timing of receipt of communications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regulators and data from our clinical trials, among other things.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fail to successfully conduct our clinical activities, our clinical trials or future regulatory approvals may be delayed or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denied.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Conducting clinical trials is a complex, lengthy and expensive process. Our ability to complete clinical trials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anticipated timelines depends on numerous factors, including proper and efficient protocol design, regulatory and institutional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review board approval, adequate patient enrollment and retention rates, and compliance with current good clinical practices.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Delays or complications in clinical trials may arise from difficulties in enrolling or retaining patients, competition from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trials, the occurrence of significant and/or unexpected adverse safety events, changes in regulatory requirements,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supply chain issues or disruptions at clinical trial sites. Further, we may face additional challenges identifying and enrolling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sufficient patients for clinical trials for rare diseases and cell and gene therapies due to small patient populations. With respect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cell and genetic therapies there may be additional concerns regarding the safety of these more novel therapeutic approaches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the treatment of these diseases. If we or our third-party clinical trial providers, including contract research organizations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(“CROs”), do not successfully conduct and manage our clinical activities or adequately comply with regulatory requirements,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clinical trials may experience delays or increased costs, and the potential regulatory approval of a product candidate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expansion of a label for a marketed product may be delayed or denied. Any delay in obtaining required regulatory approvals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adversely affect our ability to successfully commercialize a product candidate.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Regulatory, Intellectual Property and Other Legal Risks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The extensive regulatory framework governing the health care industry could adversely affect our ability to obtain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approval and market our medicines and failure to comply with these regulations could result in fines, penalties or other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non-monetary remedies.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health care industry is highly regulated and subject to complex and increasing regulations. U.S. federal and state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regulators, including the FDA and comparable ex-U.S. regulators directly regulate our most critical business activities, </w:t>
      </w:r>
    </w:p>
    <w:p>
      <w:pPr>
        <w:pStyle w:val="TextBody"/>
        <w:bidi w:val="0"/>
        <w:spacing w:lineRule="atLeast" w:line="200" w:before="0" w:after="0"/>
        <w:jc w:val="left"/>
        <w:rPr/>
      </w:pPr>
      <w:r>
        <w:rPr>
          <w:rFonts w:ascii="Times New Roman;serif" w:hAnsi="Times New Roman;serif"/>
          <w:b w:val="false"/>
          <w:i w:val="false"/>
          <w:caps w:val="false"/>
          <w:smallCaps w:val="false"/>
          <w:sz w:val="20"/>
        </w:rPr>
        <w:t>including those related to research, development, manufacturing, and commercialization, as described in Item 1, “</w:t>
      </w:r>
      <w:r>
        <w:rPr>
          <w:rFonts w:ascii="Times New Roman;serif" w:hAnsi="Times New Roman;serif"/>
          <w:b w:val="false"/>
          <w:i/>
          <w:sz w:val="20"/>
        </w:rPr>
        <w:t xml:space="preserve">Business – </w:t>
      </w:r>
    </w:p>
    <w:p>
      <w:pPr>
        <w:pStyle w:val="TextBody"/>
        <w:bidi w:val="0"/>
        <w:spacing w:lineRule="atLeast" w:line="200" w:before="0" w:after="0"/>
        <w:jc w:val="left"/>
        <w:rPr/>
      </w:pPr>
      <w:r>
        <w:rPr>
          <w:rFonts w:ascii="Times New Roman;serif" w:hAnsi="Times New Roman;serif"/>
          <w:b w:val="false"/>
          <w:i/>
          <w:sz w:val="20"/>
        </w:rPr>
        <w:t>Government Regulation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process for obtaining regulatory approvals to market a product is costly and time consuming, and approvals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granted for future products, or additional indications of existing products, on a timely basis or at all. In addition, we cannot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guarantee that we will remain compliant with applicable regulatory requirements once approval has been obtained.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govern, among other things, our manufacturing practices, communications regarding our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of safety events. Maintaining compliance with these extensive regulations is complex, expensive, and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consuming, and failure to comply may result in additional regulatory actions, including recalls, withdrawal or suspension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approvals, civil and criminal charges, reputational harm, and fines, penalties, or other monetary or non-monetary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remedies, including exclusion from receipt of payment from U.S. federal and state healthcare programs like Medicare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Medicaid. Compliance with the regulatory requirements for biologics and cell and gene therapies can be more burdensome,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expensive and time-consuming than for other, better known or more extensively studied types of medicines, such as small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molecules. Regulatory requirements governing cell and genetic therapy products have changed frequently and may continue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change in the future. Furthermore, risks relating to compliance with laws and regulations may be heightened as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expand our global operations and enter new therapeutic areas with different patient populations, which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 different commercialization activities from those we currently utilize.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that regulation of the healthcare industry will continue to evolve through political and legal action, as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proposals to reform healthcare systems are considered by U.S. and foreign governments and regulatory authorities.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cannot predict when additional changes in the healthcare industry in general, or the pharmaceutical industry in particular,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occur, or what the impact of such changes may be. For example, new proposals or requirements regarding local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of pharmaceutical products, enhanced data security and privacy measures, sustainability, importation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embargoes, or trade sanctions may negatively impact our business. In addition, our development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commercialization activities could be harmed or delayed by a shutdown of the U.S. government or events that affect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manner in which the FDA operates.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Commercialization of our products requires that we operate in compliance with applicable health care laws, including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laws regulating promotional activities, prohibiting fraud and abuse and requiring reporting of government pricing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market our products to health care providers and provide promotional materials and informational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regarding the use of each product in these patient populations. In jurisdictions where permitted, we also market our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patients for whom the applicable product has been approved, as well as to their caregivers. If a regulatory authority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interprets any of our conduct, including our marketing practices or patient support programs, as promotion of unapproved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uses or otherwise false and misleading, it could request that we modify or withdraw our promotional materials or issue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corrective advertising. It could also take enforcement action, such as issuing warning or untitled letters, prohibiting certain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activities, seizing products, and imposing civil fines and criminal penalties. It is also possible that other federal, state,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enforcement authorities might take action if they believe that the alleged conduct led to the submission and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claims for unapproved uses of our product, which could result in significant fines or penalties. Even if it is later determined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were not in violation of these laws, we may be faced with negative publicity, incur significant expenses defending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actions, and have to divert significant management resources from other matters.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interactions with health care providers that prescribe or purchase our products are also subject to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designed to prevent fraud and abuse in the sale and use of medicines and that place significant restrictions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practices of biopharmaceutical companies. The relationships between companies and health care providers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scrutinized and have been the target of lawsuits and investigations alleging various problematic conduct,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submission of incorrect pricing information, improper promotion of pharmaceutical products, payments intended to influence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referral of health care business, submission of false claims for government reimbursement, and anticompetitive behavior.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required to track and disclose financial interactions with health care providers and health care organizations,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increase government and public scrutiny of these financial interactions. Failure to comply with these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could result in significant civil monetary penalties. As we commercialize products for new patient populations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in new geographies, we will have more interactions with a broader set of healthcare providers and we must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expend significant efforts to establish, maintain and enhance systems and processes to comply with laws and regulations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governing those interactions.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price reporting and payment regulations are also complex, requiring us to continually assess the methods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we calculate and report pricing in accordance with these obligations. Our methodologies for calculations are inherently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assumptions and may be subject to review and challenge by various government agencies, which may disagree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our interpretation. If the government disagrees with our reported calculations, we may need to restate previously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reported data and could be subject to additional financial and legal liability.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are unable to obtain, maintain and enforce our intellectual property rights, our business could be harmed.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success depends, in significant part, on our ability to obtain, maintain, and enforce patents and intellectual property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rights such as trademarks and copyrights that protect our products, product candidates, and technologies. In addition, we rely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trade secret protection and contractual arrangements to protect certain of our proprietary information. Due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complexity of the legal standards and factual questions relating to the patentability, validity, and enforceability of patents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covering pharmaceutical and biotechnological inventions and the scope of claims made under these patents, our ability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obtain, maintain and enforce our patents is uncertain. The initial grant of patents or regulatory exclusivity in the U.S. and ex-</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markets depends upon decisions of the patent offices, courts, and governments in those countries. We may fail to obtain,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defend or otherwise preserve patent and other intellectual property rights, including certain forms of regulatory exclusivity,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current intellectual property rights or protections and those we obtain in the future may not be broad enough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sufficient to protect our commercial interests in all countries where we conduct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U.S. and ex-U.S. markets, third parties have challenged and may continue to challenge, invalidate, or circumvent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patents and patent applications relating to our products, product candidates, and technologies. We have had and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continue to have disputes with respect to the rights to products, product candidates, and technologies developed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collaboration with other parties.</w:t>
      </w:r>
      <w:r>
        <w:rPr>
          <w:caps w:val="false"/>
          <w:smallCaps w:val="false"/>
          <w:sz w:val="24"/>
        </w:rPr>
        <w:t xml:space="preserve"> </w:t>
      </w:r>
      <w:r>
        <w:rPr>
          <w:rFonts w:ascii="Times New Roman;serif" w:hAnsi="Times New Roman;serif"/>
          <w:b w:val="false"/>
          <w:i w:val="false"/>
          <w:caps w:val="false"/>
          <w:smallCaps w:val="false"/>
          <w:sz w:val="20"/>
        </w:rPr>
        <w:t xml:space="preserve">If we cannot resolve disputes and obtain adequate intellectual property right protections,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be able to develop or market our products. Settlements of such proceedings could also result in reducing the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exclusivity and other protections, resulting in a reduction in revenue from affected products. Any litigation,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litigation related to Abbreviated New Drug Applications (“ANDA”), litigation related to 505(b)(2) applications, interference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proceedings to determine priority of inventions, derivations proceedings, inter partes review, oppositions to patents in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countries, litigation against our collaborators, or similar actions, could harm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Difficulties in, or preclusion from, protecting our intellectual property rights in foreign jurisdictions could substantially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harm our business. Third-party manufacturers may be able to sell generic versions of our products in countries that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effective mechanisms for enforcement of our patents or other intellectual property rights. For example,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experienced a violation of our intellectual property rights in Russia, where a copy product that infringes our patents has been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made available.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addition, many foreign countries have compulsory licensing laws under which a patent owner must grant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licenses to third parties in certain circumstances. Compulsory licenses have been used in certain countries for market access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purposes and, in some cases, as a cost-containment measure.</w:t>
      </w:r>
      <w:r>
        <w:rPr>
          <w:caps w:val="false"/>
          <w:smallCaps w:val="false"/>
          <w:sz w:val="24"/>
        </w:rPr>
        <w:t xml:space="preserve"> </w:t>
      </w:r>
      <w:r>
        <w:rPr>
          <w:rFonts w:ascii="Times New Roman;serif" w:hAnsi="Times New Roman;serif"/>
          <w:b w:val="false"/>
          <w:i w:val="false"/>
          <w:caps w:val="false"/>
          <w:smallCaps w:val="false"/>
          <w:sz w:val="20"/>
        </w:rPr>
        <w:t xml:space="preserve">Compulsory licenses issued for our patents may diminish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revenue from those jurisdictions and negatively affect our results of operations. Third parties may also illegally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distribute and sell counterfeit versions of our products. Copy or counterfeit products may not meet our rigorous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and testing standards and a patient who receives such product may be at risk for a number of dangerous health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consequences. Our business and reputation could suffer harm as a result of illegally produced and distributed generic versions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products, as well as counterfeit products sold under our brand name. The diversion of products from their authorized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into other channels may result in reduced revenues and negatively affect our profitability.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are not able to operate without infringing upon intellectual property rights of third parties, our business could be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competitors seek to protect their products, product candidates and proprietary information through patents,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trademarks, trade secrets, and copyrights. T</w:t>
      </w:r>
      <w:r>
        <w:rPr>
          <w:rFonts w:ascii="Times New Roman;serif" w:hAnsi="Times New Roman;serif"/>
          <w:b w:val="false"/>
          <w:i w:val="false"/>
          <w:caps w:val="false"/>
          <w:smallCaps w:val="false"/>
          <w:strike w:val="false"/>
          <w:dstrike w:val="false"/>
          <w:sz w:val="20"/>
          <w:u w:val="none"/>
          <w:effect w:val="none"/>
        </w:rPr>
        <w:t xml:space="preserve">hird parties have claimed and may claim in the future that our products or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infringe their intellectual property rights or that our employees have misappropriated their intellectual property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rights</w:t>
      </w:r>
      <w:r>
        <w:rPr>
          <w:rFonts w:ascii="Times New Roman;serif" w:hAnsi="Times New Roman;serif"/>
          <w:b w:val="false"/>
          <w:i w:val="false"/>
          <w:caps w:val="false"/>
          <w:smallCaps w:val="false"/>
          <w:sz w:val="20"/>
        </w:rPr>
        <w:t xml:space="preserve">. See also </w:t>
      </w:r>
      <w:r>
        <w:rPr>
          <w:rFonts w:ascii="Times New Roman;serif" w:hAnsi="Times New Roman;serif"/>
          <w:b w:val="false"/>
          <w:i/>
          <w:sz w:val="20"/>
        </w:rPr>
        <w:t xml:space="preserve">Item 1., Business – Intellectual Property </w:t>
      </w:r>
      <w:r>
        <w:rPr>
          <w:rFonts w:ascii="Times New Roman;serif" w:hAnsi="Times New Roman;serif"/>
          <w:b w:val="false"/>
          <w:i w:val="false"/>
          <w:caps w:val="false"/>
          <w:smallCaps w:val="false"/>
          <w:sz w:val="20"/>
        </w:rPr>
        <w:t xml:space="preserve">of this Annual Report on Form 10-K. Resolving an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property infringement or other claim can be costly and time consuming and may require us to enter into license agreements,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may not be available on commercially reasonable terms. A successful claim of patent infringement or other violation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misappropriation of intellectual property rights by a third party could subject us to significant damages and/or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injunction preventing the manufacture, sale, or use of the affected product or products, and/or require us to pay royalties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redesign our infringing products, which may be impossible or require substantial time and monetary expenditure.</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Our business has a substantial risk of product liability claims and other litigation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testing, manufacturing, marketing and use of our products and product candidates involve substantial risk of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liability claims. These claims may be made directly by consumers, patients, healthcare providers, or others. Product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claims and lawsuits and safety alerts or product recalls, regardless of their ultimate outcome, may decrease demand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or any product candidate for which we obtain marketing approval, and may have a material adverse effect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 results of operations, reputation, and our ability to market our products. Our product liability and clinical trial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insurance may not provide adequate coverage against all potential liabilities.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continues to be a significant volume of government and regulatory investigations and litigation against companies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operating in our industry, a</w:t>
      </w:r>
      <w:r>
        <w:rPr>
          <w:rFonts w:ascii="Times New Roman;serif" w:hAnsi="Times New Roman;serif"/>
          <w:b w:val="false"/>
          <w:i w:val="false"/>
          <w:caps w:val="false"/>
          <w:smallCaps w:val="false"/>
          <w:strike w:val="false"/>
          <w:dstrike w:val="false"/>
          <w:sz w:val="20"/>
          <w:u w:val="none"/>
          <w:effect w:val="none"/>
        </w:rPr>
        <w:t>s well as robust regulatory enforcement and whistleblower claims.</w:t>
      </w:r>
      <w:r>
        <w:rPr>
          <w:caps w:val="false"/>
          <w:smallCaps w:val="false"/>
          <w:sz w:val="24"/>
        </w:rPr>
        <w:t xml:space="preserve"> </w:t>
      </w:r>
      <w:r>
        <w:rPr>
          <w:rFonts w:ascii="Times New Roman;serif" w:hAnsi="Times New Roman;serif"/>
          <w:b w:val="false"/>
          <w:i w:val="false"/>
          <w:caps w:val="false"/>
          <w:smallCaps w:val="false"/>
          <w:sz w:val="20"/>
        </w:rPr>
        <w:t xml:space="preserve">Investigations into aspects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include inquiries, subpoenas, and other types of information demands from government and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authorities. We are also involved in and are subject to other various legal proceedings, including litigation, and other dispute-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proceedings. These activities require significant financial and internal resources. This includes the arbitration initiated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by the third party to whom the CFF has assigned its ALYFTREK royalty rights. Please see </w:t>
      </w:r>
      <w:r>
        <w:rPr>
          <w:rFonts w:ascii="Times New Roman;serif" w:hAnsi="Times New Roman;serif"/>
          <w:b w:val="false"/>
          <w:i/>
          <w:sz w:val="20"/>
        </w:rPr>
        <w:t xml:space="preserve">Item 7. Management’s Discussion </w:t>
      </w:r>
    </w:p>
    <w:p>
      <w:pPr>
        <w:pStyle w:val="TextBody"/>
        <w:bidi w:val="0"/>
        <w:spacing w:lineRule="atLeast" w:line="200" w:before="0" w:after="0"/>
        <w:jc w:val="left"/>
        <w:rPr/>
      </w:pPr>
      <w:r>
        <w:rPr>
          <w:rFonts w:ascii="Times New Roman;serif" w:hAnsi="Times New Roman;serif"/>
          <w:b w:val="false"/>
          <w:i/>
          <w:sz w:val="20"/>
        </w:rPr>
        <w:t>and Analysis of Financial Condition and Results of Operations</w:t>
      </w:r>
      <w:r>
        <w:rPr>
          <w:caps w:val="false"/>
          <w:smallCaps w:val="false"/>
        </w:rPr>
        <w:t xml:space="preserve"> </w:t>
      </w:r>
      <w:r>
        <w:rPr>
          <w:rFonts w:ascii="Times New Roman;serif" w:hAnsi="Times New Roman;serif"/>
          <w:b w:val="false"/>
          <w:i w:val="false"/>
          <w:caps w:val="false"/>
          <w:smallCaps w:val="false"/>
          <w:sz w:val="20"/>
        </w:rPr>
        <w:t xml:space="preserve">of this Annual Report on Form 10-K for more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outcome of such legal proceedings, investigations or any other dispute-related proceedings are inherently uncertain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adverse developments or outcomes can result in significant expenses, monetary damages, penalties, injunctions,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relief against us, and in the ALYFTREK arbitration, could result in higher future costs of goods if royalty fees are higher than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anticipated. For a description of our litigation, investigation and other dispute-related matters, see Note P., </w:t>
      </w:r>
      <w:r>
        <w:rPr>
          <w:rFonts w:ascii="Times New Roman;serif" w:hAnsi="Times New Roman;serif"/>
          <w:b w:val="false"/>
          <w:i/>
          <w:sz w:val="20"/>
        </w:rPr>
        <w:t xml:space="preserve">Commitments and </w:t>
      </w:r>
    </w:p>
    <w:p>
      <w:pPr>
        <w:pStyle w:val="TextBody"/>
        <w:bidi w:val="0"/>
        <w:spacing w:lineRule="atLeast" w:line="200" w:before="0" w:after="0"/>
        <w:jc w:val="left"/>
        <w:rPr/>
      </w:pPr>
      <w:r>
        <w:rPr>
          <w:rFonts w:ascii="Times New Roman;serif" w:hAnsi="Times New Roman;serif"/>
          <w:b w:val="false"/>
          <w:i/>
          <w:sz w:val="20"/>
        </w:rPr>
        <w:t xml:space="preserve">Contingencies — </w:t>
      </w:r>
      <w:r>
        <w:rPr>
          <w:rFonts w:ascii="Times New Roman;serif" w:hAnsi="Times New Roman;serif"/>
          <w:b w:val="false"/>
          <w:i/>
          <w:strike w:val="false"/>
          <w:dstrike w:val="false"/>
          <w:sz w:val="20"/>
          <w:u w:val="none"/>
          <w:effect w:val="none"/>
        </w:rPr>
        <w:t xml:space="preserve">Legal Matters and Other Contingencies, </w:t>
      </w:r>
      <w:r>
        <w:rPr>
          <w:rFonts w:ascii="Times New Roman;serif" w:hAnsi="Times New Roman;serif"/>
          <w:b w:val="false"/>
          <w:i w:val="false"/>
          <w:caps w:val="false"/>
          <w:smallCaps w:val="false"/>
          <w:sz w:val="20"/>
        </w:rPr>
        <w:t>included in this Annual Report on Form 10-K.</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We are subject to various and evolving laws and regulations governing the privacy and security of personal data.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a variety of evolving and developing data privacy and security laws and regulations in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related to the collection, storage, use, sharing, and security of personal data, including health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Regulators globally are imposing data privacy and security requirements, such as the E.U.’s GDPR and other domestic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privacy and security laws, such as the California Consumer Privacy Act and the California Privacy Rights Act. These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similar types of laws and regulations that have been or may be passed often include requirements with respect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personal information. Compliance with privacy laws and regulations is a rigorous and time-intensive process that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our cost of doing business or require us to change our business practices. Failure to comply may result in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government enforcement, private actions, civil and criminal fines and penalties, litigation, and reputational harm.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we are not directly subject to HIPAA, we could face penalties, including criminal liability, for knowingly obtaining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disclosing protected health information from non-compliant HIPAA-covered entities. The commercialization of cell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genetic therapies involves processing more personal data than traditional therapies, increasing our risk exposure.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the number of government investigations, enforcement actions, and class action lawsuits related to data security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incidents and privacy violations, particularly focused on online data sharing, continue to increase. Government investigations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typically require significant resources and generate negative publicity, which could harm our business and reputation.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Risks Related to Our Operations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We may face manufacturing, supply, and distribution delays, difficulties, and disruptions, among other challenges,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including at our third-party providers.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could be subject to significant supply interruptions for our commercial products or product candidates as a result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disruptions to our internal manufacturing capabilities or those of our suppliers or partners. Supply disruptions may result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variety of factors, including shortages in product raw materials or labor, technical difficulties, regulatory inspections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delays in construction, regulatory approval, and inspection of new facilities or the expansion of existing facilities,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shipping or customs delays, inability to maintain compliance with quality or other regulations, including cGMP requirements,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global supply chain disruptions, and performance failures by us or any third-party manufacturer on which we rely.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Disruption in our supply chain or manufacturing capabilities can result in shipment delays, inventory shortages, lot failures,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withdrawals, recalls and other interruptions in the commercial and clinical supply of our products and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Any such disruption with respect to our commercial products could result in a failure to meet market demand,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negatively affect our patients, could reduce our net product revenues and/or increase our costs. Any such disruption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supply of product candidates to our clinical trials could negatively affect the subjects enrolled in our clinical trials and/or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cause delays in our clinical trials and applications for regulatory approval.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unfavorable geopolitical events could affect our ability to interact with or conduct business with specific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vendors within our global supply network or could prevent or delay the transportation of supplies or products to their planned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destination. For example, we depend on China-based suppliers for portions of our supply chain. Finding alternative suppliers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geopolitical developments or otherwise may not be feasible or could take a significant amount of time and involve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expense due to the nature of our products and the need to obtain regulatory approvals.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are unable to maintain and expand our supply chain and manufacturing capabilities, our ability to develop our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product candidates and manufacture our products would be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invest in and expand our manufacturing capabilities and supplier relationships to ensure the stability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supply chains and to support the anticipated demand for our products. Establishing, managing and expanding our global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capabilities and supply chain, particularly as we enter new therapeutic modalities, requires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commitment. This includes the creation and maintenance of numerous third-party contractual relationships upon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we rely. There can be no assurance that we will be able to identify, establish and maintain additional manufacturers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capacity for our product candidates and products on a timely basis, on commercially reasonable terms, or at all.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foregoing risks may be heightened where our products and the materials that we utilize in our operations are manufactured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only one supplier or at only one facility. In addition, in the course of providing its services, a contract manufacturer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 process technology related to the manufacture of our products or product candidates that the manufacturer owns,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either independently or jointly with us. This would increase our reliance on that manufacturer or require us to obtain a license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that manufacturer to have our products or product candidates manufactured by other suppliers utilizing the same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and our CMOs and corporate partners are subject to cGMP, as well as comparable regulations in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Manufacturing operations are also subject to routine inspections by regulatory agencies. Even after a supplier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qualified by the regulatory authority, the supplier must continue to expend time, money and effort in the area of production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quality control to maintain full compliance with applicable regulatory requirements, including cGMP. If, as a result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inspections, a regulatory authority determines that the equipment, facilities, laboratories or processes do not comply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applicable regulations and conditions of product approval, the regulatory authority may suspend the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operations. There can be no assurance that we or our CMOs and corporate partners will be able to remedy any deficiencies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cited by FDA or other regulatory agencies in their inspections.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the manufacturing and logistics for drug products are highly complex and can require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including to scale-up manufacturing processes and to secure capacity at third parties with expertise to meet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requirements. This capacity may be limited by the number of other clinical trials and commercial manufacturing ongoing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companies seeking similar support. There are many risks that could result in delays and additional costs, including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need to hire and train qualified employees and obtain access to necessary equipment and third-party technology. Additionally,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even with relevant experience and expertise, drug manufacturers often encounter difficulties in scale-up and production,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difficulties with production costs and yields, quality control, and compliance with federal, state and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which can prevent manufacturers from completing clinical trials or commercializing products on a timely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profitable basis, if at all.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Reliance on third-party relationships could adversely affect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depends on relationships with third parties, including activities critical to research,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commercialization, and technology. For example, we rely on third parties such as CROs for the day-to-day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and oversight of our clinical trials, on CMOs for active ingredient manufacturing and finishing operations,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logistics providers for the distribution of our products.</w:t>
      </w:r>
      <w:r>
        <w:rPr>
          <w:caps w:val="false"/>
          <w:smallCaps w:val="false"/>
          <w:sz w:val="24"/>
        </w:rPr>
        <w:t xml:space="preserve"> </w:t>
      </w:r>
      <w:r>
        <w:rPr>
          <w:rFonts w:ascii="Times New Roman;serif" w:hAnsi="Times New Roman;serif"/>
          <w:b w:val="false"/>
          <w:i w:val="false"/>
          <w:caps w:val="false"/>
          <w:smallCaps w:val="false"/>
          <w:sz w:val="20"/>
        </w:rPr>
        <w:t xml:space="preserve">We are expanding our relationships with CROs, CMOs,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as we enter markets in which we have no or limited experience. Failure by any of our third parties to meet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contractual, regulatory, or other obligations, any disruption in the relationship between Vertex and a third party upon whom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rely, or the failure of a third party to conduct activities in accordance with our expectations, could adversely affect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relevant research, development, manufacturing, commercial, or administrative activity and our business. The foregoing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heightened as a result of the limited number or specialized nature of certain third parties, as we may not be 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replace such third party in a timely manner, on commercially reasonable terms, or at all.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third parties upon which we rely are subject to their own operational and financial risks, as well as other difficulties,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if realized, could negatively affect our business. If any of our third parties violate, or are alleged to have violated,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or regulations, including anti-corruption or anti-bribery regulations, the GDPR, or other laws and regulations, during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of their obligations to us, we could suffer financial and reputational harm or other negative outcomes,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possible legal consequences.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If we fail to scale our operations to accommodate growth, our business may suffer.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 continue to expand our global operations and capabilities, we face increasing demands on our management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infrastructure. To effectively manage our growing business, we need to: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implement and clearly communicate corporate-wide strategies and effectively prioritize resources;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enhance our operational and financial infrastructure, including data and information controls;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effectively leverage technology and automation where appropriate to enable efficient growth and remain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competitive;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improve our administrative, financial and management processes, including decision-making processes and budget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prioritization;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effectively grow, train and manage our global employee base;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expand our compliance and legal resources.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 variety of risks associated with operating in foreign countries could materially adversely affect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global operations subject us to risks that could adversely affect our business and revenue. In addition to the ex-U.S.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risks we face with respect to compliance with local laws and regulatory requirements, pricing and reimbursement,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property, manufacturing capabilities and supply chain, foreign exchange risks, and reliance on third parties, risks associated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operating a global biotechnology company include the potential for:</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economic weakness, including recession and inflation, or political instability globally or with respect to particular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economies and markets;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business interruptions resulting from geo-political actions, including war and terrorism;</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import and export licensing requirements, tariffs, trade barriers, and other trade and travel restrictions, the risks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appear to have increased in the current political environment;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credit risks related to our customers, which may be higher in less developed markets;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global or regional public health emergencies.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any of the above risks were to occur, our revenues, results of operations, financial condition or business could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materially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 or future U.S. legislation, including executive orders, or other new changes in laws, regulations or policies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or other countries could negatively impact our business by increasing costs, decreasing demand for our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increasing government cost controls, among other risks. For example, U.S. legislation has been introduced to limit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biotechnology companies from using equipment or services from select Chinese biotechnology companies, and others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Congress have advocated for limitations on those Chinese service providers’ ability to engage in business in the U.S.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cannot predict what actions may ultimately be taken with respect to trade relations between the United States and China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countries, what products and services may be subject to such actions, the effective date or duration of such actions,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what actions may be taken by the other countries in response to actions by the United States. If we are unable to obtain or 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from existing service providers or become unable to export or sell our products to any of our customers or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providers, our business could be materially and adversely affected.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A breakdown or breach of our information technology systems, or unauthorized access to confidential information could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adversely affect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maintain and rely extensively on information technology systems and network infrastructures, internally and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 parties for the effective operation of our business. We collect, store, and transmit confidential information, including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personal information, financial information and intellectual property</w:t>
      </w:r>
      <w:r>
        <w:rPr>
          <w:rFonts w:ascii="Times New Roman;serif" w:hAnsi="Times New Roman;serif"/>
          <w:b w:val="false"/>
          <w:i w:val="false"/>
          <w:caps w:val="false"/>
          <w:smallCaps w:val="false"/>
          <w:sz w:val="20"/>
        </w:rPr>
        <w:t xml:space="preserve">. Disruption, infiltration, or failure of our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systems because of software or hardware malfunctions, computer viruses, cyber-attacks, employee theft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misuse, power disruptions, natural disasters or accidents could cause breaches of data security and/or loss of critical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in turn could materially adversely affect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Cyber-attacks and incidents are increasing in their frequency, sophistication, and intensity, and are difficult to detect.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Cyber-attacks are carried out by well-resourced groups and individuals with a wide range of motives and expertise. Due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nature of some cyber-attacks and incidents, there is a risk that they may remain undetected for a period of time. Recent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developments in the threat landscape include the use of adversarial artificial intelligence techniques and machine learning,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an increased number of cyber extortion attacks with higher financial ransom demand amounts and increasing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sophistication and variety of ransomware techniques. Cyber-attacks and incidents also include manufacturing, hardware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software supply chain attacks, which could cause disruption to or a delay in the manufacturing of our products or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or lead to data privacy or security breach. We use cloud technologies and any failure by cloud or other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 providers to adequately safeguard their systems and prevent cyber-attacks or data privacy incidents could disrupt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operations and result in misappropriation, corruption, or loss of confidential or proprietary information. The third parties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which we rely face similar risks and when they experience a security breach of their systems, our security can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affected.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Like many companies, we have experienced immaterial cybersecurity incidents, including temporary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interruptions of third-party suppliers. There can be no assurance that our efforts to protect our data and information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will prevent breakdowns or breaches in our systems that could adversely affect our business. While we maintain cyber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liability insurance, this insurance may not be sufficient to cover the financial, legal, business or reputational losses that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from an interruption or breach of our systems and those of critical third parties. Cybersecurity incidents can cause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 of critical or sensitive information, including personal information, and could give rise to legal liability and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action under data protection and privacy laws.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face certain risks as we seek to leverage artificial intelligence to optimize productivity and efficiency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various aspects of the organization. Flaws, biases, or malfunctions in these systems could lead to operational disruptions,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 or erroneous decision-making, impacting our operations, financial condition, and reputation. Ethical and legal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challenges may arise, including biases or discrimination in generated outcomes, non-compliance with data protection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and laws specifically governing the use of artificial intelligence systems and tools, and lack of transparency.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Furthermore, the deployment of artificial intelligence systems could expose us to increased cybersecurity threats, such as data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breaches and unauthorized access. We also face competitive risks if we do not implement artificial intelligence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machine learning technologies in a timely fashion.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Our operations may be disrupted by the occurrence of a natural disaster, catastrophic event, or by other serious accidents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occurring at our facilities.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Most of our operations, including our research and development activities, are conducted in a limited number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facilities. If any of our major facilities were to experience a catastrophic loss due to an earthquake, flood, severe storms, fire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similar event, our operations would be seriously harmed. For example, our corporate headquarters, as well as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leased space that we use for certain logistical and laboratory operations and manufacturing, are located in a flood zone along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Massachusetts coast. If we are unable to effectively implement our business continuity plans, we may experience delays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recovery of data and/or an inability to perform vital corporate functions, which could result in a significant disruption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operations, large expenses to repair or replace the facility and/or the loss of critical data. Additionally, we use hazardous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materials in some of our facilities, and any accident, injury or other loss related thereto could result in substantial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property or other relevant insurance may not be sufficient to cover all potential losses that may result from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interruption to our operations or damage resulting from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Strategic and Financial Risks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Our business development strategy, including strategic transactions and collaborations, may not be successful, and there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may be delays or failures in realizing the anticipated benefits of these activities.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enter into strategic transactions to acquire, license, or collaborate with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entities, in each case that have potential to complement and advance our ongoing research, development, manufacturing,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commercialization efforts. Over the last several years we have engaged in a number of strategic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collaborations, including our acquisition of Alpine and its lead asset, povetacicept, as well as several smaller transactions and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collaboration arrangements. See also </w:t>
      </w:r>
      <w:r>
        <w:rPr>
          <w:rFonts w:ascii="Times New Roman;serif" w:hAnsi="Times New Roman;serif"/>
          <w:b w:val="false"/>
          <w:i/>
          <w:sz w:val="20"/>
        </w:rPr>
        <w:t>Item 1.</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 xml:space="preserve">Business – Strategic Transactions </w:t>
      </w:r>
      <w:r>
        <w:rPr>
          <w:rFonts w:ascii="Times New Roman;serif" w:hAnsi="Times New Roman;serif"/>
          <w:b w:val="false"/>
          <w:i w:val="false"/>
          <w:caps w:val="false"/>
          <w:smallCaps w:val="false"/>
          <w:sz w:val="20"/>
        </w:rPr>
        <w:t xml:space="preserve">of this Annual Report on Form 10-K.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future transactions and collaborations may be similar to prior transactions, may be structured differently from prior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or may involve larger transactions or later-stage assets. We face significant competition for potential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and collaborations from a variety of other companies, some of which have significantly more financial resources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experience in business development activities. We may not complete future transactions in a timely manner, or at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due to the possibility that a governmental entity or regulatory body may delay or refuse to grant approval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consummation of the transaction.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not realize the anticipated benefits of our completed or future strategic transactions. The product candidates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contemplated by those transactions may be delayed or terminated at any point during research or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Even if a product is approved, we may not be able to successfully commercialize it. As a result, we may fail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generate expected revenue growth or income contribution within the anticipated timeframe or at all. We also face risks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may not effectively integrate acquired assets or businesses into our ongoing business;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may incur additional expenses or fail to achieve anticipated cost savings related to the strategic transactions;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may incur impairment charges related to assets acquired in any such transactions; or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may acquire unanticipated liabilities.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future strategic transactions could result in potentially dilutive issuances of equity securities or the incurrence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debt.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collaborate with outside partners on research, development, manufacturing, and/or commercialization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activities with respect to product candidates and products. We face the same research, development, manufacturing,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commercialization risks with respect to product candidates and products that are subject to collaborations as with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and products that we have developed ourselves. We face additional risks in connection with our current and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collaborative arrangements, including with respect to the performance of the collaborator and their compliance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contractual obligations.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Our effective tax rate fluctuates, and changes in tax laws, regulations and treaties, unfavorable resolution to the tax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positions we have taken, and exposure to additional income tax liabilities could have a material impact on our future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taxable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effective tax rate is derived from a combination of applicable tax rates in the various places that we operate globally.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effective tax rate may be different than experienced in the past due to numerous factors, including: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changes in the mix of our profitability from country to country;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tax authority examinations/audits of our tax filings;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adjustments to the value of our uncertain tax positions;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changes in accounting for income taxes; and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changes in tax laws or modifications of treaties in various jurisdictions.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of these factors could cause us to experience an effective tax rate that is significantly different from previous periods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or our current expectations. </w:t>
      </w:r>
      <w:r>
        <w:rPr>
          <w:rFonts w:ascii="Times New Roman;serif" w:hAnsi="Times New Roman;serif"/>
          <w:b w:val="false"/>
          <w:i w:val="false"/>
          <w:caps w:val="false"/>
          <w:smallCaps w:val="false"/>
          <w:strike w:val="false"/>
          <w:dstrike w:val="false"/>
          <w:sz w:val="20"/>
          <w:u w:val="none"/>
          <w:effect w:val="none"/>
        </w:rPr>
        <w:t xml:space="preserve">For example, actions taken with respect to tax-related matters by associations such as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Organisation for Economic Co-operation and Development and the European Commission could influence tax laws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jurisdictions in which we operate, such as the enactments by both E.U. and non-E.U. </w:t>
      </w:r>
      <w:r>
        <w:rPr>
          <w:rFonts w:ascii="Times New Roman;serif" w:hAnsi="Times New Roman;serif"/>
          <w:b w:val="false"/>
          <w:i w:val="false"/>
          <w:caps w:val="false"/>
          <w:smallCaps w:val="false"/>
          <w:sz w:val="20"/>
        </w:rPr>
        <w:t xml:space="preserve">member countries of a global minimum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We are subject to ongoing tax audits in various jurisdictions, and local tax authorities may disagree with certain positions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taken and assess additional taxes. We regularly assess the probable outcomes of these audits to determine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appropriateness of our tax provision, and we have established contingency reserves for material tax exposures. </w:t>
      </w:r>
      <w:r>
        <w:rPr>
          <w:rFonts w:ascii="Times New Roman;serif" w:hAnsi="Times New Roman;serif"/>
          <w:b w:val="false"/>
          <w:i w:val="false"/>
          <w:caps w:val="false"/>
          <w:smallCaps w:val="false"/>
          <w:strike w:val="false"/>
          <w:dstrike w:val="false"/>
          <w:sz w:val="20"/>
          <w:u w:val="none"/>
          <w:effect w:val="none"/>
        </w:rPr>
        <w:t xml:space="preserve">However,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there can be no assurance that we will accurately predict the outcomes of these disputes or other tax audits or that issues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raised by tax authorities will be resolved at a financial cost that does not exceed our related reserves </w:t>
      </w:r>
      <w:r>
        <w:rPr>
          <w:rFonts w:ascii="Times New Roman;serif" w:hAnsi="Times New Roman;serif"/>
          <w:b w:val="false"/>
          <w:i w:val="false"/>
          <w:caps w:val="false"/>
          <w:smallCaps w:val="false"/>
          <w:sz w:val="20"/>
        </w:rPr>
        <w:t xml:space="preserve">and the actual outcomes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these disputes and other tax audits could have a material impact on our results of operations or financial condition.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Changes in foreign currency rates, interest rate risks, the value of our investment portfolio, and inflation affect our results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of operations and financial condition.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Fluctuations in currency exchange rates and interest rates, changes in the value of our investment portfolio, and inflation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affected and will continue to affect our cash flows, results of operations, and financial condition. The exchange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among our reporting currency, the U.S. dollar, and the currencies in which we do business are volatile and our efforts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mitigate against these risks may not be successful. We invest our available cash in a range of investments,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in cash equivalents and debt securities, and fluctuations in interest rates, among other factors, could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negatively affect the value of this investment portfolio. In addition, systemic economic downturns, as well as inflationary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pressures, such as those observed in recent periods, may adversely impact our business and financial results. See also </w:t>
      </w:r>
      <w:r>
        <w:rPr>
          <w:rFonts w:ascii="Times New Roman;serif" w:hAnsi="Times New Roman;serif"/>
          <w:b w:val="false"/>
          <w:i/>
          <w:sz w:val="20"/>
        </w:rPr>
        <w:t xml:space="preserve">Item </w:t>
      </w:r>
    </w:p>
    <w:p>
      <w:pPr>
        <w:pStyle w:val="TextBody"/>
        <w:bidi w:val="0"/>
        <w:spacing w:lineRule="atLeast" w:line="200" w:before="0" w:after="0"/>
        <w:jc w:val="left"/>
        <w:rPr/>
      </w:pPr>
      <w:r>
        <w:rPr>
          <w:rFonts w:ascii="Times New Roman;serif" w:hAnsi="Times New Roman;serif"/>
          <w:b w:val="false"/>
          <w:i/>
          <w:sz w:val="20"/>
        </w:rPr>
        <w:t>7A., Quantitative and Qualitative Disclosures About Market Risk</w:t>
      </w:r>
      <w:r>
        <w:rPr>
          <w:caps w:val="false"/>
          <w:smallCaps w:val="false"/>
        </w:rPr>
        <w:t xml:space="preserve"> </w:t>
      </w:r>
      <w:r>
        <w:rPr>
          <w:rFonts w:ascii="Times New Roman;serif" w:hAnsi="Times New Roman;serif"/>
          <w:b w:val="false"/>
          <w:i w:val="false"/>
          <w:caps w:val="false"/>
          <w:smallCaps w:val="false"/>
          <w:sz w:val="20"/>
        </w:rPr>
        <w:t xml:space="preserve">of this Annual Report on Form 10-K.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Future indebtedness could materially and adversely affect our financial condition, and the terms of our credit agreements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impose restrictions on our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borrow under our current credit agreement or any future credit agreements, or otherwise issue or incur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debt, such indebtedness could have important consequences to our business. The credit agreement requires that we comply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certain financial covenants, including a consolidated leverage ratio covenant and negative covenants, restricting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limiting our ability and the ability of our subsidiaries to, among other things, incur additional indebtedness, grant liens,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engage in certain investment, acquisition and disposition transactions, and enter into transactions with affiliates. As a result,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be restricted from engaging in business activities that may otherwise improve our business. Failure to comply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covenants could result in an event of default that could trigger acceleration of our indebtedness. If we incur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indebtedness, the risks related to our business and our ability to service or repay our indebtedness would increase.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There can be no assurance that we will repurchase shares of common stock or that we will repurchase shares at favorable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prices.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our Board of Directors approved a share repurchase program pursuant to which we are authorized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repurchase up to $4.0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from time to time through open market or privately negotiated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transactions, of which $618.5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has been repurchased as of December 31, 2025. Our stock repurchases will depend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among other factors, market conditions, our cash balances and potential future capital requirements, results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financial condition, and other factors that we may deem relevant. We can provide no assurance that we 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repurchase stock at favorable prices,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General Risk Factors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Our stock price is volatile.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stock price is subject to significant fluctuations. From January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to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common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traded between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$362.50 and $519.68 </w:t>
      </w:r>
      <w:r>
        <w:rPr>
          <w:rFonts w:ascii="Times New Roman;serif" w:hAnsi="Times New Roman;serif"/>
          <w:b w:val="false"/>
          <w:i w:val="false"/>
          <w:caps w:val="false"/>
          <w:smallCaps w:val="false"/>
          <w:sz w:val="20"/>
        </w:rPr>
        <w:t xml:space="preserve">per share. Our future stock price could be significantly and adversely affected by: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announcements o</w:t>
      </w:r>
      <w:r>
        <w:rPr>
          <w:rFonts w:ascii="Times New Roman;serif" w:hAnsi="Times New Roman;serif"/>
          <w:b w:val="false"/>
          <w:i w:val="false"/>
          <w:caps w:val="false"/>
          <w:smallCaps w:val="false"/>
          <w:strike w:val="false"/>
          <w:dstrike w:val="false"/>
          <w:sz w:val="20"/>
          <w:u w:val="none"/>
          <w:effect w:val="none"/>
        </w:rPr>
        <w:t>r investor analyst commentary regarding the clinical development of our product candidates a</w:t>
      </w:r>
      <w:r>
        <w:rPr>
          <w:rFonts w:ascii="Times New Roman;serif" w:hAnsi="Times New Roman;serif"/>
          <w:b w:val="false"/>
          <w:i w:val="false"/>
          <w:caps w:val="false"/>
          <w:smallCaps w:val="false"/>
          <w:sz w:val="20"/>
        </w:rPr>
        <w:t xml:space="preserve">s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including efficacy and safety information becomes available;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financial guidance and/</w:t>
      </w:r>
      <w:r>
        <w:rPr>
          <w:rFonts w:ascii="Times New Roman;serif" w:hAnsi="Times New Roman;serif"/>
          <w:b w:val="false"/>
          <w:i w:val="false"/>
          <w:caps w:val="false"/>
          <w:smallCaps w:val="false"/>
          <w:strike w:val="false"/>
          <w:dstrike w:val="false"/>
          <w:sz w:val="20"/>
          <w:u w:val="none"/>
          <w:effect w:val="none"/>
        </w:rPr>
        <w:t>or</w:t>
      </w:r>
      <w:r>
        <w:rPr>
          <w:caps w:val="false"/>
          <w:smallCaps w:val="false"/>
          <w:sz w:val="24"/>
        </w:rPr>
        <w:t xml:space="preserve"> </w:t>
      </w:r>
      <w:r>
        <w:rPr>
          <w:rFonts w:ascii="Times New Roman;serif" w:hAnsi="Times New Roman;serif"/>
          <w:b w:val="false"/>
          <w:i w:val="false"/>
          <w:caps w:val="false"/>
          <w:smallCaps w:val="false"/>
          <w:sz w:val="20"/>
        </w:rPr>
        <w:t xml:space="preserve">financial results, including quarterly and annual fluctuations resulting from factors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such as the timing and amount of our revenues and expenses</w:t>
      </w:r>
      <w:r>
        <w:rPr>
          <w:rFonts w:ascii="Times New Roman;serif" w:hAnsi="Times New Roman;serif"/>
          <w:b w:val="false"/>
          <w:i w:val="false"/>
          <w:caps w:val="false"/>
          <w:smallCaps w:val="false"/>
          <w:strike w:val="false"/>
          <w:dstrike w:val="false"/>
          <w:sz w:val="20"/>
          <w:u w:val="none"/>
          <w:effect w:val="none"/>
        </w:rPr>
        <w:t>;</w:t>
      </w:r>
      <w:r>
        <w:rPr>
          <w:caps w:val="false"/>
          <w:smallCaps w:val="false"/>
          <w:sz w:val="24"/>
        </w:rPr>
        <w:t xml:space="preserve"> </w:t>
      </w:r>
      <w:r>
        <w:rPr>
          <w:rFonts w:ascii="Times New Roman;serif" w:hAnsi="Times New Roman;serif"/>
          <w:b w:val="false"/>
          <w:i w:val="false"/>
          <w:caps w:val="false"/>
          <w:smallCaps w:val="false"/>
          <w:sz w:val="20"/>
        </w:rPr>
        <w:t xml:space="preserve">and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other factors including the risks described in these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Fluctuations in our stock price can result in substantial losses for shareholders. Following periods of volatility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 price of a company’s securities, shareholder derivative lawsuits and securities class action litigation are common.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litigation, if instituted against us or our officers and directors, could result in substantial costs and other harm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business.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If we fail to attract and retain skilled employees, our business could be materially harmed.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must attract and retain highly qualified and trained scientists, as well as employees with experience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manufacture, and commercialization of medicines, including biologic and cell and genetic therapies. We face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intense competition for such talent from our competitors, other companies, academic institutions, and other organizations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throughout our industry, especially with respect to employees with expertise in cell or genetic therapies. Our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including equity awards, may not be sufficient to retain employees, especially if our stock price declines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employers offer more attractive opportunities. Our ability to commercialize our products and achieve our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objectives depends on our ability to respond effectively to these demands. If we are unable to hire and retain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qualified personnel, our ability to advance our pipeline, commercialize our products, and achieve our business objectives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be materially adversely affected.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The use of social media platforms presents risks and challenges.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Social media is increasingly used by patients, advocacy groups, and other third parties to discuss our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candidates. Social media posts may include statements about efficacy or adverse events that could create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obligations or regulatory scrutiny. Our employees’ use of social media also presents risks, including potential noncompliance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legal or regulatory requirements, inappropriate disclosure of confidential information or personal information, and loss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intellectual property. In addition, misinformation, negative sentiment, or impersonation of our business on social media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cause reputational damage or otherwise harm our business. Failure to appropriately manage these risks could result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regulatory actions, liability, or other adverse consequences.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We have adopted provisions in our articles of organization and by-laws and are subject to Massachusetts corporate laws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that may frustrate any attempt to remove or replace members of our board or to effectuate certain types of business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combinations involving us.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Provisions of our articles of organization, by-laws and Massachusetts state laws may frustrate any attempt to remove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replace members of our current Board of Directors and may discourage certain types of business combinations involving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by-laws allow the Board of Directors to adjourn any meetings of shareholders prior to the time the meeting has been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convened. We may issue shares of any class or series of preferred stock in the future without shareholder approval and upon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terms as our Board of Directors may determine. The rights of the holders of common stock will be subject to,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adversely affected by, the rights of the holders of any class or series of preferred stock that may be issued in the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Massachusetts state law also prohibits us from engaging in specified business combinations with an interested stockholder,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certain exceptions, unless the combination is approved or consummated in a prescribed manner, and places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on voting by any shareholder who acquires 20% or more of the aggregate shareholder voting power without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approval by non-interested shareholders. As a result, shareholders or other parties may find it difficult to remove or replace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directors or to effectuate certain types of business combinations involving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SPECIAL NOTE REGARDING FORWARD-LOOKING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Annual Report on Form 10-K, including the descriptions of our Business set forth in Part I, Item 1, our Risk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 forth in Part I, Item 1A, and our Management’s Discussion and Analysis of Financial Condition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 forth in Part II, Item 7, contains forward-looking statements. Forward-looking statements are not purely historical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accompanied by words such as “anticipates,” “may,” “forecasts,” “expects,” “intends,” “plans,” “potentially,”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believes,” “seeks,” “estimates,” and other words and terms of similar meaning. Such statements may relate to: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the amount of, timing of, and trends with respect to our financial performance,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revenues, costs and expenses, and other gains and losses;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clinical trials, including expectations for patient enrollment, development timelines,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timing of data from our ongoing and planned clinical trials, and regulatory authority filings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submissions for our therapies;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beliefs, expectations, and plans with respect to the commercial launches of CASGEVY for the treatment of SCD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and TDT, ALYFTREK for the treatment of CF, and </w:t>
      </w:r>
      <w:r>
        <w:rPr>
          <w:rFonts w:ascii="Times New Roman;serif" w:hAnsi="Times New Roman;serif"/>
          <w:b w:val="false"/>
          <w:i w:val="false"/>
          <w:caps w:val="false"/>
          <w:smallCaps w:val="false"/>
          <w:sz w:val="20"/>
        </w:rPr>
        <w:t>JOURNAVX</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treatment of moderate-to-severe acute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pain, and the anticipated launch of povetacicept for the treatment of IgAN;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maintain and obtain adequate reimbursement for our products and product candidates, our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launch, commercialize and market our products or any of our other therapies for which we obtain regulatory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approval, and our ability to obtain label expansions for existing therapies;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our ability to continue to grow our CF business by increasing the number of people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CF eligible and able to receive our medicines and providing improved treatment options for people who are already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eligible for one of our medicines, and our beliefs that t</w:t>
      </w:r>
      <w:r>
        <w:rPr>
          <w:rFonts w:ascii="Times New Roman;serif" w:hAnsi="Times New Roman;serif"/>
          <w:b w:val="false"/>
          <w:i w:val="false"/>
          <w:caps w:val="false"/>
          <w:smallCaps w:val="false"/>
          <w:sz w:val="20"/>
        </w:rPr>
        <w:t xml:space="preserve">he majority of people with CF will transition to ALYFTREK </w:t>
      </w:r>
    </w:p>
    <w:p>
      <w:pPr>
        <w:pStyle w:val="TextBody"/>
        <w:bidi w:val="0"/>
        <w:spacing w:lineRule="atLeast" w:line="200" w:before="0" w:after="0"/>
        <w:jc w:val="left"/>
        <w:rPr/>
      </w:pPr>
      <w:r>
        <w:rPr>
          <w:rFonts w:ascii="Times New Roman;serif" w:hAnsi="Times New Roman;serif"/>
          <w:b w:val="false"/>
          <w:i w:val="false"/>
          <w:caps w:val="false"/>
          <w:smallCaps w:val="false"/>
          <w:sz w:val="20"/>
        </w:rPr>
        <w:t>over time</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rPr>
        <w:t xml:space="preserve">our beliefs regarding the support provided by clinical trials and preclinical and nonclinical studies of our therapies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further investigation, clinical trials or potential use as a treatment, including with respect to povetacicept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pipeline-in-a-product and as a potential best-in-class approach for the treatment of IgAN, pMN, and gMG;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data that will be generated by ongoing and planned clinical trials and the ability to use that data to advance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compounds, continue development, support regulatory filings, or accelerate regulatory approval, including our plans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complete the full submission for potential accelerated approval of povetacicept in IgAN in the first half of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to share data from the interim analysis of the Phase 2/3 clinical trial of inaxaplin in AMKD in late 2026 or early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2027 and from the Phase 2 trial in people with AMKD in mid-2026;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beliefs that ALYFTREK will </w:t>
      </w:r>
      <w:r>
        <w:rPr>
          <w:rFonts w:ascii="Times New Roman;serif" w:hAnsi="Times New Roman;serif"/>
          <w:b w:val="false"/>
          <w:i w:val="false"/>
          <w:caps w:val="false"/>
          <w:smallCaps w:val="false"/>
          <w:sz w:val="20"/>
        </w:rPr>
        <w:t xml:space="preserve">provide additional clinical benefits to eligible people with CF, regarding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durable efficacy and effectiveness of CASGEVY as one-time functional cure for people with SCD and TDT,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regarding the clinical benefits of JOURNAVX without the evidence of the several limitations of other available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therapies;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continue investing in our research and development programs, including anticipated timelines for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programs, and our strategy to develop our pipeline programs, alone or with third-party collaborators;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beliefs regarding the approximate patient populations for the disease areas on which we focus;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potential benefits and therapeutic scope of our acquisitions and collaborations, including our acquisition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Alpine and its lead asset, povetacicept, its potential to become a pipeline-in-a-product</w:t>
      </w:r>
      <w:r>
        <w:rPr>
          <w:rFonts w:ascii="Times New Roman;serif" w:hAnsi="Times New Roman;serif"/>
          <w:b w:val="false"/>
          <w:i w:val="false"/>
          <w:caps w:val="false"/>
          <w:smallCaps w:val="false"/>
          <w:sz w:val="20"/>
        </w:rPr>
        <w:t xml:space="preserve">, and our expectations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our agreements with Zai, Ono and WuXi;</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expectations regarding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lower royalty burden for ALYFTREK;</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expand, strengthen, and invest in our global supply chains and manufacturing infrastructure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capabilities, including for biologic and cell and gene therapies;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the effects of import and export licensing requirements, tariffs, trade barriers, and other trade and travel restrictions;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potential business development activities, including the identification of potential collaborative partners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acquisition targets;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expand and protect our intellectual property portfolio and otherwise maintain exclusive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or beliefs regarding any legal proceedings in which we are involved, including any litigation,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arbitration or other similar proceedings involving our products, product candidates or activities;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establishment, development and maintenance of collaborative relationships, including potential milestone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payments or other obligations;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potential fluctuations in foreign currency exchange rates and the effectiveness of our foreign currency management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the amount of cash to generated by operations, our cash balance and expected generation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interest income;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our provision for or benefit from income taxes and the utilization of our deferred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use our research programs to identify and develop new product candidates to address serious diseases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significant unmet medical needs;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effectiveness of our governance, plans and strategy with respect to managing cybersecurity risks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threats to our information technology systems;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ability to effectively implement artificial intelligence systems and tools;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ability to attract and retain skilled personnel;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expectations involving governmental cost containment and other regulatory efforts;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expectations surrounding the competitive landscape facing our products and product candidates;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our liquidity and our expectations regarding the possibility of raising additional capital.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are subject to certain risks, uncertainties, or other factors that are difficult to predict and </w:t>
      </w:r>
    </w:p>
    <w:p>
      <w:pPr>
        <w:pStyle w:val="TextBody"/>
        <w:bidi w:val="0"/>
        <w:spacing w:lineRule="atLeast" w:line="200" w:before="0" w:after="0"/>
        <w:jc w:val="left"/>
        <w:rPr/>
      </w:pPr>
      <w:r>
        <w:rPr>
          <w:rFonts w:ascii="Times New Roman;serif" w:hAnsi="Times New Roman;serif"/>
          <w:b w:val="false"/>
          <w:i w:val="false"/>
          <w:caps w:val="false"/>
          <w:smallCaps w:val="false"/>
          <w:sz w:val="20"/>
        </w:rPr>
        <w:t>could cause actual events or results to differ materially from those indicated in any such statements.</w:t>
      </w:r>
      <w:r>
        <w:rPr>
          <w:caps w:val="false"/>
          <w:smallCaps w:val="fals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These risks,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uncertainties, and other factors include, but are not limited to, those described in our Risk Factors, set forth in Part I, Item 1A,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elsewhere in this report and those described from time to time in our future reports filed with the Securities and Exchange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Commission.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such forward-looking statements are made on the basis of our views and assumptions as of the date of the filing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not estimates of future performance. Except as required by law, we undertake no obligation to publicly update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The reader is cautioned not to place undue reliance on any such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1B.UNRESOLVED STAFF COMMENTS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did not receive any written comments from the Securities and Exchange Commission prior to the date 180 days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before the end of the fiscal year ended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regarding our filings under the Securities Exchange Act of 1934,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amended, that have not been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1C.CYBERSECURITY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Risk Management and Strategy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recognize the critical importance of developing, implementing, and maintaining robust cybersecurity measures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maintain the security, confidentiality, integrity, and availability of our business systems and confidential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personal information and intellectual property. Our cybersecurity program includes systems and processes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assessing, identifying and managing material risks from cybersecurity threats and include maintenance and monitoring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security policies aligned with global regulatory controls and aligned with National Institute of Standards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Technology Cybersecurity Framework and System and Organization Controls 2. The program includes user and employee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awareness of cyber policies and practices; information systems configuration management; third-party risk management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systems; identity and information asset protection; infrastructure security systems; and cyber threat operations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continuous monitoring and threat hunting.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This program also includes processes to oversee and identify material risks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cybersecurity threats associated with our use of third-party service providers. </w:t>
      </w:r>
      <w:r>
        <w:rPr>
          <w:rFonts w:ascii="Times New Roman;serif" w:hAnsi="Times New Roman;serif"/>
          <w:b w:val="false"/>
          <w:i w:val="false"/>
          <w:caps w:val="false"/>
          <w:smallCaps w:val="false"/>
          <w:strike w:val="false"/>
          <w:dstrike w:val="false"/>
          <w:sz w:val="20"/>
          <w:u w:val="none"/>
          <w:effect w:val="none"/>
          <w:shd w:fill="FFFFFF" w:val="clear"/>
        </w:rPr>
        <w:t xml:space="preserve">We engage a range of third-party experts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connection with various development, implementation, and maintenance activities related to our cybersecurity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including audit and compliance, threat hunting, monitoring, and end-user support.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cybersecurity program is integrated into our overall risk management systems, including our annual enterprise risk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program, internal audit program, business continuity and crisis management programs, third-party risk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program, insurance risk management program, and employee compliance programs. As part of our overall risk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management program, we maintain a global insurance portfolio with comprehensive cyber coverage.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Chief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Security Officer (“CISO”) and the Information Security function advises, consults with, or provides input to each of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programs to ensure that material risks from cybersecurity threats are appropriately assessed, identified, and managed.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the date of this report, there have been no cybersecurity threats that have materially affected or are reasonably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likely to materially affect our business, operations, or financial condition.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Similar to other companies, we have experienced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incidents, including temporary service interruptions of third-party suppliers. As of the date of this report,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however, known cybersecurity incidents, individually or in aggregate, have not had a material impact on our company. Over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last three years, net expenses incurred from any information security breaches, including any penalties and settlements,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are not material relative to our total revenue. For additional discussion on cybersecurity risks we face, see </w:t>
      </w:r>
      <w:r>
        <w:rPr>
          <w:rFonts w:ascii="Times New Roman;serif" w:hAnsi="Times New Roman;serif"/>
          <w:b w:val="false"/>
          <w:i/>
          <w:strike w:val="false"/>
          <w:dstrike w:val="false"/>
          <w:sz w:val="20"/>
          <w:u w:val="none"/>
          <w:effect w:val="none"/>
        </w:rPr>
        <w:t xml:space="preserve">Item 1.A, Risk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Factors – “A breakdown or breach of our information technology systems,</w:t>
      </w:r>
      <w:r>
        <w:rPr>
          <w:caps w:val="false"/>
          <w:smallCaps w:val="false"/>
          <w:strike w:val="false"/>
          <w:dstrike w:val="false"/>
          <w:sz w:val="24"/>
          <w:u w:val="none"/>
          <w:effect w:val="none"/>
        </w:rPr>
        <w:t xml:space="preserve"> </w:t>
      </w:r>
      <w:r>
        <w:rPr>
          <w:rFonts w:ascii="Times New Roman;serif" w:hAnsi="Times New Roman;serif"/>
          <w:b w:val="false"/>
          <w:i/>
          <w:strike w:val="false"/>
          <w:dstrike w:val="false"/>
          <w:sz w:val="20"/>
          <w:u w:val="none"/>
          <w:effect w:val="none"/>
        </w:rPr>
        <w:t xml:space="preserve">or unauthorized access to confidential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information could adversely affect our business.” </w:t>
      </w:r>
      <w:r>
        <w:rPr>
          <w:rFonts w:ascii="Times New Roman;serif" w:hAnsi="Times New Roman;serif"/>
          <w:b w:val="false"/>
          <w:i w:val="false"/>
          <w:caps w:val="false"/>
          <w:smallCaps w:val="false"/>
          <w:strike w:val="false"/>
          <w:dstrike w:val="false"/>
          <w:sz w:val="20"/>
          <w:u w:val="none"/>
          <w:effect w:val="none"/>
        </w:rPr>
        <w:t>of this Annual Report on Form 10-K</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Governance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While our board of directors has oversight responsibility for risk management generally, the Audit and Finance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Committee (“Audit Committee”) is specifically responsible for overseeing our cybersecurity risk management program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ensure that cybersecurity risks are identified, assessed, managed, and monitored.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CISO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provides quarterly updates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Audit Committee in this regard, and covers the state of our cybersecurity program, supported by key performance indicators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across the range of cybersecurity functions related to risk management and governance, identity and information asset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protection, core security and endpoint security, and cyber threat operations.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These updates include descriptions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incidents of interest, including those associated with our third-party service providers; the board will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informed promptly of material risks from cybersecurity threats.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strive to create a culture of cybersecurity resilience and awareness and believe that cybersecurity is the responsibility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every employee and contractor. </w:t>
      </w:r>
      <w:r>
        <w:rPr>
          <w:rFonts w:ascii="Times New Roman;serif" w:hAnsi="Times New Roman;serif"/>
          <w:b w:val="false"/>
          <w:i w:val="false"/>
          <w:caps w:val="false"/>
          <w:smallCaps w:val="false"/>
          <w:strike w:val="false"/>
          <w:dstrike w:val="false"/>
          <w:sz w:val="20"/>
          <w:u w:val="none"/>
          <w:effect w:val="none"/>
        </w:rPr>
        <w:t xml:space="preserve">At the same time, primary responsibility for assessing, monitoring, and managing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risks lies with our CISO. Our CISO has more than 35 years of experience in security and information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spent 25 years with Raytheon Technologies, most recently as Chief Technology Officer of Cybersecurity, Special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Missions, Training &amp; Services. Our CISO supported the U.S. President's National Security Telecommunications Advisory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Committee for more than 20 years, is a member of the Massachusetts Cybersecurity Strategy Council, and previously served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Chair of the Kogod Cybersecurity Governance Center at American University. He also served on the Rhode Island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Homeland Security Advisory Board and was a member of various commercial cyber product councils.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CISO oversees a team of skilled cybersecurity professionals who have Certified Information Systems 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Professional credentials, Global Information Assurance Certification from the SANS Institute, and other security and network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certifications. The cybersecurity team monitors and evaluates our cybersecurity posture and performance on an ongoing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including through regular vulnerability scans, penetration tests, and threat intelligence feeds. The cybersecurity team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uses various tools and methodologies to manage cybersecurity risk that are tested on a regular cadence, and assesses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evaluates cybersecurity incidents, escalating certain cybersecurity incidents to the CISO according to protocol. The CISO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continually informed regarding the performance of the cybersecurity program, as well as the latest developments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including potential threats and innovative risk management techniques aligned with industry standards.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CISO reports to our Chief Digital and Information Officer, who is a Senior Vice President of the Company and reports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directly to our Chief Operating and Financial Officer (“COFO”). Our COFO is an Executive Vice President and an executive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officer of the Company, and reports directly to our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2.PROPERTIES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Corporate Headquarters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lease approximately 1.1 million square feet of office and laboratory space at our corporate headquarters in Boston,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Massachusetts in two buildings pursuant to two leases that we entered into in May 2011 and amended in August 2024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among other terms, extend the lease termination dates from December 2028 to June 2044. We have the option to extend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term of the leases for up to two additional ten-year periods.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Additional United States and Worldwide Locations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addition to our corporate headquarters, we lease an aggregate of </w:t>
      </w:r>
      <w:r>
        <w:rPr>
          <w:rFonts w:ascii="Times New Roman;serif" w:hAnsi="Times New Roman;serif"/>
          <w:b w:val="false"/>
          <w:i w:val="false"/>
          <w:caps w:val="false"/>
          <w:smallCaps w:val="false"/>
          <w:strike w:val="false"/>
          <w:dstrike w:val="false"/>
          <w:sz w:val="20"/>
          <w:u w:val="none"/>
          <w:effect w:val="none"/>
        </w:rPr>
        <w:t xml:space="preserve">approximately 865,000 </w:t>
      </w:r>
      <w:r>
        <w:rPr>
          <w:rFonts w:ascii="Times New Roman;serif" w:hAnsi="Times New Roman;serif"/>
          <w:b w:val="false"/>
          <w:i w:val="false"/>
          <w:caps w:val="false"/>
          <w:smallCaps w:val="false"/>
          <w:sz w:val="20"/>
        </w:rPr>
        <w:t>squar</w:t>
      </w:r>
      <w:r>
        <w:rPr>
          <w:rFonts w:ascii="Times New Roman;serif" w:hAnsi="Times New Roman;serif"/>
          <w:b w:val="false"/>
          <w:i w:val="false"/>
          <w:caps w:val="false"/>
          <w:smallCaps w:val="false"/>
          <w:strike w:val="false"/>
          <w:dstrike w:val="false"/>
          <w:sz w:val="20"/>
          <w:u w:val="none"/>
          <w:effect w:val="none"/>
        </w:rPr>
        <w:t xml:space="preserve">e feet of space globally.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This space includes logistical, laboratory, commercial and manufacturing operations, as well as laborator</w:t>
      </w:r>
      <w:r>
        <w:rPr>
          <w:rFonts w:ascii="Times New Roman;serif" w:hAnsi="Times New Roman;serif"/>
          <w:b w:val="false"/>
          <w:i w:val="false"/>
          <w:caps w:val="false"/>
          <w:smallCaps w:val="false"/>
          <w:sz w:val="20"/>
        </w:rPr>
        <w:t xml:space="preserve">y and office space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 our research and development organizations. We also own approximately 213,000 square feet at our continuous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facility in Massachusetts. Additionally, we are constructing the second building of our Leiden Campus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Massachusetts (“Leiden II”), which will include approximately </w:t>
      </w:r>
      <w:r>
        <w:rPr>
          <w:rFonts w:ascii="Times New Roman;serif" w:hAnsi="Times New Roman;serif"/>
          <w:b w:val="false"/>
          <w:i w:val="false"/>
          <w:caps w:val="false"/>
          <w:smallCaps w:val="false"/>
          <w:strike w:val="false"/>
          <w:dstrike w:val="false"/>
          <w:sz w:val="20"/>
          <w:u w:val="none"/>
          <w:effect w:val="none"/>
        </w:rPr>
        <w:t>348,000</w:t>
      </w:r>
      <w:r>
        <w:rPr>
          <w:caps w:val="false"/>
          <w:smallCaps w:val="false"/>
          <w:sz w:val="24"/>
        </w:rPr>
        <w:t xml:space="preserve"> </w:t>
      </w:r>
      <w:r>
        <w:rPr>
          <w:rFonts w:ascii="Times New Roman;serif" w:hAnsi="Times New Roman;serif"/>
          <w:b w:val="false"/>
          <w:i w:val="false"/>
          <w:caps w:val="false"/>
          <w:smallCaps w:val="false"/>
          <w:sz w:val="20"/>
        </w:rPr>
        <w:t xml:space="preserve">square feet of office and laboratory space. </w:t>
      </w:r>
      <w:r>
        <w:rPr>
          <w:rFonts w:ascii="Times New Roman;serif" w:hAnsi="Times New Roman;serif"/>
          <w:b w:val="false"/>
          <w:i w:val="false"/>
          <w:caps w:val="false"/>
          <w:smallCaps w:val="false"/>
          <w:strike w:val="false"/>
          <w:dstrike w:val="false"/>
          <w:sz w:val="20"/>
          <w:u w:val="none"/>
          <w:effect w:val="none"/>
        </w:rPr>
        <w:t xml:space="preserve">We expect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Leiden II to be operational in late 2026</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3.LEGAL PROCEEDINGS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Other than as described in </w:t>
      </w:r>
      <w:r>
        <w:rPr>
          <w:rFonts w:ascii="Times New Roman;serif" w:hAnsi="Times New Roman;serif"/>
          <w:b w:val="false"/>
          <w:i w:val="false"/>
          <w:caps w:val="false"/>
          <w:smallCaps w:val="false"/>
          <w:strike w:val="false"/>
          <w:dstrike w:val="false"/>
          <w:sz w:val="20"/>
          <w:u w:val="none"/>
          <w:effect w:val="none"/>
        </w:rPr>
        <w:t>Note P, “Commitments and Contingencies,”</w:t>
      </w:r>
      <w:r>
        <w:rPr>
          <w:caps w:val="false"/>
          <w:smallCaps w:val="false"/>
          <w:sz w:val="24"/>
        </w:rPr>
        <w:t xml:space="preserve"> </w:t>
      </w:r>
      <w:r>
        <w:rPr>
          <w:rFonts w:ascii="Times New Roman;serif" w:hAnsi="Times New Roman;serif"/>
          <w:b w:val="false"/>
          <w:i w:val="false"/>
          <w:caps w:val="false"/>
          <w:smallCaps w:val="false"/>
          <w:sz w:val="20"/>
        </w:rPr>
        <w:t xml:space="preserve">to our consolidated financial statements, we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currently subject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4.MINE SAFETY DISCLOSURES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5.MARKET FOR REGISTRANT’S COMMON EQUITY, RELATED STOCKHOLDER MATTERS AND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ISSUER PURCHASES OF EQUITY SECURITIES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Market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common stock is traded on The Nasdaq Global Select Market under the symbol “VRTX.”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Shareholders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February 6, 2026</w:t>
      </w:r>
      <w:r>
        <w:rPr>
          <w:rFonts w:ascii="Times New Roman;serif" w:hAnsi="Times New Roman;serif"/>
          <w:b w:val="false"/>
          <w:i w:val="false"/>
          <w:caps w:val="false"/>
          <w:smallCaps w:val="false"/>
          <w:sz w:val="20"/>
        </w:rPr>
        <w:t xml:space="preserve">, there were </w:t>
      </w:r>
      <w:r>
        <w:rPr>
          <w:rFonts w:ascii="Times New Roman;serif" w:hAnsi="Times New Roman;serif"/>
          <w:b w:val="false"/>
          <w:i w:val="false"/>
          <w:caps w:val="false"/>
          <w:smallCaps w:val="false"/>
          <w:strike w:val="false"/>
          <w:dstrike w:val="false"/>
          <w:sz w:val="20"/>
          <w:u w:val="none"/>
          <w:effect w:val="none"/>
        </w:rPr>
        <w:t>94</w:t>
      </w:r>
      <w:r>
        <w:rPr>
          <w:caps w:val="false"/>
          <w:smallCaps w:val="false"/>
          <w:sz w:val="24"/>
        </w:rPr>
        <w:t xml:space="preserve"> </w:t>
      </w:r>
      <w:r>
        <w:rPr>
          <w:rFonts w:ascii="Times New Roman;serif" w:hAnsi="Times New Roman;serif"/>
          <w:b w:val="false"/>
          <w:i w:val="false"/>
          <w:caps w:val="false"/>
          <w:smallCaps w:val="false"/>
          <w:sz w:val="20"/>
        </w:rPr>
        <w:t>holders of record of our common stock.</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Performance Graph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performance graph includes the NASDAQ Biotechnology Index, which we believe is a comparable index consisting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companies with similar industry classifications, and which we plan to use in our future performance graphs.</w:t>
      </w:r>
    </w:p>
    <w:p>
      <w:pPr>
        <w:pStyle w:val="TextBody"/>
        <w:bidi w:val="0"/>
        <w:spacing w:before="0" w:after="0"/>
        <w:jc w:val="left"/>
        <w:rPr/>
      </w:pPr>
      <w:r>
        <w:rPr/>
        <w:drawing>
          <wp:inline distT="0" distB="0" distL="0" distR="0">
            <wp:extent cx="6172200" cy="54209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172200" cy="5420995"/>
                    </a:xfrm>
                    <a:prstGeom prst="rect">
                      <a:avLst/>
                    </a:prstGeom>
                  </pic:spPr>
                </pic:pic>
              </a:graphicData>
            </a:graphic>
          </wp:inline>
        </w:drawing>
      </w:r>
      <w:bookmarkStart w:id="10" w:name="i-11"/>
      <w:bookmarkEnd w:id="10"/>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Dividends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never paid any cash dividends on our common stock, and we do not anticipate paying any in the foreseeable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future.</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Issuer Repurchases of Equity Securities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May 2025, our Board of Directors approved a share repurchase program (our “2025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which we are authorized to repurchase up to $4.0 billion of our common stock. The 2025 Share Repurchase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does not have an expiration date and can be discontinued at any time.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table set forth below shows repurchases of securities by us during the three months ended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2025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22" w:type="dxa"/>
        <w:jc w:val="left"/>
        <w:tblInd w:w="0" w:type="dxa"/>
        <w:tblLayout w:type="fixed"/>
        <w:tblCellMar>
          <w:top w:w="28" w:type="dxa"/>
          <w:left w:w="28" w:type="dxa"/>
          <w:bottom w:w="28" w:type="dxa"/>
          <w:right w:w="28" w:type="dxa"/>
        </w:tblCellMar>
      </w:tblPr>
      <w:tblGrid>
        <w:gridCol w:w="2596"/>
        <w:gridCol w:w="991"/>
        <w:gridCol w:w="109"/>
        <w:gridCol w:w="871"/>
        <w:gridCol w:w="109"/>
        <w:gridCol w:w="2176"/>
        <w:gridCol w:w="109"/>
        <w:gridCol w:w="2461"/>
      </w:tblGrid>
      <w:tr>
        <w:trPr/>
        <w:tc>
          <w:tcPr>
            <w:tcW w:w="25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Period</w:t>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Number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of Shares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Purchased</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Price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Paid per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w:t>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Total Number of Shares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Purchased as Part of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Publicly Announced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Programs (1)</w:t>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Approximate Dollar Value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of Shares that May Yet Be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Purchased Under the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Programs (1)</w:t>
            </w:r>
          </w:p>
        </w:tc>
      </w:tr>
      <w:tr>
        <w:trPr/>
        <w:tc>
          <w:tcPr>
            <w:tcW w:w="25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Oct.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to Oct. 31, </w:t>
            </w:r>
            <w:r>
              <w:rPr>
                <w:rFonts w:ascii="Times New Roman;serif" w:hAnsi="Times New Roman;serif"/>
                <w:b w:val="false"/>
                <w:i w:val="false"/>
                <w:caps w:val="false"/>
                <w:smallCaps w:val="false"/>
                <w:strike w:val="false"/>
                <w:dstrike w:val="false"/>
                <w:sz w:val="20"/>
                <w:u w:val="none"/>
                <w:effect w:val="none"/>
              </w:rPr>
              <w:t>2025</w:t>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$3,381,462,793</w:t>
            </w:r>
          </w:p>
        </w:tc>
      </w:tr>
      <w:tr>
        <w:trPr/>
        <w:tc>
          <w:tcPr>
            <w:tcW w:w="259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Nov.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to Nov. 30, </w:t>
            </w:r>
            <w:r>
              <w:rPr>
                <w:rFonts w:ascii="Times New Roman;serif" w:hAnsi="Times New Roman;serif"/>
                <w:b w:val="false"/>
                <w:i w:val="false"/>
                <w:caps w:val="false"/>
                <w:smallCaps w:val="false"/>
                <w:strike w:val="false"/>
                <w:dstrike w:val="false"/>
                <w:sz w:val="20"/>
                <w:u w:val="none"/>
                <w:effect w:val="none"/>
              </w:rPr>
              <w:t>2025</w:t>
            </w:r>
          </w:p>
        </w:tc>
        <w:tc>
          <w:tcPr>
            <w:tcW w:w="9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$3,381,462,793</w:t>
            </w:r>
          </w:p>
        </w:tc>
      </w:tr>
      <w:tr>
        <w:trPr/>
        <w:tc>
          <w:tcPr>
            <w:tcW w:w="259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Dec. 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to Dec. 31, </w:t>
            </w:r>
            <w:r>
              <w:rPr>
                <w:rFonts w:ascii="Times New Roman;serif" w:hAnsi="Times New Roman;serif"/>
                <w:b w:val="false"/>
                <w:i w:val="false"/>
                <w:caps w:val="false"/>
                <w:smallCaps w:val="false"/>
                <w:strike w:val="false"/>
                <w:dstrike w:val="false"/>
                <w:sz w:val="20"/>
                <w:u w:val="none"/>
                <w:effect w:val="none"/>
              </w:rPr>
              <w:t>2025</w:t>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$3,381,462,793</w:t>
            </w:r>
          </w:p>
        </w:tc>
      </w:tr>
      <w:tr>
        <w:trPr/>
        <w:tc>
          <w:tcPr>
            <w:tcW w:w="25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9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$3,381,462,793</w:t>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(1)Under our 2025 Share Repurchase Program, we are authorized to purchase shares from time to time through open market or privately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negotiated transactions. Such purchases may be made pursuant to Rule 10b5-1 plans or other means as determined by our management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and in accordance with the requirements of the Securities and Exchange Commission.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6.[RESERVED]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7.MANAGEMENT’S DISCUSSION AND ANALYSIS OF FINANCIAL CONDITION AND RESULTS OF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OPERATIONS</w:t>
      </w:r>
    </w:p>
    <w:p>
      <w:pPr>
        <w:pStyle w:val="TextBody"/>
        <w:bidi w:val="0"/>
        <w:spacing w:lineRule="atLeast" w:line="200" w:before="0" w:after="0"/>
        <w:jc w:val="left"/>
        <w:rPr>
          <w:sz w:val="24"/>
        </w:rPr>
      </w:pPr>
      <w:r>
        <w:rPr>
          <w:rFonts w:ascii="Times New Roman;serif" w:hAnsi="Times New Roman;serif"/>
          <w:b w:val="false"/>
          <w:i/>
          <w:sz w:val="20"/>
        </w:rPr>
        <w:t xml:space="preserve">Our discussion and analysis of our financial condition and results of operations for </w:t>
      </w:r>
      <w:r>
        <w:rPr>
          <w:rFonts w:ascii="Times New Roman;serif" w:hAnsi="Times New Roman;serif"/>
          <w:b w:val="false"/>
          <w:i/>
          <w:strike w:val="false"/>
          <w:dstrike w:val="false"/>
          <w:sz w:val="20"/>
          <w:u w:val="none"/>
          <w:effect w:val="none"/>
        </w:rPr>
        <w:t>2025</w:t>
      </w:r>
      <w:r>
        <w:rPr>
          <w:sz w:val="24"/>
        </w:rPr>
        <w:t xml:space="preserve"> </w:t>
      </w:r>
      <w:r>
        <w:rPr>
          <w:rFonts w:ascii="Times New Roman;serif" w:hAnsi="Times New Roman;serif"/>
          <w:b w:val="false"/>
          <w:i/>
          <w:sz w:val="20"/>
        </w:rPr>
        <w:t xml:space="preserve">as compared to </w:t>
      </w:r>
      <w:r>
        <w:rPr>
          <w:rFonts w:ascii="Times New Roman;serif" w:hAnsi="Times New Roman;serif"/>
          <w:b w:val="false"/>
          <w:i/>
          <w:strike w:val="false"/>
          <w:dstrike w:val="false"/>
          <w:sz w:val="20"/>
          <w:u w:val="none"/>
          <w:effect w:val="none"/>
        </w:rPr>
        <w:t>2024</w:t>
      </w:r>
      <w:r>
        <w:rPr>
          <w:sz w:val="24"/>
        </w:rPr>
        <w:t xml:space="preserve"> </w:t>
      </w:r>
      <w:r>
        <w:rPr>
          <w:rFonts w:ascii="Times New Roman;serif" w:hAnsi="Times New Roman;serif"/>
          <w:b w:val="false"/>
          <w:i/>
          <w:sz w:val="20"/>
        </w:rPr>
        <w:t xml:space="preserve">are </w:t>
      </w:r>
    </w:p>
    <w:p>
      <w:pPr>
        <w:pStyle w:val="TextBody"/>
        <w:bidi w:val="0"/>
        <w:spacing w:lineRule="atLeast" w:line="200" w:before="0" w:after="0"/>
        <w:jc w:val="left"/>
        <w:rPr>
          <w:sz w:val="24"/>
        </w:rPr>
      </w:pPr>
      <w:r>
        <w:rPr>
          <w:rFonts w:ascii="Times New Roman;serif" w:hAnsi="Times New Roman;serif"/>
          <w:b w:val="false"/>
          <w:i/>
          <w:sz w:val="20"/>
        </w:rPr>
        <w:t xml:space="preserve">discussed below. For a discussion of our financial condition and results of operations for </w:t>
      </w:r>
      <w:r>
        <w:rPr>
          <w:rFonts w:ascii="Times New Roman;serif" w:hAnsi="Times New Roman;serif"/>
          <w:b w:val="false"/>
          <w:i/>
          <w:strike w:val="false"/>
          <w:dstrike w:val="false"/>
          <w:sz w:val="20"/>
          <w:u w:val="none"/>
          <w:effect w:val="none"/>
        </w:rPr>
        <w:t>2024</w:t>
      </w:r>
      <w:r>
        <w:rPr>
          <w:sz w:val="24"/>
        </w:rPr>
        <w:t xml:space="preserve"> </w:t>
      </w:r>
      <w:r>
        <w:rPr>
          <w:rFonts w:ascii="Times New Roman;serif" w:hAnsi="Times New Roman;serif"/>
          <w:b w:val="false"/>
          <w:i/>
          <w:sz w:val="20"/>
        </w:rPr>
        <w:t xml:space="preserve">as compared to </w:t>
      </w:r>
      <w:r>
        <w:rPr>
          <w:rFonts w:ascii="Times New Roman;serif" w:hAnsi="Times New Roman;serif"/>
          <w:b w:val="false"/>
          <w:i/>
          <w:strike w:val="false"/>
          <w:dstrike w:val="false"/>
          <w:sz w:val="20"/>
          <w:u w:val="none"/>
          <w:effect w:val="none"/>
        </w:rPr>
        <w:t>2023</w:t>
      </w:r>
      <w:r>
        <w:rPr>
          <w:rFonts w:ascii="Times New Roman;serif" w:hAnsi="Times New Roman;serif"/>
          <w:b w:val="false"/>
          <w:i/>
          <w:sz w:val="20"/>
        </w:rPr>
        <w:t xml:space="preserve">, please </w:t>
      </w:r>
    </w:p>
    <w:p>
      <w:pPr>
        <w:pStyle w:val="TextBody"/>
        <w:bidi w:val="0"/>
        <w:spacing w:lineRule="atLeast" w:line="200" w:before="0" w:after="0"/>
        <w:jc w:val="left"/>
        <w:rPr>
          <w:sz w:val="24"/>
        </w:rPr>
      </w:pPr>
      <w:r>
        <w:rPr>
          <w:rFonts w:ascii="Times New Roman;serif" w:hAnsi="Times New Roman;serif"/>
          <w:b w:val="false"/>
          <w:i/>
          <w:sz w:val="20"/>
        </w:rPr>
        <w:t xml:space="preserve">refer to Item 7, “Management’s Discussion and Analysis of Financial Condition and Results of Operations” in our </w:t>
      </w:r>
      <w:r>
        <w:rPr>
          <w:rFonts w:ascii="Times New Roman;serif" w:hAnsi="Times New Roman;serif"/>
          <w:b w:val="false"/>
          <w:i/>
          <w:strike w:val="false"/>
          <w:dstrike w:val="false"/>
          <w:sz w:val="20"/>
          <w:u w:val="none"/>
          <w:effect w:val="none"/>
        </w:rPr>
        <w:t>2024</w:t>
      </w:r>
      <w:r>
        <w:rPr>
          <w:sz w:val="24"/>
        </w:rPr>
        <w:t xml:space="preserv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Annual Report on Form 10-K, except as set forth below.</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OVERVIEW</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We are a global biotechnology company that invests in scientific innovation to create transformative </w:t>
      </w:r>
      <w:r>
        <w:rPr>
          <w:rFonts w:ascii="Times New Roman;serif" w:hAnsi="Times New Roman;serif"/>
          <w:b w:val="false"/>
          <w:i w:val="false"/>
          <w:caps w:val="false"/>
          <w:smallCaps w:val="false"/>
          <w:strike w:val="false"/>
          <w:dstrike w:val="false"/>
          <w:sz w:val="20"/>
          <w:u w:val="none"/>
          <w:effect w:val="none"/>
          <w:shd w:fill="FFFFFF" w:val="clear"/>
        </w:rPr>
        <w:t xml:space="preserve">medicines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people with serious diseases, with a focus on specialty markets. We have approved medicines for cystic fibrosis (“CF”),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sickle cell disease (“SCD”), transfusion dependent beta thalassemia (“TDT”), and acute pain, and we continue to serially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innovate and advance next-generation clinical and research programs in these areas. Our mid- and late-stage clinical pipeline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includes programs across a range of modalities in additional serious diseases, including IgA nephropathy, APOL1-mediated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kidney disease, neuropathic pain, type 1 diabetes, primary membranous nephropathy, autosomal dominant polycystic kidney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disease, and myotonic dystrophy type 1.</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Collectively, our five CF medicines, led by TRIKAFTA/KAFTRIO, are being used to treat nearly three quarters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people with CF in the U.S., Europe, Australia, and Canada. ALYFTREK, our newest CF medicine, is approved in the United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States (the “U.S.”), the United Kingdom (the “U.K.”), the European Union (the “E.U.”), Canada, New Zealand, Switzerland,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Australia and Israel.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CASGEVY, our ex-vivo, non-viral CRISPR/Cas9 gene-edited cell therapy, is approved in the U.S., the E.U., the U.K.,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Kingdom of Saudi Arabia (“Saudi Arabia”), the Kingdom of Bahrain (“Bahrain”), Qatar, the United Arab Emirates (the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UAE”), Kuwait, Switzerland and Canada for the treatment of people 12 years of age and older with SCD or TDT.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JOURNAVX, our selective non-opioid NaV1.8 pain signal inhibitor, is approved in the U.S. for the treatment of people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with moderate-to-severe acute pain.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are continuing our commercial launch of JOURNAVX for eligible adults.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Financial Highlights</w:t>
      </w:r>
    </w:p>
    <w:tbl>
      <w:tblPr>
        <w:tblW w:w="10007" w:type="dxa"/>
        <w:jc w:val="left"/>
        <w:tblInd w:w="0" w:type="dxa"/>
        <w:tblLayout w:type="fixed"/>
        <w:tblCellMar>
          <w:top w:w="28" w:type="dxa"/>
          <w:left w:w="28" w:type="dxa"/>
          <w:bottom w:w="28" w:type="dxa"/>
          <w:right w:w="28" w:type="dxa"/>
        </w:tblCellMar>
      </w:tblPr>
      <w:tblGrid>
        <w:gridCol w:w="1966"/>
        <w:gridCol w:w="8041"/>
      </w:tblGrid>
      <w:tr>
        <w:trPr/>
        <w:tc>
          <w:tcPr>
            <w:tcW w:w="1966" w:type="dxa"/>
            <w:tcBorders/>
            <w:vAlign w:val="center"/>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Total Revenues</w:t>
            </w:r>
          </w:p>
        </w:tc>
        <w:tc>
          <w:tcPr>
            <w:tcW w:w="804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2025, our total revenues increased to $12.0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compared to $11.0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2024,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due to continued strong demand for TRIKAFTA/KAFTRIO as well as contributions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our launches of ALYFTREK, JOURNAVX and CASGEVY.</w:t>
            </w:r>
          </w:p>
        </w:tc>
      </w:tr>
      <w:tr>
        <w:trPr/>
        <w:tc>
          <w:tcPr>
            <w:tcW w:w="196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Cost of Sales</w:t>
            </w:r>
          </w:p>
        </w:tc>
        <w:tc>
          <w:tcPr>
            <w:tcW w:w="804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Our cost of sales as a percentage of our net product revenues </w:t>
            </w:r>
            <w:r>
              <w:rPr>
                <w:rFonts w:ascii="Times New Roman;serif" w:hAnsi="Times New Roman;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erif" w:hAnsi="Times New Roman;serif"/>
                <w:b w:val="false"/>
                <w:i w:val="false"/>
                <w:caps w:val="false"/>
                <w:smallCaps w:val="false"/>
                <w:sz w:val="20"/>
              </w:rPr>
              <w:t xml:space="preserve">from </w:t>
            </w:r>
            <w:r>
              <w:rPr>
                <w:rFonts w:ascii="Times New Roman;serif" w:hAnsi="Times New Roman;serif"/>
                <w:b w:val="false"/>
                <w:i w:val="false"/>
                <w:caps w:val="false"/>
                <w:smallCaps w:val="false"/>
                <w:strike w:val="false"/>
                <w:dstrike w:val="false"/>
                <w:sz w:val="20"/>
                <w:u w:val="none"/>
                <w:effect w:val="none"/>
              </w:rPr>
              <w:t>13.9%</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to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13.8%</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a result of a lower overall royalty rate for our CF medicines, partially offset by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in our product mix, and investments in network expansion and manufacturing process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improvements.</w:t>
            </w:r>
          </w:p>
        </w:tc>
      </w:tr>
      <w:tr>
        <w:trPr/>
        <w:tc>
          <w:tcPr>
            <w:tcW w:w="196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Total R&amp;D and SG&amp;A </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Expenses</w:t>
            </w:r>
          </w:p>
        </w:tc>
        <w:tc>
          <w:tcPr>
            <w:tcW w:w="80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total research and development (“R&amp;D”) and selling, general and administrative (“SG&amp;A”)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expenses increased to </w:t>
            </w:r>
            <w:r>
              <w:rPr>
                <w:rFonts w:ascii="Times New Roman;serif" w:hAnsi="Times New Roman;serif"/>
                <w:b w:val="false"/>
                <w:i w:val="false"/>
                <w:caps w:val="false"/>
                <w:smallCaps w:val="false"/>
                <w:strike w:val="false"/>
                <w:dstrike w:val="false"/>
                <w:sz w:val="20"/>
                <w:u w:val="none"/>
                <w:effect w:val="none"/>
              </w:rPr>
              <w:t>$5.7 billion</w:t>
            </w:r>
            <w:r>
              <w:rPr>
                <w:caps w:val="false"/>
                <w:smallCaps w:val="false"/>
                <w:sz w:val="24"/>
              </w:rPr>
              <w:t xml:space="preserve"> </w:t>
            </w:r>
            <w:r>
              <w:rPr>
                <w:rFonts w:ascii="Times New Roman;serif" w:hAnsi="Times New Roman;serif"/>
                <w:b w:val="false"/>
                <w:i w:val="false"/>
                <w:caps w:val="false"/>
                <w:smallCaps w:val="false"/>
                <w:sz w:val="20"/>
              </w:rPr>
              <w:t xml:space="preserve">in 2025 as compared to </w:t>
            </w:r>
            <w:r>
              <w:rPr>
                <w:rFonts w:ascii="Times New Roman;serif" w:hAnsi="Times New Roman;serif"/>
                <w:b w:val="false"/>
                <w:i w:val="false"/>
                <w:caps w:val="false"/>
                <w:smallCaps w:val="false"/>
                <w:strike w:val="false"/>
                <w:dstrike w:val="false"/>
                <w:sz w:val="20"/>
                <w:u w:val="none"/>
                <w:effect w:val="none"/>
              </w:rPr>
              <w:t>$5.1 billion</w:t>
            </w:r>
            <w:r>
              <w:rPr>
                <w:caps w:val="false"/>
                <w:smallCaps w:val="false"/>
                <w:sz w:val="24"/>
              </w:rPr>
              <w:t xml:space="preserve"> </w:t>
            </w:r>
            <w:r>
              <w:rPr>
                <w:rFonts w:ascii="Times New Roman;serif" w:hAnsi="Times New Roman;serif"/>
                <w:b w:val="false"/>
                <w:i w:val="false"/>
                <w:caps w:val="false"/>
                <w:smallCaps w:val="false"/>
                <w:sz w:val="20"/>
              </w:rPr>
              <w:t xml:space="preserve">in 2024, primarily due to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increased investment to commercialize our new products and to advance our R&amp;D pipeline.</w:t>
            </w:r>
          </w:p>
        </w:tc>
      </w:tr>
      <w:tr>
        <w:trPr/>
        <w:tc>
          <w:tcPr>
            <w:tcW w:w="196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AIPR&amp;D Expenses</w:t>
            </w:r>
          </w:p>
        </w:tc>
        <w:tc>
          <w:tcPr>
            <w:tcW w:w="804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In 2025, our acquired in-process research and development expenses (“AIPR&amp;D”) of </w:t>
            </w:r>
            <w:r>
              <w:rPr>
                <w:rFonts w:ascii="Times New Roman;serif" w:hAnsi="Times New Roman;serif"/>
                <w:b w:val="false"/>
                <w:i w:val="false"/>
                <w:caps w:val="false"/>
                <w:smallCaps w:val="false"/>
                <w:strike w:val="false"/>
                <w:dstrike w:val="false"/>
                <w:sz w:val="20"/>
                <w:u w:val="none"/>
                <w:effect w:val="none"/>
              </w:rPr>
              <w:t xml:space="preserve">$133.0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included various upfront and milestone payments related to our collaboration and in-</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licensing arrangements. In 2024, AIPR&amp;D included $4.4 billion resulting from our acquisition of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Alpine Immune Sciences, Inc. (“Alpine”), which was accounted for as an asset acquisition.</w:t>
            </w:r>
          </w:p>
        </w:tc>
      </w:tr>
      <w:tr>
        <w:trPr/>
        <w:tc>
          <w:tcPr>
            <w:tcW w:w="196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Cash</w:t>
            </w:r>
          </w:p>
        </w:tc>
        <w:tc>
          <w:tcPr>
            <w:tcW w:w="804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Our total cash, cash equivalents and marketable securities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$12.3 billion</w:t>
            </w:r>
            <w:r>
              <w:rPr>
                <w:caps w:val="false"/>
                <w:smallCaps w:val="false"/>
                <w:sz w:val="24"/>
              </w:rPr>
              <w:t xml:space="preserve"> </w:t>
            </w:r>
            <w:r>
              <w:rPr>
                <w:rFonts w:ascii="Times New Roman;serif" w:hAnsi="Times New Roman;serif"/>
                <w:b w:val="false"/>
                <w:i w:val="false"/>
                <w:caps w:val="false"/>
                <w:smallCaps w:val="false"/>
                <w:sz w:val="20"/>
              </w:rPr>
              <w:t xml:space="preserve">as of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$11.2 billion</w:t>
            </w:r>
            <w:r>
              <w:rPr>
                <w:caps w:val="false"/>
                <w:smallCaps w:val="false"/>
                <w:sz w:val="24"/>
              </w:rPr>
              <w:t xml:space="preserve"> </w:t>
            </w: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primarily due to cash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flows provided by our operating activities partially offset by repurchases of our common stock.</w:t>
            </w:r>
          </w:p>
        </w:tc>
      </w:tr>
    </w:tbl>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FFFFFF"/>
          <w:sz w:val="14"/>
          <w:u w:val="none"/>
          <w:effect w:val="none"/>
          <w:shd w:fill="auto" w:val="clear"/>
        </w:rPr>
      </w:pPr>
      <w:r>
        <w:rPr>
          <w:rFonts w:ascii="Times New Roman;serif" w:hAnsi="Times New Roman;serif"/>
          <w:b w:val="false"/>
          <w:i w:val="false"/>
          <w:caps w:val="false"/>
          <w:smallCaps w:val="false"/>
          <w:strike w:val="false"/>
          <w:dstrike w:val="false"/>
          <w:color w:val="FFFFFF"/>
          <w:sz w:val="14"/>
          <w:u w:val="none"/>
          <w:effect w:val="none"/>
          <w:shd w:fill="auto" w:val="clear"/>
        </w:rPr>
        <w:t>$0.1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TextBody"/>
        <w:bidi w:val="0"/>
        <w:spacing w:before="0" w:after="0"/>
        <w:jc w:val="left"/>
        <w:rPr/>
      </w:pPr>
      <w:r>
        <w:rPr/>
        <w:drawing>
          <wp:inline distT="0" distB="0" distL="0" distR="0">
            <wp:extent cx="3291840" cy="15544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291840" cy="1554480"/>
                    </a:xfrm>
                    <a:prstGeom prst="rect">
                      <a:avLst/>
                    </a:prstGeom>
                  </pic:spPr>
                </pic:pic>
              </a:graphicData>
            </a:graphic>
          </wp:inline>
        </w:drawing>
      </w:r>
      <w:bookmarkStart w:id="11" w:name="i-12"/>
      <w:bookmarkEnd w:id="11"/>
    </w:p>
    <w:p>
      <w:pPr>
        <w:pStyle w:val="TextBody"/>
        <w:bidi w:val="0"/>
        <w:spacing w:before="0" w:after="0"/>
        <w:jc w:val="left"/>
        <w:rPr/>
      </w:pPr>
      <w:r>
        <w:rPr/>
        <w:drawing>
          <wp:inline distT="0" distB="0" distL="0" distR="0">
            <wp:extent cx="3017520" cy="15544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017520" cy="1554480"/>
                    </a:xfrm>
                    <a:prstGeom prst="rect">
                      <a:avLst/>
                    </a:prstGeom>
                  </pic:spPr>
                </pic:pic>
              </a:graphicData>
            </a:graphic>
          </wp:inline>
        </w:drawing>
      </w:r>
      <w:bookmarkStart w:id="12" w:name="i-13"/>
      <w:bookmarkEnd w:id="12"/>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$0.1</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2024</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December 31, 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December 31, 2024</w:t>
      </w:r>
    </w:p>
    <w:p>
      <w:pPr>
        <w:pStyle w:val="TextBody"/>
        <w:bidi w:val="0"/>
        <w:spacing w:lineRule="atLeast" w:line="160" w:before="0" w:after="0"/>
        <w:jc w:val="left"/>
        <w:rPr>
          <w:rFonts w:ascii="Times New Roman;serif" w:hAnsi="Times New Roman;serif"/>
          <w:b w:val="false"/>
          <w:i/>
          <w:strike w:val="false"/>
          <w:dstrike w:val="false"/>
          <w:sz w:val="16"/>
          <w:u w:val="none"/>
          <w:effect w:val="none"/>
        </w:rPr>
      </w:pPr>
      <w:r>
        <w:rPr>
          <w:rFonts w:ascii="Times New Roman;serif" w:hAnsi="Times New Roman;serif"/>
          <w:b w:val="false"/>
          <w:i/>
          <w:strike w:val="false"/>
          <w:dstrike w:val="false"/>
          <w:sz w:val="16"/>
          <w:u w:val="none"/>
          <w:effect w:val="none"/>
        </w:rPr>
        <w:t>Note: Charts above may not add due to rounding.</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Business Updates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Marketed Products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that the number of people with CF taking our medicines will continue to grow through new approvals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agreements, treatment of younger patients, increased survival and expansion into additional geographies.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ALYFTREK is reimbursed for eligible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people with CF in the U.S., England, Ireland, Germany, Denmark, Northern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Ireland, Norway, Wales, Italy, Australia, New Zealand and Luxembourg. We are working to secure access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eligible patients in additional countries.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Sickle Cell Disease and Beta Thalassemia</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In 2025</w:t>
      </w:r>
      <w:r>
        <w:rPr>
          <w:rFonts w:ascii="Times New Roman;serif" w:hAnsi="Times New Roman;serif"/>
          <w:b w:val="false"/>
          <w:i w:val="false"/>
          <w:caps w:val="false"/>
          <w:smallCaps w:val="false"/>
          <w:sz w:val="20"/>
        </w:rPr>
        <w:t xml:space="preserve">, we recorded $115.8 million of CASGEVY product revenues. This reflects 64 patients receiving infusions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CASGEVY in 2025, including 30 people infused in the fourth quarter. Globally, in 2025, 147 people with SCD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TDT had their first cell collection for CASGEVY.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As of the end of 2025, </w:t>
      </w:r>
      <w:r>
        <w:rPr>
          <w:rFonts w:ascii="Times New Roman;serif" w:hAnsi="Times New Roman;serif"/>
          <w:b w:val="false"/>
          <w:i w:val="false"/>
          <w:caps w:val="false"/>
          <w:smallCaps w:val="false"/>
          <w:strike w:val="false"/>
          <w:dstrike w:val="false"/>
          <w:sz w:val="20"/>
          <w:u w:val="none"/>
          <w:effect w:val="none"/>
        </w:rPr>
        <w:t xml:space="preserve">approximately 90 percent </w:t>
      </w:r>
      <w:r>
        <w:rPr>
          <w:rFonts w:ascii="Times New Roman;serif" w:hAnsi="Times New Roman;serif"/>
          <w:b w:val="false"/>
          <w:i w:val="false"/>
          <w:caps w:val="false"/>
          <w:smallCaps w:val="false"/>
          <w:sz w:val="20"/>
        </w:rPr>
        <w:t xml:space="preserve">of people with SCD or TDT in the U.S. have reimbursed access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CASGEVY, which is also reimbursed in the U.K., Italy, Austria, Denmark, Luxembourg, Saudi Arabia, the UAE,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Bahrain, and Kuwait. </w:t>
      </w:r>
      <w:r>
        <w:rPr>
          <w:rFonts w:ascii="Times New Roman;serif" w:hAnsi="Times New Roman;serif"/>
          <w:b w:val="false"/>
          <w:i w:val="false"/>
          <w:caps w:val="false"/>
          <w:smallCaps w:val="false"/>
          <w:strike w:val="false"/>
          <w:dstrike w:val="false"/>
          <w:sz w:val="20"/>
          <w:u w:val="none"/>
          <w:effect w:val="none"/>
        </w:rPr>
        <w:t xml:space="preserve">In January 2026, we secured reimbursed access to CASGEVY for eligible people with SCD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Scotland, consistent with the reimbursement agreement reached in 2025 for people with TDT.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expect to begin global regulatory submissions for approvals for CASGEVY in children 5 to 11 years of age,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first half of 2026. The FDA awarded Vertex with a Commissioner’s National Priority Voucher for this pediatric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submission, indicating an accelerated timeline for review once the submission is complete.</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Acute Pain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Since pharmacy availability in March 2025 through year-end 2025, more than 550,000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prescriptions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JOURNAVX </w:t>
      </w:r>
      <w:r>
        <w:rPr>
          <w:rFonts w:ascii="Times New Roman;serif" w:hAnsi="Times New Roman;serif"/>
          <w:b w:val="false"/>
          <w:i w:val="false"/>
          <w:caps w:val="false"/>
          <w:smallCaps w:val="false"/>
          <w:sz w:val="20"/>
        </w:rPr>
        <w:t xml:space="preserve">were written and filled across the hospital and retail settings in different acute pain conditions,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consistent with JOURNAVX’s broad label.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We have secured access for JOURNAVX with all three national pharmacy benefit managers, and, a</w:t>
      </w:r>
      <w:r>
        <w:rPr>
          <w:rFonts w:ascii="Times New Roman;serif" w:hAnsi="Times New Roman;serif"/>
          <w:b w:val="false"/>
          <w:i w:val="false"/>
          <w:caps w:val="false"/>
          <w:smallCaps w:val="false"/>
          <w:strike w:val="false"/>
          <w:dstrike w:val="false"/>
          <w:sz w:val="20"/>
          <w:u w:val="none"/>
          <w:effect w:val="none"/>
        </w:rPr>
        <w:t xml:space="preserve">s of January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2026, over 200 million individuals across commercial and government payers have coverage, representing two-</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thirds of U.S. covered lives</w:t>
      </w:r>
      <w:r>
        <w:rPr>
          <w:rFonts w:ascii="Times New Roman;serif" w:hAnsi="Times New Roman;serif"/>
          <w:b w:val="false"/>
          <w:i w:val="false"/>
          <w:caps w:val="false"/>
          <w:smallCaps w:val="false"/>
          <w:sz w:val="20"/>
        </w:rPr>
        <w:t xml:space="preserve">. In addition, 21 states provide coverage via Medicaid.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More than 100 of the targeted 150 healthcare systems and more than 950 individual hospitals of the 2,000 targeted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institutions have added JOURNAVX to formularies, protocols or order sets.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Select R&amp;D Pipeline Programs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advance a diversified pipeline of potentially transformative medicines for serious diseases utilizing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range of modalities. Recent and anticipated progress in activities supporting these efforts is included below: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completed the global trial evaluating ALYFTREK in children 2 to 5 years of age. Following positive results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from this clinical trial, w</w:t>
      </w:r>
      <w:r>
        <w:rPr>
          <w:rFonts w:ascii="Times New Roman;serif" w:hAnsi="Times New Roman;serif"/>
          <w:b w:val="false"/>
          <w:i w:val="false"/>
          <w:caps w:val="false"/>
          <w:smallCaps w:val="false"/>
          <w:strike w:val="false"/>
          <w:dstrike w:val="false"/>
          <w:sz w:val="20"/>
          <w:u w:val="none"/>
          <w:effect w:val="none"/>
        </w:rPr>
        <w:t xml:space="preserve">e expect to submit for approval with global regulators in this age group in the first half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We also initiated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 pivotal trial of ALYFTREK in children 1 year to less than 2 years of age.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Following positive results from the clinical trial evaluating TRIKAFTA in children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1 year to less than 2 years of </w:t>
      </w:r>
      <w:r>
        <w:rPr>
          <w:rFonts w:ascii="Times New Roman;serif" w:hAnsi="Times New Roman;serif"/>
          <w:b w:val="false"/>
          <w:i w:val="false"/>
          <w:caps w:val="false"/>
          <w:smallCaps w:val="false"/>
          <w:sz w:val="20"/>
        </w:rPr>
        <w:t xml:space="preserve">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to begin submissions for global regulatory approvals in this age group in the first half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IgA Nephropathy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are developing povetacicept, a dual inhibitor of B cell activating factor (“BAFF”) and a proliferation-inducing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ligand (“APRIL”) cytokines, for multiple diseases. Povetacicept represents a potentially best-in-class approach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 B cell activity in immunoglobulin A nephropathy (“IgAN”).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trike w:val="false"/>
          <w:dstrike w:val="false"/>
          <w:sz w:val="20"/>
          <w:u w:val="none"/>
          <w:effect w:val="none"/>
        </w:rPr>
        <w:t xml:space="preserve">We completed enrollment in the Phase 3 clinical trial evaluating povetacicept for IgAN </w:t>
      </w:r>
      <w:r>
        <w:rPr>
          <w:rFonts w:ascii="Times New Roman;serif" w:hAnsi="Times New Roman;serif"/>
          <w:b w:val="false"/>
          <w:i w:val="false"/>
          <w:caps w:val="false"/>
          <w:smallCaps w:val="false"/>
          <w:sz w:val="20"/>
        </w:rPr>
        <w:t xml:space="preserve">and, in the fourth quarter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2025, we initiated the rolling Biologics Licensing Application (“BLA”) filing for U.S. accelerated approval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submission of the first module. We expect to release interim analysis data in the first half of 2026 and we expect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complete the submission in the first half of 2026, if data from the interim analysis are supportive</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We are using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priority review voucher to expedite the review of the povetacicept BLA from ten months to six months.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APOL1-Mediated Kidney Disease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Inaxaplin is our small molecule for the treatment of APOL1-mediated kidney disease (“AMKD”). We completed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enrollment in the interim analysis cohort of the global Phase 2/3 pivotal clinical trial evaluating inaxaplin in people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primary AMKD (“AMPLITUDE”). We expect to conduct the pre-planned interim analysis once this cohort has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been treated for 48 weeks and we expect to share data from the interim analysis in l</w:t>
      </w:r>
      <w:r>
        <w:rPr>
          <w:rFonts w:ascii="Times New Roman;serif" w:hAnsi="Times New Roman;serif"/>
          <w:b w:val="false"/>
          <w:i w:val="false"/>
          <w:caps w:val="false"/>
          <w:smallCaps w:val="false"/>
          <w:strike w:val="false"/>
          <w:dstrike w:val="false"/>
          <w:sz w:val="20"/>
          <w:u w:val="none"/>
          <w:effect w:val="none"/>
        </w:rPr>
        <w:t>ate 2026</w:t>
      </w:r>
      <w:r>
        <w:rPr>
          <w:caps w:val="false"/>
          <w:smallCaps w:val="false"/>
          <w:sz w:val="24"/>
        </w:rPr>
        <w:t xml:space="preserve"> </w:t>
      </w:r>
      <w:r>
        <w:rPr>
          <w:rFonts w:ascii="Times New Roman;serif" w:hAnsi="Times New Roman;serif"/>
          <w:b w:val="false"/>
          <w:i w:val="false"/>
          <w:caps w:val="false"/>
          <w:smallCaps w:val="false"/>
          <w:sz w:val="20"/>
        </w:rPr>
        <w:t xml:space="preserve">or early 2027.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 to complete full enrollment in AMPLITUDE in the second half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Peripheral Neuropathic Pain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previously initiated the first Phase 3 clinical trial evaluating suzetrigine for the treatment of people with diabetic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peripheral neuropathy (“DPN”), a common form of peripheral neuropathic pain, and have initiated a second Phase 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trial evaluating suzetrigine in DPN in the fourth quarter of 2025. We expect to complete enrollment in both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Phase 3 clinical trials by the end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Type 1 Diabetes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Zimislecel is an allogeneic, stem cell-derived, fully differentiated, insulin-producing islet cell replacement therapy,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using standard immunosuppression to protect the implanted cells. We have completed enrollment in the Phase 1/2/3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clinical trial of zimislecel in people with type 1 diabetes (“T1D”). We have temporarily postponed completion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dosing in this clinical trial, pending an internal manufacturing analysis.</w:t>
      </w:r>
    </w:p>
    <w:p>
      <w:pPr>
        <w:pStyle w:val="TextBody"/>
        <w:bidi w:val="0"/>
        <w:spacing w:lineRule="atLeast" w:line="200"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Primary Membranous Nephropathy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Povetacicept represents a potentially best-in-class approach to control B cell activity in primary membranous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nephropathy (“pMN”), another B cell-mediated disease. We are enrolling and dosing patients in the adaptive Phase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2/3 pivotal clinical trial of povetacicept for the treatment of people with pMN. We expect to complete the Phase 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portion of the clinical trial and to initiate the Phase 3 portion in mid-2026.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External Innovation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 investments in external innovation include: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An exclusive global license agreement with WuXi Biologics to develop and commercialize a trispecific T cell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engager for B cell-mediated autoimmune diseases, which is currently in preclinical development.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Our Business Environment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net product revenues were primarily from the sale of our medicines for the treatment of CF. Our CF strategy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involves continuing to develop and obtain approval and reimbursement for treatment regimens that will provide benefits to 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CF and increasing the number of people with CF eligible and able to receive our medicines. Outside of CF,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advance the commercialization of CASGEVY for the treatment of SCD and TDT, and JOURNAVX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treatment of acute pain. In addition, we are advancing our pipeline of product candidates for the treatment of serious diseases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outside of CF, SCD, TDT and acute pain.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strategy is to combine transformative advances in the understanding of causal human biology and the science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to discover and develop innovative medicines. This approach includes advancing multiple compounds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therapies from each program, spanning multiple modalities, into early clinical trials to obtain patient data that can inform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selection of the most promising therapies for later-stage development, as well as to inform discovery and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efforts. We aim to serially innovate in our disease areas of interest and follow our first-in-class therapies with potential best-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in-class candidates to provide durable clinical and commercial success.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pursuit of new product candidates and therapies in specialty markets, we invest in research and development.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that pursuing research in diverse areas allows us to balance the risks inherent in product development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product candidates that will form our pipeline in future years. To supplement our internal research programs,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 technologies and programs and collaborate with biopharmaceutical and technology companies, leading academic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institutions, government laboratories, foundations and other organizations, as needed, to advance research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areas of therapeutic interest and to access technologies needed to execute on our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Discovery and development of a new pharmaceutical or biological product is a difficult and lengthy process that requires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financial resources along with extensive technical and regulatory expertise. Across the industry, most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 or biological products never progress into development, and most products that advance into development never receive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approval. Our investments in product candidates are subject to considerable risks. We closely monitor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development activities, and frequently evaluate our pipeline programs in light of new data and scientific, business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insights, with the objective of balancing risk and potential. This process can result in rapid changes in focus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priorities as new information becomes available and as we gain additional understanding of our ongoing programs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potential new programs, as well as those of our competitors. In addition, our product candidates must satisfy rigorous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standards of safety and efficacy before they can be approved for sale by regulatory authorities. Our analysis of data obtained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nonclinical and clinical activities is subject to confirmation and interpretation by regulatory authorities, which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delay, limit or prevent regulatory approval.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also requires ensuring appropriate manufacturing and supply of our products. As we advance our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through clinical development toward commercialization and market and sell our approved products, we build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maintain our supply chain and quality assurance resources. We rely on a global network of third parties, including some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China, and our internal capabilities to manufacture and distribute our products for commercial sale and post-approval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trials and to manufacture and distribute our product candidates for clinical trials. In addition to establishing supply chains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newly approved product, we adapt our supply chain for existing products to include additional formulations 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scale of production for existing products as needed. The processes for biological and cell and genetic therapies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more complex than those required for small molecule drugs and require additional investments in different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equipment, facilities and expertise. We are focused on ensuring the stability of the supply chains for our current products,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for our pipeline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of our products depend, to a large degree, on the extent to which our products are reimbursed by third-party payors,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government health programs, commercial insurance and managed health care organizations.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including our potential pipeline therapies, cannot be assured and may take significant periods of time to obtain.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dedicate substantial management and other resources to obtain and maintain appropriate levels of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from third-party payors, including governmental organizations in the U.S. and ex-U.S. markets. In the U.S.,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 with government and commercial payors to obtain and maintain appropriate levels of reimbursement for our medicines.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ex-U.S. markets, we seek government reimbursement for our medicines on a country-by-country or region-by-region,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This is necessary for each new medicine, as well as for label expansions for our current medicines. We expect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focus significant resources to expand and maintain reimbursement for our CF medicines,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JOURNAVX, and, ultimately, our pipeline therapies, in U.S. and ex-U.S. markets.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Strategic Transactions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acquire technologies, products, product candidates and other businesses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aligned with our corporate and research and development strategies and complement and advance our ongoing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development efforts. We have acquired multiple biotechnology companies over the last several years and expect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identify and evaluate such opportunities. The accounting for these acquisitions can vary significantly based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we conclude the transactions represent business combinations or asset acquisitions. In 2024, we acquired Alpine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its lead molecule, povetacicept, for approximately $5.0 billion. Povetacicept has shown potential to treat multiple diseases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conditions and become a pipeline-in-a-product. We accounted for the Alpine transaction as an asset acquisition because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represented substantially all of the fair value of the gross assets that we acquired. As a result, $4.4 billion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fair value attributed to povetacicept was expensed as AIPR&amp;D in 2024. In 2019 and 2022, we acquired Semma Therapeutics,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(“Semma”) and ViaCyte, Inc. (“ViaCyte”), respectively, pursuant to which we established and accelerated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of our T1D program. We accounted for each of these acquisitions as a business combination.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Please refer to our critical accounting policies, “</w:t>
      </w:r>
      <w:r>
        <w:rPr>
          <w:rFonts w:ascii="Times New Roman;serif" w:hAnsi="Times New Roman;serif"/>
          <w:b w:val="false"/>
          <w:i w:val="false"/>
          <w:caps w:val="false"/>
          <w:smallCaps w:val="false"/>
          <w:strike w:val="false"/>
          <w:dstrike w:val="false"/>
          <w:sz w:val="20"/>
          <w:u w:val="none"/>
          <w:effect w:val="none"/>
        </w:rPr>
        <w:t>Acquisitions</w:t>
      </w:r>
      <w:r>
        <w:rPr>
          <w:rFonts w:ascii="Times New Roman;serif" w:hAnsi="Times New Roman;serif"/>
          <w:b w:val="false"/>
          <w:i w:val="false"/>
          <w:caps w:val="false"/>
          <w:smallCaps w:val="false"/>
          <w:sz w:val="20"/>
        </w:rPr>
        <w:t xml:space="preserve">,” for further information regarding the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judgments and estimates related to our acquisitions.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Collaboration and In-Licensing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enter into arrangements with third parties, including collaboration and licensing arrangements, for the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 and commercialization of products, product candidates, and other technologies that have the potential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complement our ongoing research and development efforts.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the last several years, we entered into collaboration agreements with a number of companies, including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AG (“CRISPR”), Entrada Therapeutics, Inc. (“Entrada”), and Moderna, Inc.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when we in-license a technology or product candidate, we make upfront payments to the collaborator, assume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costs of the program and/or agree to make contingent payments, which could consist of milestone, royalty and option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Most of these collaboration payments are expensed as AIPR&amp;D, including, a $75.0 million milestone paid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Entrada in 2024, and, in 2023, total payments of $242.6 million to Entrada and total upfront and milestone payments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$170.0 million to CRISPR related to T1D. These payments were expensed to AIPR&amp;D because they were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attributable to acquired in-process research and development for which there was no alternative future use. However,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depending on many factors, including the structure of the collaboration, the stage of development of the acquired technology,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significance of the in-licensed product candidate to the collaborator’s operations and the other activities in which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collaborators are engaged, the accounting for these transactions can vary significantly. We expect to continue to identify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evaluate collaboration and licensing opportunities that may be similar to or different from the collaborations and licenses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engaged in previously.</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Joint Development and Commercialization Agreement with CRISPR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2017, we entered into a joint development and commercialization agreement with CRISPR (the “CRISPR JDCA”),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we amended and restated in 2021.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CRISPR JDCA, we lead global development, manufacturing and commercialization of CASGEVY,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 from CRISPR. We also conduct all research, development, manufacturing and commercialization activities relating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other product candidates and products under the CRISPR JDCA throughout the world subject to CRISPR’s reserved right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conduct certain activities.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CASGEVY was approved by the FDA in December 2023 for the treatment of SCD. In connection with this approval,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made a </w:t>
      </w:r>
      <w:r>
        <w:rPr>
          <w:rFonts w:ascii="Times New Roman;serif" w:hAnsi="Times New Roman;serif"/>
          <w:b w:val="false"/>
          <w:i w:val="false"/>
          <w:caps w:val="false"/>
          <w:smallCaps w:val="false"/>
          <w:strike w:val="false"/>
          <w:dstrike w:val="false"/>
          <w:sz w:val="20"/>
          <w:u w:val="none"/>
          <w:effect w:val="none"/>
        </w:rPr>
        <w:t>$200.0 million</w:t>
      </w:r>
      <w:r>
        <w:rPr>
          <w:caps w:val="false"/>
          <w:smallCaps w:val="false"/>
          <w:sz w:val="24"/>
        </w:rPr>
        <w:t xml:space="preserve"> </w:t>
      </w:r>
      <w:r>
        <w:rPr>
          <w:rFonts w:ascii="Times New Roman;serif" w:hAnsi="Times New Roman;serif"/>
          <w:b w:val="false"/>
          <w:i w:val="false"/>
          <w:caps w:val="false"/>
          <w:smallCaps w:val="false"/>
          <w:sz w:val="20"/>
        </w:rPr>
        <w:t xml:space="preserve">milestone payment to CRISPR in January 2024. We are recording intangible asset amortization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expense to “</w:t>
      </w:r>
      <w:r>
        <w:rPr>
          <w:rFonts w:ascii="Times New Roman;serif" w:hAnsi="Times New Roman;serif"/>
          <w:b w:val="false"/>
          <w:i w:val="false"/>
          <w:caps w:val="false"/>
          <w:smallCaps w:val="false"/>
          <w:strike w:val="false"/>
          <w:dstrike w:val="false"/>
          <w:sz w:val="20"/>
          <w:u w:val="none"/>
          <w:effect w:val="none"/>
        </w:rPr>
        <w:t>Cost of sales</w:t>
      </w:r>
      <w:r>
        <w:rPr>
          <w:caps w:val="false"/>
          <w:smallCaps w:val="false"/>
          <w:sz w:val="24"/>
        </w:rPr>
        <w:t xml:space="preserve">” </w:t>
      </w:r>
      <w:r>
        <w:rPr>
          <w:rFonts w:ascii="Times New Roman;serif" w:hAnsi="Times New Roman;serif"/>
          <w:b w:val="false"/>
          <w:i w:val="false"/>
          <w:caps w:val="false"/>
          <w:smallCaps w:val="false"/>
          <w:sz w:val="20"/>
        </w:rPr>
        <w:t xml:space="preserve">related to this intangible asset. Subsequent to receiving marketing approval for CASGEVY,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lead the research and development activities under the CRISPR JDCA, subject to CRISPR’s reserved right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conduct certain activities. We are reimbursed by CRISPR for its 40% share of these research and development activities,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subject to certain adjustments, and we record this reimbursement from CRISPR as a credit within “</w:t>
      </w:r>
      <w:r>
        <w:rPr>
          <w:rFonts w:ascii="Times New Roman;serif" w:hAnsi="Times New Roman;serif"/>
          <w:b w:val="false"/>
          <w:i w:val="false"/>
          <w:caps w:val="false"/>
          <w:smallCaps w:val="false"/>
          <w:strike w:val="false"/>
          <w:dstrike w:val="false"/>
          <w:sz w:val="20"/>
          <w:u w:val="none"/>
          <w:effect w:val="none"/>
        </w:rPr>
        <w:t xml:space="preserve">Research and development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w:t>
      </w:r>
      <w:r>
        <w:rPr>
          <w:rFonts w:ascii="Times New Roman;serif" w:hAnsi="Times New Roman;serif"/>
          <w:b w:val="false"/>
          <w:i w:val="false"/>
          <w:caps w:val="false"/>
          <w:smallCaps w:val="false"/>
          <w:sz w:val="20"/>
        </w:rPr>
        <w:t xml:space="preserve">.” We also share with CRISPR 40% of the net commercial profits or losses incurred with respect to CASGEVY,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subject to certain adjustments, which is recorded to “</w:t>
      </w:r>
      <w:r>
        <w:rPr>
          <w:rFonts w:ascii="Times New Roman;serif" w:hAnsi="Times New Roman;serif"/>
          <w:b w:val="false"/>
          <w:i w:val="false"/>
          <w:caps w:val="false"/>
          <w:smallCaps w:val="false"/>
          <w:strike w:val="false"/>
          <w:dstrike w:val="false"/>
          <w:sz w:val="20"/>
          <w:u w:val="none"/>
          <w:effect w:val="none"/>
        </w:rPr>
        <w:t>Cost of sales</w:t>
      </w:r>
      <w:r>
        <w:rPr>
          <w:rFonts w:ascii="Times New Roman;serif" w:hAnsi="Times New Roman;serif"/>
          <w:b w:val="false"/>
          <w:i w:val="false"/>
          <w:caps w:val="false"/>
          <w:smallCaps w:val="false"/>
          <w:sz w:val="20"/>
        </w:rPr>
        <w:t xml:space="preserve">.” The net commercial profits or losses equal the sum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revenues, cost of sales and selling, general and administrative expenses that we have recognized related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CRISPR JDCA.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 to receiving marketing approval from the FDA for CASGEVY in December 2023, we accounted for the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JDCA as a cost-sharing arrangement, with costs incurred related to CASGEVY allocated 60% to us and 40% to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certain adjustments. In 2023, we recognized net reimbursements from CRISPR as credits to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expenses” and to “Selling, general and administrative expenses,” related to CRISPR’s share of the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JDCA’s operating expenses.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 Expenses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our AIPR&amp;D included </w:t>
      </w:r>
      <w:r>
        <w:rPr>
          <w:rFonts w:ascii="Times New Roman;serif" w:hAnsi="Times New Roman;serif"/>
          <w:b w:val="false"/>
          <w:i w:val="false"/>
          <w:caps w:val="false"/>
          <w:smallCaps w:val="false"/>
          <w:strike w:val="false"/>
          <w:dstrike w:val="false"/>
          <w:sz w:val="20"/>
          <w:u w:val="none"/>
          <w:effect w:val="none"/>
        </w:rPr>
        <w:t>$133.0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$4.6 billion</w:t>
      </w:r>
      <w:r>
        <w:rPr>
          <w:rFonts w:ascii="Times New Roman;serif" w:hAnsi="Times New Roman;serif"/>
          <w:b w:val="false"/>
          <w:i w:val="false"/>
          <w:caps w:val="false"/>
          <w:smallCaps w:val="false"/>
          <w:sz w:val="20"/>
        </w:rPr>
        <w:t xml:space="preserve">, respectively, related to upfront, contingent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milestone, or other payments pursuant to our business development transactions, including the asset acquisitions,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collaborations, and licenses of third-party technologies described above. Please refer to </w:t>
      </w:r>
      <w:r>
        <w:rPr>
          <w:rFonts w:ascii="Times New Roman;serif" w:hAnsi="Times New Roman;serif"/>
          <w:b w:val="false"/>
          <w:i w:val="false"/>
          <w:caps w:val="false"/>
          <w:smallCaps w:val="false"/>
          <w:strike w:val="false"/>
          <w:dstrike w:val="false"/>
          <w:sz w:val="20"/>
          <w:u w:val="none"/>
          <w:effect w:val="none"/>
        </w:rPr>
        <w:t xml:space="preserve">Note B, “Collaboration, License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Arrangements,”</w:t>
      </w:r>
      <w:r>
        <w:rPr>
          <w:caps w:val="false"/>
          <w:smallCaps w:val="false"/>
          <w:sz w:val="24"/>
        </w:rPr>
        <w:t xml:space="preserve"> </w:t>
      </w:r>
      <w:r>
        <w:rPr>
          <w:rFonts w:ascii="Times New Roman;serif" w:hAnsi="Times New Roman;serif"/>
          <w:b w:val="false"/>
          <w:i w:val="false"/>
          <w:caps w:val="false"/>
          <w:smallCaps w:val="false"/>
          <w:sz w:val="20"/>
        </w:rPr>
        <w:t>for further information regarding our asset acquisitions, collaborations, and in-license agreements.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Out-licensing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have out-licensed certain development programs to collaborators who are leading the development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commercialization of these programs, either globally or within certain geographic regions.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w:t>
      </w:r>
      <w:r>
        <w:rPr>
          <w:rFonts w:ascii="Times New Roman;serif" w:hAnsi="Times New Roman;serif"/>
          <w:b w:val="false"/>
          <w:i w:val="false"/>
          <w:caps w:val="false"/>
          <w:smallCaps w:val="false"/>
          <w:strike w:val="false"/>
          <w:dstrike w:val="false"/>
          <w:sz w:val="20"/>
          <w:u w:val="none"/>
          <w:effect w:val="none"/>
        </w:rPr>
        <w:t>n 2025,</w:t>
      </w:r>
      <w:r>
        <w:rPr>
          <w:caps w:val="false"/>
          <w:smallCaps w:val="false"/>
          <w:sz w:val="24"/>
        </w:rPr>
        <w:t xml:space="preserve"> </w:t>
      </w:r>
      <w:r>
        <w:rPr>
          <w:rFonts w:ascii="Times New Roman;serif" w:hAnsi="Times New Roman;serif"/>
          <w:b w:val="false"/>
          <w:i w:val="false"/>
          <w:caps w:val="false"/>
          <w:smallCaps w:val="false"/>
          <w:sz w:val="20"/>
        </w:rPr>
        <w:t xml:space="preserve">we entered into agreements with Zai Lab Limited (“Zai”) and Ono Pharmaceuticals, Co Ltd (“Ono”)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respectively, for the development and commercialization of povetacicept in various Asian markets. Zai licensed povetacicept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mainland China, Hong Kong SAR, Macau SAR, Taiwan region, and Singapore, while Ono licensed povetacicept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Japan and South Korea. Zai and Ono will help advance povetacicept c</w:t>
      </w:r>
      <w:r>
        <w:rPr>
          <w:rFonts w:ascii="Times New Roman;serif" w:hAnsi="Times New Roman;serif"/>
          <w:b w:val="false"/>
          <w:i w:val="false"/>
          <w:caps w:val="false"/>
          <w:smallCaps w:val="false"/>
          <w:strike w:val="false"/>
          <w:dstrike w:val="false"/>
          <w:sz w:val="20"/>
          <w:u w:val="none"/>
          <w:effect w:val="none"/>
        </w:rPr>
        <w:t>linical trials, and will</w:t>
      </w:r>
      <w:r>
        <w:rPr>
          <w:caps w:val="false"/>
          <w:smallCaps w:val="false"/>
          <w:sz w:val="24"/>
        </w:rPr>
        <w:t xml:space="preserve"> </w:t>
      </w:r>
      <w:r>
        <w:rPr>
          <w:rFonts w:ascii="Times New Roman;serif" w:hAnsi="Times New Roman;serif"/>
          <w:b w:val="false"/>
          <w:i w:val="false"/>
          <w:caps w:val="false"/>
          <w:smallCaps w:val="false"/>
          <w:sz w:val="20"/>
        </w:rPr>
        <w:t xml:space="preserve">be responsible for obtaining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authorizations and commercialization activities, if povetacicept becomes an approved product, in their licensed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territories. We are eligible to receive certain future milestone payments and tiered royalties on future net sales of povetacicept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these regions.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RESULTS OF OPERATIONS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Total Revenues</w:t>
      </w:r>
    </w:p>
    <w:tbl>
      <w:tblPr>
        <w:tblW w:w="7162" w:type="dxa"/>
        <w:jc w:val="left"/>
        <w:tblInd w:w="0" w:type="dxa"/>
        <w:tblLayout w:type="fixed"/>
        <w:tblCellMar>
          <w:top w:w="28" w:type="dxa"/>
          <w:left w:w="28" w:type="dxa"/>
          <w:bottom w:w="28" w:type="dxa"/>
          <w:right w:w="28" w:type="dxa"/>
        </w:tblCellMar>
      </w:tblPr>
      <w:tblGrid>
        <w:gridCol w:w="2011"/>
        <w:gridCol w:w="931"/>
        <w:gridCol w:w="109"/>
        <w:gridCol w:w="991"/>
        <w:gridCol w:w="109"/>
        <w:gridCol w:w="931"/>
        <w:gridCol w:w="109"/>
        <w:gridCol w:w="991"/>
        <w:gridCol w:w="109"/>
        <w:gridCol w:w="871"/>
      </w:tblGrid>
      <w:tr>
        <w:trPr/>
        <w:tc>
          <w:tcPr>
            <w:tcW w:w="20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515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20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$8,944.7</w:t>
            </w:r>
          </w:p>
        </w:tc>
      </w:tr>
      <w:tr>
        <w:trPr/>
        <w:tc>
          <w:tcPr>
            <w:tcW w:w="20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0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product revenues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924.5</w:t>
            </w:r>
          </w:p>
        </w:tc>
      </w:tr>
      <w:tr>
        <w:trPr/>
        <w:tc>
          <w:tcPr>
            <w:tcW w:w="20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11,970.6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20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revenues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0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2011" w:type="dxa"/>
            <w:tcBorders/>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Product Revenues,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net product revenues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$950.5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9%</w:t>
      </w:r>
      <w:r>
        <w:rPr>
          <w:rFonts w:ascii="Times New Roman;serif" w:hAnsi="Times New Roman;serif"/>
          <w:b w:val="false"/>
          <w:i w:val="false"/>
          <w:caps w:val="false"/>
          <w:smallCaps w:val="false"/>
          <w:sz w:val="20"/>
        </w:rPr>
        <w:t xml:space="preserve">, 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primarily due to continued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strong demand for TRIKAFTA/KAFTRIO as well as contributions from our launches of ALYFTREK, JOURNAVX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CASGEVY.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w:t>
      </w:r>
      <w:r>
        <w:rPr>
          <w:rFonts w:ascii="Times New Roman;serif" w:hAnsi="Times New Roman;serif"/>
          <w:b w:val="false"/>
          <w:i w:val="false"/>
          <w:caps w:val="false"/>
          <w:smallCaps w:val="false"/>
          <w:strike w:val="false"/>
          <w:dstrike w:val="false"/>
          <w:sz w:val="20"/>
          <w:u w:val="none"/>
          <w:effect w:val="none"/>
        </w:rPr>
        <w:t>Other product revenues</w:t>
      </w:r>
      <w:r>
        <w:rPr>
          <w:caps w:val="false"/>
          <w:smallCaps w:val="false"/>
          <w:sz w:val="24"/>
        </w:rPr>
        <w:t xml:space="preserve">” </w:t>
      </w:r>
      <w:r>
        <w:rPr>
          <w:rFonts w:ascii="Times New Roman;serif" w:hAnsi="Times New Roman;serif"/>
          <w:b w:val="false"/>
          <w:i w:val="false"/>
          <w:caps w:val="false"/>
          <w:smallCaps w:val="false"/>
          <w:sz w:val="20"/>
        </w:rPr>
        <w:t xml:space="preserve">included </w:t>
      </w:r>
      <w:r>
        <w:rPr>
          <w:rFonts w:ascii="Times New Roman;serif" w:hAnsi="Times New Roman;serif"/>
          <w:b w:val="false"/>
          <w:i w:val="false"/>
          <w:caps w:val="false"/>
          <w:smallCaps w:val="false"/>
          <w:strike w:val="false"/>
          <w:dstrike w:val="false"/>
          <w:sz w:val="20"/>
          <w:u w:val="none"/>
          <w:effect w:val="none"/>
        </w:rPr>
        <w:t>$115.8 million</w:t>
      </w:r>
      <w:r>
        <w:rPr>
          <w:caps w:val="false"/>
          <w:smallCaps w:val="false"/>
          <w:sz w:val="24"/>
        </w:rPr>
        <w:t xml:space="preserve"> </w:t>
      </w:r>
      <w:r>
        <w:rPr>
          <w:rFonts w:ascii="Times New Roman;serif" w:hAnsi="Times New Roman;serif"/>
          <w:b w:val="false"/>
          <w:i w:val="false"/>
          <w:caps w:val="false"/>
          <w:smallCaps w:val="false"/>
          <w:sz w:val="20"/>
        </w:rPr>
        <w:t xml:space="preserve">from CASGEVY and </w:t>
      </w:r>
      <w:r>
        <w:rPr>
          <w:rFonts w:ascii="Times New Roman;serif" w:hAnsi="Times New Roman;serif"/>
          <w:b w:val="false"/>
          <w:i w:val="false"/>
          <w:caps w:val="false"/>
          <w:smallCaps w:val="false"/>
          <w:strike w:val="false"/>
          <w:dstrike w:val="false"/>
          <w:sz w:val="20"/>
          <w:u w:val="none"/>
          <w:effect w:val="none"/>
        </w:rPr>
        <w:t>$59.6 million</w:t>
      </w:r>
      <w:r>
        <w:rPr>
          <w:caps w:val="false"/>
          <w:smallCaps w:val="false"/>
          <w:sz w:val="24"/>
        </w:rPr>
        <w:t xml:space="preserve"> </w:t>
      </w:r>
      <w:r>
        <w:rPr>
          <w:rFonts w:ascii="Times New Roman;serif" w:hAnsi="Times New Roman;serif"/>
          <w:b w:val="false"/>
          <w:i w:val="false"/>
          <w:caps w:val="false"/>
          <w:smallCaps w:val="false"/>
          <w:sz w:val="20"/>
        </w:rPr>
        <w:t xml:space="preserve">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JOURNAVX. 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Other product revenues</w:t>
      </w:r>
      <w:r>
        <w:rPr>
          <w:caps w:val="false"/>
          <w:smallCaps w:val="false"/>
          <w:strike w:val="false"/>
          <w:dstrike w:val="false"/>
          <w:sz w:val="24"/>
          <w:u w:val="none"/>
          <w:effect w:val="none"/>
        </w:rPr>
        <w:t>”</w:t>
      </w:r>
      <w:r>
        <w:rPr>
          <w:caps w:val="false"/>
          <w:smallCaps w:val="false"/>
          <w:sz w:val="24"/>
        </w:rPr>
        <w:t xml:space="preserve"> </w:t>
      </w:r>
      <w:r>
        <w:rPr>
          <w:rFonts w:ascii="Times New Roman;serif" w:hAnsi="Times New Roman;serif"/>
          <w:b w:val="false"/>
          <w:i w:val="false"/>
          <w:caps w:val="false"/>
          <w:smallCaps w:val="false"/>
          <w:sz w:val="20"/>
        </w:rPr>
        <w:t xml:space="preserve">included CASGEVY product revenues of </w:t>
      </w:r>
      <w:r>
        <w:rPr>
          <w:rFonts w:ascii="Times New Roman;serif" w:hAnsi="Times New Roman;serif"/>
          <w:b w:val="false"/>
          <w:i w:val="false"/>
          <w:caps w:val="false"/>
          <w:smallCaps w:val="false"/>
          <w:strike w:val="false"/>
          <w:dstrike w:val="false"/>
          <w:sz w:val="20"/>
          <w:u w:val="none"/>
          <w:effect w:val="none"/>
        </w:rPr>
        <w:t>$10.0 million</w:t>
      </w:r>
      <w:r>
        <w:rPr>
          <w:rFonts w:ascii="Times New Roman;serif" w:hAnsi="Times New Roman;serif"/>
          <w:b w:val="false"/>
          <w:i w:val="false"/>
          <w:caps w:val="false"/>
          <w:smallCaps w:val="false"/>
          <w:sz w:val="20"/>
        </w:rPr>
        <w:t xml:space="preserve">. Our remaining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Other product revenues” are related to KALYDECO, ORKAMBI, and SYMDEKO/SYMKEVI, our other CF products.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Other Revenues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other revenues were $30.7 million, which included $20.6 million and $10.0 million related to upfront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received from our agreements with Ono and Zai, respectively.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Geographic Location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total revenues from the U.S. and from ex-U.S. markets were as follows: </w:t>
      </w:r>
    </w:p>
    <w:tbl>
      <w:tblPr>
        <w:tblW w:w="6472" w:type="dxa"/>
        <w:jc w:val="left"/>
        <w:tblInd w:w="0" w:type="dxa"/>
        <w:tblLayout w:type="fixed"/>
        <w:tblCellMar>
          <w:top w:w="28" w:type="dxa"/>
          <w:left w:w="28" w:type="dxa"/>
          <w:bottom w:w="28" w:type="dxa"/>
          <w:right w:w="28" w:type="dxa"/>
        </w:tblCellMar>
      </w:tblPr>
      <w:tblGrid>
        <w:gridCol w:w="1321"/>
        <w:gridCol w:w="931"/>
        <w:gridCol w:w="109"/>
        <w:gridCol w:w="991"/>
        <w:gridCol w:w="109"/>
        <w:gridCol w:w="931"/>
        <w:gridCol w:w="109"/>
        <w:gridCol w:w="991"/>
        <w:gridCol w:w="109"/>
        <w:gridCol w:w="871"/>
      </w:tblGrid>
      <w:tr>
        <w:trPr/>
        <w:tc>
          <w:tcPr>
            <w:tcW w:w="13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515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$6,040.4</w:t>
            </w:r>
          </w:p>
        </w:tc>
      </w:tr>
      <w:tr>
        <w:trPr/>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ex-U.S.</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4,452.7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3,828.8</w:t>
            </w:r>
          </w:p>
        </w:tc>
      </w:tr>
      <w:tr>
        <w:trPr/>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U.S. total revenues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13%</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due to continued strong patient demand, new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patient initiations and higher realized net prices. Our ex-U.S. total revenues increased </w:t>
      </w:r>
      <w:r>
        <w:rPr>
          <w:rFonts w:ascii="Times New Roman;serif" w:hAnsi="Times New Roman;serif"/>
          <w:b w:val="false"/>
          <w:i w:val="false"/>
          <w:caps w:val="false"/>
          <w:smallCaps w:val="false"/>
          <w:strike w:val="false"/>
          <w:dstrike w:val="false"/>
          <w:sz w:val="20"/>
          <w:u w:val="none"/>
          <w:effect w:val="none"/>
        </w:rPr>
        <w:t>3%</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due to solid CF performance across multiple geographies and increased CASGEVY product revenues, partially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offset by 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 xml:space="preserve">decline in product revenues in Russia, where we are continuing to experience a violation of our intellectual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rights.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we expect our total revenues to increase due to continued growth of our CF product revenues, including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ALYFTREK globally, and increased contributions from CASGEVY and JOURNAVX.</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Operating Costs and Expenses</w:t>
      </w:r>
    </w:p>
    <w:tbl>
      <w:tblPr>
        <w:tblW w:w="9112" w:type="dxa"/>
        <w:jc w:val="left"/>
        <w:tblInd w:w="0" w:type="dxa"/>
        <w:tblLayout w:type="fixed"/>
        <w:tblCellMar>
          <w:top w:w="28" w:type="dxa"/>
          <w:left w:w="28" w:type="dxa"/>
          <w:bottom w:w="28" w:type="dxa"/>
          <w:right w:w="28" w:type="dxa"/>
        </w:tblCellMar>
      </w:tblPr>
      <w:tblGrid>
        <w:gridCol w:w="4066"/>
        <w:gridCol w:w="826"/>
        <w:gridCol w:w="109"/>
        <w:gridCol w:w="991"/>
        <w:gridCol w:w="109"/>
        <w:gridCol w:w="931"/>
        <w:gridCol w:w="109"/>
        <w:gridCol w:w="991"/>
        <w:gridCol w:w="109"/>
        <w:gridCol w:w="871"/>
      </w:tblGrid>
      <w:tr>
        <w:trPr/>
        <w:tc>
          <w:tcPr>
            <w:tcW w:w="40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06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5046"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$1,262.2</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3,162.9</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Acquired in-process research and development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527.1</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1,136.6</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$6,037.2</w:t>
            </w:r>
          </w:p>
        </w:tc>
      </w:tr>
      <w:tr>
        <w:trPr/>
        <w:tc>
          <w:tcPr>
            <w:tcW w:w="4066"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Cost of Sales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cost of sales primarily consists of third-party royalties payable on net sales of our CF products as well as the cost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producing inventories. Pursuant to our agreement (the “CFF Agreement”) with the Cystic Fibrosis Foundation (the “CFF”),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tiered third-party royalties on sales of ALYFTREK, TRIKAFTA/KAFTRIO, SYMDEKO/SYMKEVI, KALYDECO,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ORKAMBI, calculated as a percentage of net sales, range from the single digits to the sub-teens, with lower royalties on sales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ALYFTREK and TRIKAFTA/KAFTRIO than for our other products. </w:t>
      </w:r>
      <w:r>
        <w:rPr>
          <w:rFonts w:ascii="Times New Roman;serif" w:hAnsi="Times New Roman;serif"/>
          <w:b w:val="false"/>
          <w:i w:val="false"/>
          <w:caps w:val="false"/>
          <w:smallCaps w:val="false"/>
          <w:strike w:val="false"/>
          <w:dstrike w:val="false"/>
          <w:sz w:val="20"/>
          <w:u w:val="none"/>
          <w:effect w:val="none"/>
        </w:rPr>
        <w:t>The royalty burden associated with TRIKAFTA/</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KAFTRIO is 9.33% and our position is that the royalty burden associated with ALYFTREK is 4%. </w:t>
      </w:r>
      <w:r>
        <w:rPr>
          <w:rFonts w:ascii="Times New Roman;serif" w:hAnsi="Times New Roman;serif"/>
          <w:b w:val="false"/>
          <w:i w:val="false"/>
          <w:caps w:val="false"/>
          <w:smallCaps w:val="false"/>
          <w:sz w:val="20"/>
        </w:rPr>
        <w:t xml:space="preserve">On October 10,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Royalty Pharma plc (“RP”), the third party to whom the CFF assigned its rights (and the CFF, which remains a party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CFF Agreement), initiated a confidential arbitration alleging the royalty burden on ALYFTREK is approximately 8%. RP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seeking a declaratory judgment regarding the royalty burden on ALYFTREK as well as alleged unpaid royalties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alleged damages available under the CFF Agreement or applicable law, costs, expenses, attorneys’ fees, and interest.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RP’s position is contrary to the plain terms of the CFF Agreement and intend to vigorously defend our position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CFF Agreement.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cost of sales as a percentage of our net product revenues was </w:t>
      </w:r>
      <w:r>
        <w:rPr>
          <w:rFonts w:ascii="Times New Roman;serif" w:hAnsi="Times New Roman;serif"/>
          <w:b w:val="false"/>
          <w:i w:val="false"/>
          <w:caps w:val="false"/>
          <w:smallCaps w:val="false"/>
          <w:strike w:val="false"/>
          <w:dstrike w:val="false"/>
          <w:sz w:val="20"/>
          <w:u w:val="none"/>
          <w:effect w:val="none"/>
        </w:rPr>
        <w:t>13.8%</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13.9%</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due to ALYFTREK sales in 2025, which has the royalty burden lower than TRIKAFTA/KAFTRIO, partially offset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changes in product mix, and investments in network expansion and manufacturing process improvements.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we expect our cost of sales </w:t>
      </w:r>
      <w:r>
        <w:rPr>
          <w:rFonts w:ascii="Times New Roman;serif" w:hAnsi="Times New Roman;serif"/>
          <w:b w:val="false"/>
          <w:i w:val="false"/>
          <w:caps w:val="false"/>
          <w:smallCaps w:val="false"/>
          <w:strike w:val="false"/>
          <w:dstrike w:val="false"/>
          <w:sz w:val="20"/>
          <w:u w:val="none"/>
          <w:effect w:val="none"/>
        </w:rPr>
        <w:t xml:space="preserve">as a percentage of our net product revenues to increase due to a higher proportion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outside of CF, which currently have greater manufacturing costs relative to their net product revenue contributions,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continued investments in efficient manufacturing and delivery processes</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and Development Expenses</w:t>
      </w:r>
    </w:p>
    <w:tbl>
      <w:tblPr>
        <w:tblW w:w="8437" w:type="dxa"/>
        <w:jc w:val="left"/>
        <w:tblInd w:w="0" w:type="dxa"/>
        <w:tblLayout w:type="fixed"/>
        <w:tblCellMar>
          <w:top w:w="28" w:type="dxa"/>
          <w:left w:w="28" w:type="dxa"/>
          <w:bottom w:w="28" w:type="dxa"/>
          <w:right w:w="28" w:type="dxa"/>
        </w:tblCellMar>
      </w:tblPr>
      <w:tblGrid>
        <w:gridCol w:w="3496"/>
        <w:gridCol w:w="826"/>
        <w:gridCol w:w="109"/>
        <w:gridCol w:w="991"/>
        <w:gridCol w:w="109"/>
        <w:gridCol w:w="826"/>
        <w:gridCol w:w="109"/>
        <w:gridCol w:w="991"/>
        <w:gridCol w:w="109"/>
        <w:gridCol w:w="871"/>
      </w:tblGrid>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494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$705.6</w:t>
            </w:r>
          </w:p>
        </w:tc>
      </w:tr>
      <w:tr>
        <w:trPr/>
        <w:tc>
          <w:tcPr>
            <w:tcW w:w="34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expenses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2,457.3</w:t>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and development expenses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$3,162.9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Over the past three years, we have incurred approximately </w:t>
      </w:r>
      <w:r>
        <w:rPr>
          <w:rFonts w:ascii="Times New Roman;serif" w:hAnsi="Times New Roman;serif"/>
          <w:b w:val="false"/>
          <w:i w:val="false"/>
          <w:caps w:val="false"/>
          <w:smallCaps w:val="false"/>
          <w:strike w:val="false"/>
          <w:dstrike w:val="false"/>
          <w:sz w:val="20"/>
          <w:u w:val="none"/>
          <w:effect w:val="none"/>
        </w:rPr>
        <w:t>$10.7 billion</w:t>
      </w:r>
      <w:r>
        <w:rPr>
          <w:caps w:val="false"/>
          <w:smallCaps w:val="false"/>
          <w:sz w:val="24"/>
        </w:rPr>
        <w:t xml:space="preserve"> </w:t>
      </w:r>
      <w:r>
        <w:rPr>
          <w:rFonts w:ascii="Times New Roman;serif" w:hAnsi="Times New Roman;serif"/>
          <w:b w:val="false"/>
          <w:i w:val="false"/>
          <w:caps w:val="false"/>
          <w:smallCaps w:val="false"/>
          <w:sz w:val="20"/>
        </w:rPr>
        <w:t xml:space="preserve">in research and development expenses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associated with product discovery and development. Our research and development expenses include internal and external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costs incurred for research and development of our products and product candidates. We assign external costs of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provided to us by clinical research organizations and other outsourced research by individual program. Our internal costs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 salary and benefits, stock-based compensation expense, laboratory supplies and other direct expenses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 the majority of which are not assigned to individual products or product candidates.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Expenses</w:t>
      </w:r>
    </w:p>
    <w:tbl>
      <w:tblPr>
        <w:tblW w:w="8332" w:type="dxa"/>
        <w:jc w:val="left"/>
        <w:tblInd w:w="0" w:type="dxa"/>
        <w:tblLayout w:type="fixed"/>
        <w:tblCellMar>
          <w:top w:w="28" w:type="dxa"/>
          <w:left w:w="28" w:type="dxa"/>
          <w:bottom w:w="28" w:type="dxa"/>
          <w:right w:w="28" w:type="dxa"/>
        </w:tblCellMar>
      </w:tblPr>
      <w:tblGrid>
        <w:gridCol w:w="3841"/>
        <w:gridCol w:w="676"/>
        <w:gridCol w:w="109"/>
        <w:gridCol w:w="991"/>
        <w:gridCol w:w="109"/>
        <w:gridCol w:w="676"/>
        <w:gridCol w:w="109"/>
        <w:gridCol w:w="991"/>
        <w:gridCol w:w="109"/>
        <w:gridCol w:w="721"/>
      </w:tblGrid>
      <w:tr>
        <w:trPr/>
        <w:tc>
          <w:tcPr>
            <w:tcW w:w="38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449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$184.1</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92.4</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237.0</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192.1</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expenses</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$705.6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research expenses reflect investment in our pipeline and expansion of our cell and genetic therapy capabilities,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which has increased our outsourced services and other direct expenses and infrastructure costs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Salary and benefits in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included $13.1 million associated with cash-settled unvested Alpine equity awards. Compared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our total res</w:t>
      </w:r>
      <w:r>
        <w:rPr>
          <w:rFonts w:ascii="Times New Roman;serif" w:hAnsi="Times New Roman;serif"/>
          <w:b w:val="false"/>
          <w:i w:val="false"/>
          <w:caps w:val="false"/>
          <w:smallCaps w:val="false"/>
          <w:sz w:val="20"/>
        </w:rPr>
        <w:t xml:space="preserve">earch expenses in 2025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$23.4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3%</w:t>
      </w:r>
      <w:r>
        <w:rPr>
          <w:rFonts w:ascii="Times New Roman;serif" w:hAnsi="Times New Roman;serif"/>
          <w:b w:val="false"/>
          <w:i w:val="false"/>
          <w:caps w:val="false"/>
          <w:smallCaps w:val="false"/>
          <w:sz w:val="20"/>
        </w:rPr>
        <w:t xml:space="preserve">. We expect to continue to invest in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programs with a focus on creating transformative medicines for serious diseases.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Development Expenses</w:t>
      </w:r>
    </w:p>
    <w:tbl>
      <w:tblPr>
        <w:tblW w:w="8782" w:type="dxa"/>
        <w:jc w:val="left"/>
        <w:tblInd w:w="0" w:type="dxa"/>
        <w:tblLayout w:type="fixed"/>
        <w:tblCellMar>
          <w:top w:w="28" w:type="dxa"/>
          <w:left w:w="28" w:type="dxa"/>
          <w:bottom w:w="28" w:type="dxa"/>
          <w:right w:w="28" w:type="dxa"/>
        </w:tblCellMar>
      </w:tblPr>
      <w:tblGrid>
        <w:gridCol w:w="3841"/>
        <w:gridCol w:w="826"/>
        <w:gridCol w:w="109"/>
        <w:gridCol w:w="991"/>
        <w:gridCol w:w="109"/>
        <w:gridCol w:w="826"/>
        <w:gridCol w:w="109"/>
        <w:gridCol w:w="991"/>
        <w:gridCol w:w="109"/>
        <w:gridCol w:w="871"/>
      </w:tblGrid>
      <w:tr>
        <w:trPr/>
        <w:tc>
          <w:tcPr>
            <w:tcW w:w="38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494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$590.9</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262.5</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Compensation expense for cash-settled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Alpine equity awards</w:t>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1,238.7</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365.2</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development expenses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$2,457.3</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Not meaningful</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we have advanced our pipeline of transformative medicines, we have invested in internal headcount and infrastructure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to support multiple mid- and late-stage clinical development program</w:t>
      </w:r>
      <w:r>
        <w:rPr>
          <w:rFonts w:ascii="Times New Roman;serif" w:hAnsi="Times New Roman;serif"/>
          <w:b w:val="false"/>
          <w:i w:val="false"/>
          <w:caps w:val="false"/>
          <w:smallCaps w:val="false"/>
          <w:strike w:val="false"/>
          <w:dstrike w:val="false"/>
          <w:sz w:val="20"/>
          <w:u w:val="none"/>
          <w:effect w:val="none"/>
        </w:rPr>
        <w:t xml:space="preserve">s. These include </w:t>
      </w:r>
      <w:r>
        <w:rPr>
          <w:rFonts w:ascii="Times New Roman;serif" w:hAnsi="Times New Roman;serif"/>
          <w:b w:val="false"/>
          <w:i w:val="false"/>
          <w:caps w:val="false"/>
          <w:smallCaps w:val="false"/>
          <w:sz w:val="20"/>
        </w:rPr>
        <w:t xml:space="preserve">our povetacicept programs acquired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Alpine, pain and T1D programs, which together have increased our outsourced services and other direct expenses.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conjunction with our acquisition of Alpine, we incurred $151.9 million associated with cash-settled unvested Alpine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awards within development expenses in 2024.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our total de</w:t>
      </w:r>
      <w:r>
        <w:rPr>
          <w:rFonts w:ascii="Times New Roman;serif" w:hAnsi="Times New Roman;serif"/>
          <w:b w:val="false"/>
          <w:i w:val="false"/>
          <w:caps w:val="false"/>
          <w:smallCaps w:val="false"/>
          <w:sz w:val="20"/>
        </w:rPr>
        <w:t>velopment expenses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by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$255.8 million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9%</w:t>
      </w:r>
      <w:r>
        <w:rPr>
          <w:rFonts w:ascii="Times New Roman;serif" w:hAnsi="Times New Roman;serif"/>
          <w:b w:val="false"/>
          <w:i w:val="false"/>
          <w:caps w:val="false"/>
          <w:smallCaps w:val="false"/>
          <w:sz w:val="20"/>
        </w:rPr>
        <w:t xml:space="preserve">. In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we expect our development expenses to continue to increase due to our advancing pipeline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programs, including our </w:t>
      </w:r>
      <w:r>
        <w:rPr>
          <w:rFonts w:ascii="Times New Roman;serif" w:hAnsi="Times New Roman;serif"/>
          <w:b w:val="false"/>
          <w:i w:val="false"/>
          <w:caps w:val="false"/>
          <w:smallCaps w:val="false"/>
          <w:strike w:val="false"/>
          <w:dstrike w:val="false"/>
          <w:sz w:val="20"/>
          <w:u w:val="none"/>
          <w:effect w:val="none"/>
        </w:rPr>
        <w:t>T1D pro</w:t>
      </w:r>
      <w:r>
        <w:rPr>
          <w:rFonts w:ascii="Times New Roman;serif" w:hAnsi="Times New Roman;serif"/>
          <w:b w:val="false"/>
          <w:i w:val="false"/>
          <w:caps w:val="false"/>
          <w:smallCaps w:val="false"/>
          <w:sz w:val="20"/>
        </w:rPr>
        <w:t>grams.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stock-based compensation expenses, including those recorded as research and development expenses,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historically fluctuated and are expected to continue to fluctuate from one period to another primarily due to changes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probability of achieving milestones associated with our performance-based awards.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 Expenses</w:t>
      </w:r>
    </w:p>
    <w:tbl>
      <w:tblPr>
        <w:tblW w:w="8587" w:type="dxa"/>
        <w:jc w:val="left"/>
        <w:tblInd w:w="0" w:type="dxa"/>
        <w:tblLayout w:type="fixed"/>
        <w:tblCellMar>
          <w:top w:w="28" w:type="dxa"/>
          <w:left w:w="28" w:type="dxa"/>
          <w:bottom w:w="28" w:type="dxa"/>
          <w:right w:w="28" w:type="dxa"/>
        </w:tblCellMar>
      </w:tblPr>
      <w:tblGrid>
        <w:gridCol w:w="3946"/>
        <w:gridCol w:w="676"/>
        <w:gridCol w:w="109"/>
        <w:gridCol w:w="991"/>
        <w:gridCol w:w="109"/>
        <w:gridCol w:w="826"/>
        <w:gridCol w:w="109"/>
        <w:gridCol w:w="991"/>
        <w:gridCol w:w="109"/>
        <w:gridCol w:w="721"/>
      </w:tblGrid>
      <w:tr>
        <w:trPr/>
        <w:tc>
          <w:tcPr>
            <w:tcW w:w="39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464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Acquired in-process research and development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$527.1</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 2025, AIPR&amp;D included various upfront and mileston</w:t>
      </w:r>
      <w:r>
        <w:rPr>
          <w:rFonts w:ascii="Times New Roman;serif" w:hAnsi="Times New Roman;serif"/>
          <w:b w:val="false"/>
          <w:i w:val="false"/>
          <w:caps w:val="false"/>
          <w:smallCaps w:val="false"/>
          <w:strike w:val="false"/>
          <w:dstrike w:val="false"/>
          <w:sz w:val="20"/>
          <w:u w:val="none"/>
          <w:effect w:val="none"/>
        </w:rPr>
        <w:t>e payment</w:t>
      </w:r>
      <w:r>
        <w:rPr>
          <w:rFonts w:ascii="Times New Roman;serif" w:hAnsi="Times New Roman;serif"/>
          <w:b w:val="false"/>
          <w:i w:val="false"/>
          <w:caps w:val="false"/>
          <w:smallCaps w:val="false"/>
          <w:sz w:val="20"/>
        </w:rPr>
        <w:t xml:space="preserve">s related to our collaboration and in-licensing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w:t>
      </w:r>
      <w:r>
        <w:rPr>
          <w:rFonts w:ascii="Times New Roman;serif" w:hAnsi="Times New Roman;serif"/>
          <w:b w:val="false"/>
          <w:i w:val="false"/>
          <w:caps w:val="false"/>
          <w:smallCaps w:val="false"/>
          <w:sz w:val="20"/>
        </w:rPr>
        <w:t xml:space="preserve">n 2024, </w:t>
      </w:r>
      <w:r>
        <w:rPr>
          <w:rFonts w:ascii="Times New Roman;serif" w:hAnsi="Times New Roman;serif"/>
          <w:b w:val="false"/>
          <w:i w:val="false"/>
          <w:caps w:val="false"/>
          <w:smallCaps w:val="false"/>
          <w:strike w:val="false"/>
          <w:dstrike w:val="false"/>
          <w:sz w:val="20"/>
          <w:u w:val="none"/>
          <w:effect w:val="none"/>
        </w:rPr>
        <w:t xml:space="preserve">AIPR&amp;D included $4.4 billion resulting from our acquisition of Alpine, which was accounted for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 asset acquisition, and various other upfront and milestone payments.</w:t>
      </w:r>
      <w:r>
        <w:rPr>
          <w:caps w:val="false"/>
          <w:smallCaps w:val="false"/>
          <w:sz w:val="24"/>
        </w:rPr>
        <w:t xml:space="preserve"> </w:t>
      </w:r>
      <w:r>
        <w:rPr>
          <w:rFonts w:ascii="Times New Roman;serif" w:hAnsi="Times New Roman;serif"/>
          <w:b w:val="false"/>
          <w:i w:val="false"/>
          <w:caps w:val="false"/>
          <w:smallCaps w:val="false"/>
          <w:sz w:val="20"/>
        </w:rPr>
        <w:t xml:space="preserve">Our AIPR&amp;D has historically fluctuated,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expected to continue to fluctuate, from one period to another due to upfront, contingent milestone, and other payments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our existing and future business development transactions, including collaborations, licenses of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technologies, and asset acquisitions.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Selling, General and Administrative Expenses</w:t>
      </w:r>
    </w:p>
    <w:tbl>
      <w:tblPr>
        <w:tblW w:w="8677" w:type="dxa"/>
        <w:jc w:val="left"/>
        <w:tblInd w:w="0" w:type="dxa"/>
        <w:tblLayout w:type="fixed"/>
        <w:tblCellMar>
          <w:top w:w="28" w:type="dxa"/>
          <w:left w:w="28" w:type="dxa"/>
          <w:bottom w:w="28" w:type="dxa"/>
          <w:right w:w="28" w:type="dxa"/>
        </w:tblCellMar>
      </w:tblPr>
      <w:tblGrid>
        <w:gridCol w:w="3736"/>
        <w:gridCol w:w="826"/>
        <w:gridCol w:w="109"/>
        <w:gridCol w:w="991"/>
        <w:gridCol w:w="109"/>
        <w:gridCol w:w="826"/>
        <w:gridCol w:w="109"/>
        <w:gridCol w:w="991"/>
        <w:gridCol w:w="109"/>
        <w:gridCol w:w="871"/>
      </w:tblGrid>
      <w:tr>
        <w:trPr/>
        <w:tc>
          <w:tcPr>
            <w:tcW w:w="37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494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$1,136.6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trike w:val="false"/>
          <w:dstrike w:val="false"/>
          <w:sz w:val="20"/>
          <w:u w:val="none"/>
          <w:effect w:val="none"/>
        </w:rPr>
        <w:t>20%</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primarily due to increased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investment to support the launch of JOURNAVX. We expect our selling, general and administrative expenses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continue to increase in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to as we expand the commercialization of JOURNAVX, </w:t>
      </w:r>
      <w:r>
        <w:rPr>
          <w:rFonts w:ascii="Times New Roman;serif" w:hAnsi="Times New Roman;serif"/>
          <w:b w:val="false"/>
          <w:i w:val="false"/>
          <w:caps w:val="false"/>
          <w:smallCaps w:val="false"/>
          <w:strike w:val="false"/>
          <w:dstrike w:val="false"/>
          <w:sz w:val="20"/>
          <w:u w:val="none"/>
          <w:effect w:val="none"/>
        </w:rPr>
        <w:t xml:space="preserve">prepare </w:t>
      </w:r>
      <w:r>
        <w:rPr>
          <w:rFonts w:ascii="Times New Roman;serif" w:hAnsi="Times New Roman;serif"/>
          <w:b w:val="false"/>
          <w:i w:val="false"/>
          <w:caps w:val="false"/>
          <w:smallCaps w:val="false"/>
          <w:sz w:val="20"/>
        </w:rPr>
        <w:t xml:space="preserve">for our </w:t>
      </w:r>
      <w:r>
        <w:rPr>
          <w:rFonts w:ascii="Times New Roman;serif" w:hAnsi="Times New Roman;serif"/>
          <w:b w:val="false"/>
          <w:i w:val="false"/>
          <w:caps w:val="false"/>
          <w:smallCaps w:val="false"/>
          <w:strike w:val="false"/>
          <w:dstrike w:val="false"/>
          <w:sz w:val="20"/>
          <w:u w:val="none"/>
          <w:effect w:val="none"/>
        </w:rPr>
        <w:t xml:space="preserve">anticipated launch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povetacicept for the treatment of IgAN, and further </w:t>
      </w:r>
      <w:r>
        <w:rPr>
          <w:rFonts w:ascii="Times New Roman;serif" w:hAnsi="Times New Roman;serif"/>
          <w:b w:val="false"/>
          <w:i w:val="false"/>
          <w:caps w:val="false"/>
          <w:smallCaps w:val="false"/>
          <w:strike w:val="false"/>
          <w:dstrike w:val="false"/>
          <w:sz w:val="20"/>
          <w:u w:val="none"/>
          <w:effect w:val="none"/>
        </w:rPr>
        <w:t>investments</w:t>
      </w:r>
      <w:r>
        <w:rPr>
          <w:caps w:val="false"/>
          <w:smallCaps w:val="false"/>
          <w:sz w:val="24"/>
        </w:rPr>
        <w:t xml:space="preserve"> </w:t>
      </w:r>
      <w:r>
        <w:rPr>
          <w:rFonts w:ascii="Times New Roman;serif" w:hAnsi="Times New Roman;serif"/>
          <w:b w:val="false"/>
          <w:i w:val="false"/>
          <w:caps w:val="false"/>
          <w:smallCaps w:val="false"/>
          <w:sz w:val="20"/>
        </w:rPr>
        <w:t>in infrastructure to scale our organization.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Intangible Asset Impairment Charge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first quarter of 2025, based on results from a Phase 1/2 clinical trial evaluating our VX-264 clinical program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patients with T1D, we concluded that VX-264 will not be advancing further in clinical development. Based on this event,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performed an interim impairment test on the fair value of our VX-264 indefinite-lived in-process research and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 that we acquired from Semma Therapeutics, Inc. As a result, we recorded a full intangible asset impairment charge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$379.0 million associated with VX-264 in the first quarter of 2025.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Non-Operating Income (Expense), Net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Interest Income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income decreased from </w:t>
      </w:r>
      <w:r>
        <w:rPr>
          <w:rFonts w:ascii="Times New Roman;serif" w:hAnsi="Times New Roman;serif"/>
          <w:b w:val="false"/>
          <w:i w:val="false"/>
          <w:caps w:val="false"/>
          <w:smallCaps w:val="false"/>
          <w:strike w:val="false"/>
          <w:dstrike w:val="false"/>
          <w:sz w:val="20"/>
          <w:u w:val="none"/>
          <w:effect w:val="none"/>
        </w:rPr>
        <w:t>$598.1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$490.9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decreased market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interest rat</w:t>
      </w:r>
      <w:r>
        <w:rPr>
          <w:rFonts w:ascii="Times New Roman;serif" w:hAnsi="Times New Roman;serif"/>
          <w:b w:val="false"/>
          <w:i w:val="false"/>
          <w:caps w:val="false"/>
          <w:smallCaps w:val="false"/>
          <w:strike w:val="false"/>
          <w:dstrike w:val="false"/>
          <w:sz w:val="20"/>
          <w:u w:val="none"/>
          <w:effect w:val="none"/>
        </w:rPr>
        <w:t>es.</w:t>
      </w:r>
      <w:r>
        <w:rPr>
          <w:caps w:val="false"/>
          <w:smallCaps w:val="false"/>
          <w:sz w:val="24"/>
        </w:rPr>
        <w:t xml:space="preserve"> </w:t>
      </w:r>
      <w:r>
        <w:rPr>
          <w:rFonts w:ascii="Times New Roman;serif" w:hAnsi="Times New Roman;serif"/>
          <w:b w:val="false"/>
          <w:i w:val="false"/>
          <w:caps w:val="false"/>
          <w:smallCaps w:val="false"/>
          <w:sz w:val="20"/>
        </w:rPr>
        <w:t xml:space="preserve">Our future interest income is dependent on the amount of, and prevailing market interest rates on,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outstanding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cash, cash e</w:t>
      </w:r>
      <w:r>
        <w:rPr>
          <w:rFonts w:ascii="Times New Roman;serif" w:hAnsi="Times New Roman;serif"/>
          <w:b w:val="false"/>
          <w:i w:val="false"/>
          <w:caps w:val="false"/>
          <w:smallCaps w:val="false"/>
          <w:sz w:val="20"/>
        </w:rPr>
        <w:t>quivalents and available-for-sale debt securities.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Other Income (Expense),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Other income (expense), net were </w:t>
      </w:r>
      <w:r>
        <w:rPr>
          <w:rFonts w:ascii="Times New Roman;serif" w:hAnsi="Times New Roman;serif"/>
          <w:b w:val="false"/>
          <w:i w:val="false"/>
          <w:caps w:val="false"/>
          <w:smallCaps w:val="false"/>
          <w:strike w:val="false"/>
          <w:dstrike w:val="false"/>
          <w:sz w:val="20"/>
          <w:u w:val="none"/>
          <w:effect w:val="none"/>
        </w:rPr>
        <w:t>expenses</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$7.7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$86.1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primarily related to net unrealized and realized losses resulting from changes in the fair value of certain 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strategic equity investments a</w:t>
      </w:r>
      <w:r>
        <w:rPr>
          <w:rFonts w:ascii="Times New Roman;serif" w:hAnsi="Times New Roman;serif"/>
          <w:b w:val="false"/>
          <w:i w:val="false"/>
          <w:caps w:val="false"/>
          <w:smallCaps w:val="false"/>
          <w:strike w:val="false"/>
          <w:dstrike w:val="false"/>
          <w:sz w:val="20"/>
          <w:u w:val="none"/>
          <w:effect w:val="none"/>
        </w:rPr>
        <w:t>nd net foreign currency exchange losses.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effective tax rate fluctuates from year to year due to the global nature of our operations. The factors that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significantly impact our effective tax rate include changes in tax laws, variability in the amount and allocation of our taxable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among multiple jurisdictions, the amount and characterization of our research and development expenses, the levels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certain deductions and credits, adjustments to the value of our uncertain tax positions, acquisitions and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collaboration and licensing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previously capitalized amounts. H.R.1 does not have a material impact on our 2025 U.S. taxes, but we expect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further guidance to be issued. We will review guidance when issued for impacts on future years and disclose any impacts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needed at that time. These legislative changes could have an impact on our future effective tax rates, tax liabilities, and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 was $690.0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$784.1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2024. In 2025, our 14.9%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effective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 was lower than the U.S. statutory rate primarily due to research and development tax credits, increased utilization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foreign tax credits, and excess tax benefits related to stock-based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2024, our </w:t>
      </w:r>
      <w:r>
        <w:rPr>
          <w:rFonts w:ascii="Times New Roman;serif" w:hAnsi="Times New Roman;serif"/>
          <w:b w:val="false"/>
          <w:i w:val="false"/>
          <w:caps w:val="false"/>
          <w:smallCaps w:val="false"/>
          <w:strike w:val="false"/>
          <w:dstrike w:val="false"/>
          <w:sz w:val="20"/>
          <w:u w:val="none"/>
          <w:effect w:val="none"/>
        </w:rPr>
        <w:t>315.5%</w:t>
      </w:r>
      <w:r>
        <w:rPr>
          <w:caps w:val="false"/>
          <w:smallCaps w:val="false"/>
          <w:sz w:val="24"/>
        </w:rPr>
        <w:t xml:space="preserve"> </w:t>
      </w:r>
      <w:r>
        <w:rPr>
          <w:rFonts w:ascii="Times New Roman;serif" w:hAnsi="Times New Roman;serif"/>
          <w:b w:val="false"/>
          <w:i w:val="false"/>
          <w:caps w:val="false"/>
          <w:smallCaps w:val="false"/>
          <w:sz w:val="20"/>
        </w:rPr>
        <w:t xml:space="preserve">effective tax rate was </w:t>
      </w:r>
      <w:r>
        <w:rPr>
          <w:rFonts w:ascii="Times New Roman;serif" w:hAnsi="Times New Roman;serif"/>
          <w:b w:val="false"/>
          <w:i w:val="false"/>
          <w:caps w:val="false"/>
          <w:smallCaps w:val="false"/>
          <w:strike w:val="false"/>
          <w:dstrike w:val="false"/>
          <w:sz w:val="20"/>
          <w:u w:val="none"/>
          <w:effect w:val="none"/>
        </w:rPr>
        <w:t>materially different than the U.S. statutory rate primarily due to the</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$4.4 billion</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of non-deductible AIPR&amp;D resulting from our acquisition of Alpine, which significantly lowered our pre-tax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The non-deductible AIPR&amp;D was partially offset by a benefit from a research and development tax credit study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completed in 2024 and excess tax benefits related to stock-based compensation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following table summarizes the components of our financial condition 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w:t>
      </w:r>
    </w:p>
    <w:tbl>
      <w:tblPr>
        <w:tblW w:w="7617" w:type="dxa"/>
        <w:jc w:val="left"/>
        <w:tblInd w:w="0" w:type="dxa"/>
        <w:tblLayout w:type="fixed"/>
        <w:tblCellMar>
          <w:top w:w="28" w:type="dxa"/>
          <w:left w:w="28" w:type="dxa"/>
          <w:bottom w:w="28" w:type="dxa"/>
          <w:right w:w="28" w:type="dxa"/>
        </w:tblCellMar>
      </w:tblPr>
      <w:tblGrid>
        <w:gridCol w:w="4501"/>
        <w:gridCol w:w="931"/>
        <w:gridCol w:w="109"/>
        <w:gridCol w:w="931"/>
        <w:gridCol w:w="109"/>
        <w:gridCol w:w="1036"/>
      </w:tblGrid>
      <w:tr>
        <w:trPr/>
        <w:tc>
          <w:tcPr>
            <w:tcW w:w="45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Change</w:t>
            </w:r>
          </w:p>
        </w:tc>
      </w:tr>
      <w:tr>
        <w:trPr/>
        <w:tc>
          <w:tcPr>
            <w:tcW w:w="450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3116"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cash equivalents and marketable securities:</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Marketable securities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cash, cash equivalents and marketable securities</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450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Working Capital:</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assets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$9,596.4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liabilities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working capital</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Working Capital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total working capital was </w:t>
      </w:r>
      <w:r>
        <w:rPr>
          <w:rFonts w:ascii="Times New Roman;serif" w:hAnsi="Times New Roman;serif"/>
          <w:b w:val="false"/>
          <w:i w:val="false"/>
          <w:caps w:val="false"/>
          <w:smallCaps w:val="false"/>
          <w:strike w:val="false"/>
          <w:dstrike w:val="false"/>
          <w:sz w:val="20"/>
          <w:u w:val="none"/>
          <w:effect w:val="none"/>
        </w:rPr>
        <w:t>$7.3 billion</w:t>
      </w:r>
      <w:r>
        <w:rPr>
          <w:rFonts w:ascii="Times New Roman;serif" w:hAnsi="Times New Roman;serif"/>
          <w:b w:val="false"/>
          <w:i w:val="false"/>
          <w:caps w:val="false"/>
          <w:smallCaps w:val="false"/>
          <w:sz w:val="20"/>
        </w:rPr>
        <w:t xml:space="preserve">, which represented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$1.3 billion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22%</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from </w:t>
      </w:r>
      <w:r>
        <w:rPr>
          <w:rFonts w:ascii="Times New Roman;serif" w:hAnsi="Times New Roman;serif"/>
          <w:b w:val="false"/>
          <w:i w:val="false"/>
          <w:caps w:val="false"/>
          <w:smallCaps w:val="false"/>
          <w:strike w:val="false"/>
          <w:dstrike w:val="false"/>
          <w:sz w:val="20"/>
          <w:u w:val="none"/>
          <w:effect w:val="none"/>
        </w:rPr>
        <w:t>$6.0 billion</w:t>
      </w:r>
      <w:r>
        <w:rPr>
          <w:caps w:val="false"/>
          <w:smallCaps w:val="false"/>
          <w:sz w:val="24"/>
        </w:rPr>
        <w:t xml:space="preserve"> </w:t>
      </w: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primarily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due to increased cash and marketable securities due to product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growth, as well as increased inventories to support our recent commercial launches.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Cash Flows</w:t>
      </w:r>
    </w:p>
    <w:tbl>
      <w:tblPr>
        <w:tblW w:w="5757" w:type="dxa"/>
        <w:jc w:val="left"/>
        <w:tblInd w:w="0" w:type="dxa"/>
        <w:tblLayout w:type="fixed"/>
        <w:tblCellMar>
          <w:top w:w="28" w:type="dxa"/>
          <w:left w:w="28" w:type="dxa"/>
          <w:bottom w:w="28" w:type="dxa"/>
          <w:right w:w="28" w:type="dxa"/>
        </w:tblCellMar>
      </w:tblPr>
      <w:tblGrid>
        <w:gridCol w:w="2656"/>
        <w:gridCol w:w="946"/>
        <w:gridCol w:w="109"/>
        <w:gridCol w:w="946"/>
        <w:gridCol w:w="109"/>
        <w:gridCol w:w="991"/>
      </w:tblGrid>
      <w:tr>
        <w:trPr/>
        <w:tc>
          <w:tcPr>
            <w:tcW w:w="26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3101"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provided by (used in):</w:t>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activities</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$3,537.3</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$(3,141.7)</w:t>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Financing activities</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$(2,261.3)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$(562.2)</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Operating Activities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provided by operating activities was </w:t>
      </w:r>
      <w:r>
        <w:rPr>
          <w:rFonts w:ascii="Times New Roman;serif" w:hAnsi="Times New Roman;serif"/>
          <w:b w:val="false"/>
          <w:i w:val="false"/>
          <w:caps w:val="false"/>
          <w:smallCaps w:val="false"/>
          <w:strike w:val="false"/>
          <w:dstrike w:val="false"/>
          <w:sz w:val="20"/>
          <w:u w:val="none"/>
          <w:effect w:val="none"/>
        </w:rPr>
        <w:t>$3.6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income from operations of </w:t>
      </w:r>
      <w:r>
        <w:rPr>
          <w:rFonts w:ascii="Times New Roman;serif" w:hAnsi="Times New Roman;serif"/>
          <w:b w:val="false"/>
          <w:i w:val="false"/>
          <w:caps w:val="false"/>
          <w:smallCaps w:val="false"/>
          <w:strike w:val="false"/>
          <w:dstrike w:val="false"/>
          <w:sz w:val="20"/>
          <w:u w:val="none"/>
          <w:effect w:val="none"/>
        </w:rPr>
        <w:t>$4.2 billion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driven by our net product revenues partially offset by </w:t>
      </w:r>
      <w:r>
        <w:rPr>
          <w:rFonts w:ascii="Times New Roman;serif" w:hAnsi="Times New Roman;serif"/>
          <w:b w:val="false"/>
          <w:i w:val="false"/>
          <w:caps w:val="false"/>
          <w:smallCaps w:val="false"/>
          <w:strike w:val="false"/>
          <w:dstrike w:val="false"/>
          <w:sz w:val="20"/>
          <w:u w:val="none"/>
          <w:effect w:val="none"/>
        </w:rPr>
        <w:t>purchases of inventory</w:t>
      </w:r>
      <w:r>
        <w:rPr>
          <w:caps w:val="false"/>
          <w:smallCaps w:val="false"/>
          <w:sz w:val="24"/>
        </w:rPr>
        <w:t xml:space="preserve"> </w:t>
      </w:r>
      <w:r>
        <w:rPr>
          <w:rFonts w:ascii="Times New Roman;serif" w:hAnsi="Times New Roman;serif"/>
          <w:b w:val="false"/>
          <w:i w:val="false"/>
          <w:caps w:val="false"/>
          <w:smallCaps w:val="false"/>
          <w:sz w:val="20"/>
        </w:rPr>
        <w:t xml:space="preserve">and other changes in operating assets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liabilities. Cash used in operating activities was </w:t>
      </w:r>
      <w:r>
        <w:rPr>
          <w:rFonts w:ascii="Times New Roman;serif" w:hAnsi="Times New Roman;serif"/>
          <w:b w:val="false"/>
          <w:i w:val="false"/>
          <w:caps w:val="false"/>
          <w:smallCaps w:val="false"/>
          <w:strike w:val="false"/>
          <w:dstrike w:val="false"/>
          <w:sz w:val="20"/>
          <w:u w:val="none"/>
          <w:effect w:val="none"/>
        </w:rPr>
        <w:t>$492.6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primarily due to our acquisition of Alpine partially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offset by cash flows provided by other operating activities.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investing activities was </w:t>
      </w:r>
      <w:r>
        <w:rPr>
          <w:rFonts w:ascii="Times New Roman;serif" w:hAnsi="Times New Roman;serif"/>
          <w:b w:val="false"/>
          <w:i w:val="false"/>
          <w:caps w:val="false"/>
          <w:smallCaps w:val="false"/>
          <w:strike w:val="false"/>
          <w:dstrike w:val="false"/>
          <w:sz w:val="20"/>
          <w:u w:val="none"/>
          <w:effect w:val="none"/>
        </w:rPr>
        <w:t>$945.4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related to net purchases of available-for-sale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and purchases of property and equipment. Cash used in investing activities was </w:t>
      </w:r>
      <w:r>
        <w:rPr>
          <w:rFonts w:ascii="Times New Roman;serif" w:hAnsi="Times New Roman;serif"/>
          <w:b w:val="false"/>
          <w:i w:val="false"/>
          <w:caps w:val="false"/>
          <w:smallCaps w:val="false"/>
          <w:strike w:val="false"/>
          <w:dstrike w:val="false"/>
          <w:sz w:val="20"/>
          <w:u w:val="none"/>
          <w:effect w:val="none"/>
        </w:rPr>
        <w:t>$3.8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which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included net purchases of available-for-sale debt securities of </w:t>
      </w:r>
      <w:r>
        <w:rPr>
          <w:rFonts w:ascii="Times New Roman;serif" w:hAnsi="Times New Roman;serif"/>
          <w:b w:val="false"/>
          <w:i w:val="false"/>
          <w:caps w:val="false"/>
          <w:smallCaps w:val="false"/>
          <w:strike w:val="false"/>
          <w:dstrike w:val="false"/>
          <w:sz w:val="20"/>
          <w:u w:val="none"/>
          <w:effect w:val="none"/>
        </w:rPr>
        <w:t>$3.0 billion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Financing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financing activities were </w:t>
      </w:r>
      <w:r>
        <w:rPr>
          <w:rFonts w:ascii="Times New Roman;serif" w:hAnsi="Times New Roman;serif"/>
          <w:b w:val="false"/>
          <w:i w:val="false"/>
          <w:caps w:val="false"/>
          <w:smallCaps w:val="false"/>
          <w:strike w:val="false"/>
          <w:dstrike w:val="false"/>
          <w:sz w:val="20"/>
          <w:u w:val="none"/>
          <w:effect w:val="none"/>
        </w:rPr>
        <w:t>$2.3 billion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$1.5 billion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respectively. Our financing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activities in each year were primarily related to repurchases of our common stock pursuant to our </w:t>
      </w:r>
      <w:r>
        <w:rPr>
          <w:rFonts w:ascii="Times New Roman;serif" w:hAnsi="Times New Roman;serif"/>
          <w:b w:val="false"/>
          <w:i w:val="false"/>
          <w:caps w:val="false"/>
          <w:smallCaps w:val="false"/>
          <w:strike w:val="false"/>
          <w:dstrike w:val="false"/>
          <w:sz w:val="20"/>
          <w:u w:val="none"/>
          <w:effect w:val="none"/>
        </w:rPr>
        <w:t>share repurchase programs</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payments in connection with common stock withheld for employee tax obligations.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Sources and Uses of Liquidity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intend to rely on our existing cash, cash equivalents and current marketable securities together with our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profitability as our primary source of liquidity. We expect that cash flows from our product sales together with our cash,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equivalents and current marketable securities will be sufficient to fund our operations for at least the next twelve months.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adequacy of our available funds to meet our future operating and capital requirements will depend on many factors,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future sales of currently marketed products, and the potential introduction of one or more new product candidates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our business development activities, and the number, breadth and cost of our research and development programs.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Credit Facilities &amp; Financing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borrow up to a total of $500.0 million pursuant to a revolving credit facility that we entered into in July 2022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could repay and reborrow amounts under this revolving credit agreement without penalty. Subject to certain conditions,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could request that the borrowing capacity be increased by an additional $500.0 million, for a total of $1.0 billion.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Negative covenants in our credit agreement could prohibit or limit our ability to access this source of liquidity.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the facility was undrawn, and we were in compliance with these covenants.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also raise additional capital by borrowing under credit agreements, through public offerings or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placements of our securities, or securing new collaborative agreements or other methods of financing. We will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 our capital structure and will consider all financing opportunities, whenever they may occur, that could strengthen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long-term liquidity profile. There can be no assurance that any such financing opportunities will be available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acceptable terms, if at all.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Future Capital 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significant future capital requirements, including:</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Expected operating expenses to conduct research and development activities, manufacture and commercialize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existing and future products, and to operate our organization.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Cash that we pay for income taxes.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Royalties we pay related to sales of our CF products.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Facility, operating and finance lease obligations as described below.</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Firm purchase obligations related to our supply and manufacturing processes.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other potential significant future capital requirements may include: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We have entered into certain agreements with third parties that include the funding of certain research,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and commercialization efforts. Certain of our transactions, including collaborations, licensing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and asset acquisitions, include the potential for future milestone and royalty payments by us upon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achievement of pre-established developmental and regulatory targets and/or commercial targets. Other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 the potential for future lease-related expenses and other costs. Our obligation to fund these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and commercialization efforts and to pay these potential milestones, expenses and royalties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contingent upon continued involvement in the programs and/or the lack of any adverse events that could cause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discontinuance. We may enter into additional agreements, including acquisitions, collaborations, licensing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arrangements and equity investments, which require additional capital.</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To the extent we borrow amounts under our existing credit agreement, we would be required to repay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principal amounts in 2027.</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$3.4 billion</w:t>
      </w:r>
      <w:r>
        <w:rPr>
          <w:caps w:val="false"/>
          <w:smallCaps w:val="false"/>
          <w:sz w:val="24"/>
        </w:rPr>
        <w:t xml:space="preserve"> </w:t>
      </w:r>
      <w:r>
        <w:rPr>
          <w:rFonts w:ascii="Times New Roman;serif" w:hAnsi="Times New Roman;serif"/>
          <w:b w:val="false"/>
          <w:i w:val="false"/>
          <w:caps w:val="false"/>
          <w:smallCaps w:val="false"/>
          <w:sz w:val="20"/>
        </w:rPr>
        <w:t xml:space="preserve">remaining authorization available under the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our Board of Directors approved in May 2025. The program does not have an expiration date and can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discontinued at any time. We expect to fund the program through a combination of cash on hand and cash generated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information on several of our future capital requirements is provided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and Development Costs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ongoing clinical trials of product candidates at various stages of clinical development. Our clinical trial costs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dependent on, among other things, the size, number, and length of our clinical trials. These costs can increase as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candidates move from earlier-stage clinical trials into later-stage clinical development.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account for the majority of our real estate leases and each of our embedded leases with contract manufacturing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organizations as operating leases. These include leases for our corporate headquarters at Fan Pier in Boston, Massachusetts,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continues through June 2044, and office and laboratory space at the Jeffrey Leiden Center for Biologics, Cell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Genetic Therapies Campus (the “Leiden Campus”) near our corporate headquarters.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the longest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lease at the Leiden Campus </w:t>
      </w:r>
      <w:r>
        <w:rPr>
          <w:rFonts w:ascii="Times New Roman;serif" w:hAnsi="Times New Roman;serif"/>
          <w:b w:val="false"/>
          <w:i w:val="false"/>
          <w:caps w:val="false"/>
          <w:smallCaps w:val="false"/>
          <w:strike w:val="false"/>
          <w:dstrike w:val="false"/>
          <w:sz w:val="20"/>
          <w:u w:val="none"/>
          <w:effect w:val="none"/>
        </w:rPr>
        <w:t>continues</w:t>
      </w:r>
      <w:r>
        <w:rPr>
          <w:caps w:val="false"/>
          <w:smallCaps w:val="false"/>
          <w:sz w:val="24"/>
        </w:rPr>
        <w:t xml:space="preserve"> </w:t>
      </w:r>
      <w:r>
        <w:rPr>
          <w:rFonts w:ascii="Times New Roman;serif" w:hAnsi="Times New Roman;serif"/>
          <w:b w:val="false"/>
          <w:i w:val="false"/>
          <w:caps w:val="false"/>
          <w:smallCaps w:val="false"/>
          <w:sz w:val="20"/>
        </w:rPr>
        <w:t xml:space="preserve">through the first quarter of 2042. </w:t>
      </w:r>
      <w:r>
        <w:rPr>
          <w:rFonts w:ascii="Times New Roman;serif" w:hAnsi="Times New Roman;serif"/>
          <w:b w:val="false"/>
          <w:i w:val="false"/>
          <w:caps w:val="false"/>
          <w:smallCaps w:val="false"/>
          <w:strike w:val="false"/>
          <w:dstrike w:val="false"/>
          <w:sz w:val="20"/>
          <w:u w:val="none"/>
          <w:effect w:val="none"/>
        </w:rPr>
        <w:t>W</w:t>
      </w:r>
      <w:r>
        <w:rPr>
          <w:rFonts w:ascii="Times New Roman;serif" w:hAnsi="Times New Roman;serif"/>
          <w:b w:val="false"/>
          <w:i w:val="false"/>
          <w:caps w:val="false"/>
          <w:smallCaps w:val="false"/>
          <w:sz w:val="20"/>
        </w:rPr>
        <w:t xml:space="preserve">e also have several embedded leases with contract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manufacturing organizations related to the manufacturing and commercialization of our products with remaining lease terms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up to </w:t>
      </w:r>
      <w:r>
        <w:rPr>
          <w:rFonts w:ascii="Times New Roman;serif" w:hAnsi="Times New Roman;serif"/>
          <w:b w:val="false"/>
          <w:i w:val="false"/>
          <w:caps w:val="false"/>
          <w:smallCaps w:val="false"/>
          <w:strike w:val="false"/>
          <w:dstrike w:val="false"/>
          <w:sz w:val="20"/>
          <w:u w:val="none"/>
          <w:effect w:val="none"/>
        </w:rPr>
        <w:t>7 years</w:t>
      </w:r>
      <w:r>
        <w:rPr>
          <w:caps w:val="false"/>
          <w:smallCaps w:val="false"/>
          <w:sz w:val="24"/>
        </w:rPr>
        <w:t xml:space="preserve"> </w:t>
      </w: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total future minimum lease payments for our leases for each of the next five years and in total are included in </w:t>
      </w:r>
      <w:r>
        <w:rPr>
          <w:rFonts w:ascii="Times New Roman;serif" w:hAnsi="Times New Roman;serif"/>
          <w:b w:val="false"/>
          <w:i w:val="false"/>
          <w:caps w:val="false"/>
          <w:smallCaps w:val="false"/>
          <w:strike w:val="false"/>
          <w:dstrike w:val="false"/>
          <w:sz w:val="20"/>
          <w:u w:val="none"/>
          <w:effect w:val="none"/>
        </w:rPr>
        <w:t xml:space="preserve">Note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 “Leases.”</w:t>
      </w:r>
      <w:r>
        <w:rPr>
          <w:caps w:val="false"/>
          <w:smallCaps w:val="false"/>
          <w:sz w:val="24"/>
        </w:rPr>
        <w:t xml:space="preserve"> </w:t>
      </w:r>
      <w:r>
        <w:rPr>
          <w:rFonts w:ascii="Times New Roman;serif" w:hAnsi="Times New Roman;serif"/>
          <w:b w:val="false"/>
          <w:i w:val="false"/>
          <w:caps w:val="false"/>
          <w:smallCaps w:val="false"/>
          <w:sz w:val="20"/>
        </w:rPr>
        <w:t xml:space="preserve">The total future undiscounted minimum lease payments were </w:t>
      </w:r>
      <w:r>
        <w:rPr>
          <w:rFonts w:ascii="Times New Roman;serif" w:hAnsi="Times New Roman;serif"/>
          <w:b w:val="false"/>
          <w:i w:val="false"/>
          <w:caps w:val="false"/>
          <w:smallCaps w:val="false"/>
          <w:strike w:val="false"/>
          <w:dstrike w:val="false"/>
          <w:sz w:val="20"/>
          <w:u w:val="none"/>
          <w:effect w:val="none"/>
        </w:rPr>
        <w:t>$3.2 billion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$178.1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operating and finance leases, respectively,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 addition to the items described above, w</w:t>
      </w:r>
      <w:r>
        <w:rPr>
          <w:rFonts w:ascii="Times New Roman;serif" w:hAnsi="Times New Roman;serif"/>
          <w:b w:val="false"/>
          <w:i w:val="false"/>
          <w:caps w:val="false"/>
          <w:smallCaps w:val="false"/>
          <w:strike w:val="false"/>
          <w:dstrike w:val="false"/>
          <w:sz w:val="20"/>
          <w:u w:val="none"/>
          <w:effect w:val="none"/>
        </w:rPr>
        <w:t>e</w:t>
      </w:r>
      <w:r>
        <w:rPr>
          <w:caps w:val="false"/>
          <w:smallCaps w:val="false"/>
          <w:sz w:val="24"/>
        </w:rPr>
        <w:t xml:space="preserve"> </w:t>
      </w:r>
      <w:r>
        <w:rPr>
          <w:rFonts w:ascii="Times New Roman;serif" w:hAnsi="Times New Roman;serif"/>
          <w:b w:val="false"/>
          <w:i w:val="false"/>
          <w:caps w:val="false"/>
          <w:smallCaps w:val="false"/>
          <w:sz w:val="20"/>
        </w:rPr>
        <w:t xml:space="preserve">have a strategic agreement with Lonza to support the manufacture of T1D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cell therapy product candidates, pursuant to which we have partnered with Lonza to build a 130,000 square foot dedicated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new facility operated by Lonza in New Hampshire. </w:t>
      </w:r>
      <w:r>
        <w:rPr>
          <w:rFonts w:ascii="Times New Roman;serif" w:hAnsi="Times New Roman;serif"/>
          <w:b w:val="false"/>
          <w:i w:val="false"/>
          <w:caps w:val="false"/>
          <w:smallCaps w:val="false"/>
          <w:strike w:val="false"/>
          <w:dstrike w:val="false"/>
          <w:sz w:val="20"/>
          <w:u w:val="none"/>
          <w:effect w:val="none"/>
        </w:rPr>
        <w:t xml:space="preserve">Lease payments will begin in the first quarter of 2026 and continue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through the tenth anniversary of the facility’s regulatory approval for commercial production</w:t>
      </w:r>
      <w:r>
        <w:rPr>
          <w:rFonts w:ascii="Times New Roman;serif" w:hAnsi="Times New Roman;serif"/>
          <w:b w:val="false"/>
          <w:i w:val="false"/>
          <w:caps w:val="false"/>
          <w:smallCaps w:val="false"/>
          <w:sz w:val="20"/>
        </w:rPr>
        <w:t xml:space="preserve">. We may enter into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lease agreements to support future product development and commercialization efforts, which would require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ACCOUNTING POLICIES AND ESTIMATES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discussion and analysis of our financial condition and results of operations are based upon our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prepared in accordance with generally accepted accounting principles in the U.S. The preparation of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requires us to make certain estimates and assumptions that affect the reported amounts of assets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liabilities, the disclosure of contingent assets and liabilities at the date of the consolidated financial statements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reported amounts of revenues and expenses during the reported periods. These items are monitored and analyzed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for changes in facts and circumstances, and material changes in these estimates could occur in the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in estimates are reflected in reported results for the period in which the change occurs. We base our estimates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historical experience and various other assumptions that we believe to be reasonable under the circumstances. Actual results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differ from our estimates if past experience or other assumptions do not turn out to be substantially accurate.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application of the following accounting policies, each of which requires significant judgments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estimates on the part of management, are the most critical to aid in fully understanding and evaluating our reported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revenue recognition;</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acquisitions, including intangible assets;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pre-launch inventories;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income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accounting policies, including the ones discussed below, are more fully described in </w:t>
      </w:r>
      <w:r>
        <w:rPr>
          <w:rFonts w:ascii="Times New Roman;serif" w:hAnsi="Times New Roman;serif"/>
          <w:b w:val="false"/>
          <w:i w:val="false"/>
          <w:caps w:val="false"/>
          <w:smallCaps w:val="false"/>
          <w:strike w:val="false"/>
          <w:dstrike w:val="false"/>
          <w:sz w:val="20"/>
          <w:u w:val="none"/>
          <w:effect w:val="none"/>
        </w:rPr>
        <w:t xml:space="preserve">Note A, “Nature of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Accounting Policies.”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Revenue Recognition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Product Revenues, Net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generate product revenues from sales in the U.S. and in international markets. We sell our products principally to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limited number of specialty pharmacy and specialty distributors as well as certain major wholesalers in the U.S.,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 for the largest portion of our total revenues. Our customers in the U.S. subsequently resell our products to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health care providers, retail pharmacies, hospitals, or authorized treatment centers (“ATCs”) for CASGEVY. We contract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government agencies so that our products will be eligible for purchase by, or partial or full reimbursement from,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payors. We make international sales primarily through distributor arrangements and to retail pharmacies, as well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to hospitals and clinics, many of which are government-owned or supported customers. In certain markets, we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utilize a specialty distributor or specialty pharmacy to distribute CASGEVY. In these markets, we sell CASGEVY directly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ATCs. We recognize net product revenues from sales of our products when our customers obtain control of our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typically occurs upon delivery to customers for our small molecule products, including our CF products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JOURNAVX, and upon infusion of our gene-therapy products, including CASGEVY. Revenues from our product sales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recorded at the net sales price, or transaction price, which requires us to make several significant estimates regarding the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price.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We are required to make estimates for o</w:t>
      </w:r>
      <w:r>
        <w:rPr>
          <w:rFonts w:ascii="Times New Roman;serif" w:hAnsi="Times New Roman;serif"/>
          <w:b w:val="false"/>
          <w:i w:val="false"/>
          <w:caps w:val="false"/>
          <w:smallCaps w:val="false"/>
          <w:strike w:val="false"/>
          <w:dstrike w:val="false"/>
          <w:sz w:val="20"/>
          <w:u w:val="none"/>
          <w:effect w:val="none"/>
        </w:rPr>
        <w:t>ur product reve</w:t>
      </w:r>
      <w:r>
        <w:rPr>
          <w:rFonts w:ascii="Times New Roman;serif" w:hAnsi="Times New Roman;serif"/>
          <w:b w:val="false"/>
          <w:i w:val="false"/>
          <w:caps w:val="false"/>
          <w:smallCaps w:val="false"/>
          <w:sz w:val="20"/>
        </w:rPr>
        <w:t xml:space="preserve">nues related to government, commercial, and private payor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rebates, chargebacks, discounts and fees, collectively rebates. The values of the rebates provided to third-party payors 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course of treatment vary significantly and are based on government-mandated discounts and our arrangements with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payors. Our most significant estimate relates to determining amounts due pursuant to the Medicaid Drug Rebate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 including estimating the level of expected utilization of the rebates based on the amount of product sold to eligible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patients. We track available information regarding changes, if any, to the payor mix for our products, to our contractual terms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third-party payors and to applicable governmental programs and regulations and levels of our products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distribution channel. We adjust our estimated rebates based upon new information as it becomes available,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regarding actual rebates for our products. Claims by third-party payors for rebates are submitted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significantly after the related sales, potentially resulting in adjustments in the period in which the new information becomes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known.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The following table summarizes activity related to our product revenue accr</w:t>
      </w:r>
      <w:r>
        <w:rPr>
          <w:rFonts w:ascii="Times New Roman;serif" w:hAnsi="Times New Roman;serif"/>
          <w:b w:val="false"/>
          <w:i w:val="false"/>
          <w:caps w:val="false"/>
          <w:smallCaps w:val="false"/>
          <w:strike w:val="false"/>
          <w:dstrike w:val="false"/>
          <w:sz w:val="20"/>
          <w:u w:val="none"/>
          <w:effect w:val="none"/>
        </w:rPr>
        <w:t>uals for rebates</w:t>
      </w:r>
      <w:r>
        <w:rPr>
          <w:caps w:val="false"/>
          <w:smallCaps w:val="false"/>
          <w:sz w:val="24"/>
        </w:rPr>
        <w:t xml:space="preserve"> </w:t>
      </w: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2023</w:t>
      </w:r>
      <w:r>
        <w:rPr>
          <w:rFonts w:ascii="Times New Roman;serif" w:hAnsi="Times New Roman;serif"/>
          <w:b w:val="false"/>
          <w:i w:val="false"/>
          <w:caps w:val="false"/>
          <w:smallCaps w:val="false"/>
          <w:sz w:val="20"/>
        </w:rPr>
        <w:t>:</w:t>
      </w:r>
    </w:p>
    <w:tbl>
      <w:tblPr>
        <w:tblW w:w="4577" w:type="dxa"/>
        <w:jc w:val="left"/>
        <w:tblInd w:w="0" w:type="dxa"/>
        <w:tblLayout w:type="fixed"/>
        <w:tblCellMar>
          <w:top w:w="28" w:type="dxa"/>
          <w:left w:w="28" w:type="dxa"/>
          <w:bottom w:w="28" w:type="dxa"/>
          <w:right w:w="28" w:type="dxa"/>
        </w:tblCellMar>
      </w:tblPr>
      <w:tblGrid>
        <w:gridCol w:w="3406"/>
        <w:gridCol w:w="1171"/>
      </w:tblGrid>
      <w:tr>
        <w:trPr/>
        <w:tc>
          <w:tcPr>
            <w:tcW w:w="340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0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2022</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$1,291.4</w:t>
            </w:r>
          </w:p>
        </w:tc>
      </w:tr>
      <w:tr>
        <w:trPr/>
        <w:tc>
          <w:tcPr>
            <w:tcW w:w="340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Provision related to </w:t>
            </w:r>
            <w:r>
              <w:rPr>
                <w:rFonts w:ascii="Times New Roman;serif" w:hAnsi="Times New Roman;serif"/>
                <w:b w:val="false"/>
                <w:i w:val="false"/>
                <w:caps w:val="false"/>
                <w:smallCaps w:val="false"/>
                <w:strike w:val="false"/>
                <w:dstrike w:val="false"/>
                <w:sz w:val="20"/>
                <w:u w:val="none"/>
                <w:effect w:val="none"/>
              </w:rPr>
              <w:t>2023</w:t>
            </w:r>
            <w:r>
              <w:rPr>
                <w:caps w:val="false"/>
                <w:smallCaps w:val="false"/>
                <w:sz w:val="24"/>
              </w:rPr>
              <w:t xml:space="preserve"> </w:t>
            </w:r>
            <w:r>
              <w:rPr>
                <w:rFonts w:ascii="Times New Roman;serif" w:hAnsi="Times New Roman;serif"/>
                <w:b w:val="false"/>
                <w:i w:val="false"/>
                <w:caps w:val="false"/>
                <w:smallCaps w:val="false"/>
                <w:sz w:val="20"/>
              </w:rPr>
              <w:t>sales</w:t>
            </w:r>
          </w:p>
        </w:tc>
        <w:tc>
          <w:tcPr>
            <w:tcW w:w="117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3,481.4</w:t>
            </w:r>
          </w:p>
        </w:tc>
      </w:tr>
      <w:tr>
        <w:trPr/>
        <w:tc>
          <w:tcPr>
            <w:tcW w:w="34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Adjustments related to prior year(s) sales</w:t>
            </w:r>
          </w:p>
        </w:tc>
        <w:tc>
          <w:tcPr>
            <w:tcW w:w="11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r>
      <w:tr>
        <w:trPr/>
        <w:tc>
          <w:tcPr>
            <w:tcW w:w="34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Credits/payments made</w:t>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(3,064.7)</w:t>
            </w:r>
          </w:p>
        </w:tc>
      </w:tr>
      <w:tr>
        <w:trPr/>
        <w:tc>
          <w:tcPr>
            <w:tcW w:w="340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2023</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$1,701.6</w:t>
            </w:r>
          </w:p>
        </w:tc>
      </w:tr>
      <w:tr>
        <w:trPr/>
        <w:tc>
          <w:tcPr>
            <w:tcW w:w="340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Provision related to </w:t>
            </w:r>
            <w:r>
              <w:rPr>
                <w:rFonts w:ascii="Times New Roman;serif" w:hAnsi="Times New Roman;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erif" w:hAnsi="Times New Roman;serif"/>
                <w:b w:val="false"/>
                <w:i w:val="false"/>
                <w:caps w:val="false"/>
                <w:smallCaps w:val="false"/>
                <w:sz w:val="20"/>
              </w:rPr>
              <w:t>sales</w:t>
            </w:r>
          </w:p>
        </w:tc>
        <w:tc>
          <w:tcPr>
            <w:tcW w:w="117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3,673.0</w:t>
            </w:r>
          </w:p>
        </w:tc>
      </w:tr>
      <w:tr>
        <w:trPr/>
        <w:tc>
          <w:tcPr>
            <w:tcW w:w="34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Adjustments related to prior year(s) sales</w:t>
            </w:r>
          </w:p>
        </w:tc>
        <w:tc>
          <w:tcPr>
            <w:tcW w:w="11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(42.1)</w:t>
            </w:r>
          </w:p>
        </w:tc>
      </w:tr>
      <w:tr>
        <w:trPr/>
        <w:tc>
          <w:tcPr>
            <w:tcW w:w="34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Credits/payments made</w:t>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(3,725.4)</w:t>
            </w:r>
          </w:p>
        </w:tc>
      </w:tr>
      <w:tr>
        <w:trPr/>
        <w:tc>
          <w:tcPr>
            <w:tcW w:w="340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2024</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$1,607.1</w:t>
            </w:r>
          </w:p>
        </w:tc>
      </w:tr>
      <w:tr>
        <w:trPr/>
        <w:tc>
          <w:tcPr>
            <w:tcW w:w="340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Provision related to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sales</w:t>
            </w:r>
          </w:p>
        </w:tc>
        <w:tc>
          <w:tcPr>
            <w:tcW w:w="117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3,780.4</w:t>
            </w:r>
          </w:p>
        </w:tc>
      </w:tr>
      <w:tr>
        <w:trPr/>
        <w:tc>
          <w:tcPr>
            <w:tcW w:w="34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Adjustments related to prior year(s) sales</w:t>
            </w:r>
          </w:p>
        </w:tc>
        <w:tc>
          <w:tcPr>
            <w:tcW w:w="11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w:t>
            </w:r>
          </w:p>
        </w:tc>
      </w:tr>
      <w:tr>
        <w:trPr/>
        <w:tc>
          <w:tcPr>
            <w:tcW w:w="34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Credits/payments made</w:t>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(3,519.5)</w:t>
            </w:r>
          </w:p>
        </w:tc>
      </w:tr>
      <w:tr>
        <w:trPr/>
        <w:tc>
          <w:tcPr>
            <w:tcW w:w="340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2025</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$1,777.6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also entered into annual contracts with government-owned and supported customers in international markets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limit the amount of annual reimbursement we can receive for our products. Upon exceeding the annual reimbursement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 provided by the customer’s contract with us, products are provided free of charge, which is a material right. If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 that the annual reimbursement amount under a contract will be exceeded for an annual period, we defer a portion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consideration received, which includes upfront payments and fees, for shipments made up to the annual reimbursement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limit as “</w:t>
      </w:r>
      <w:r>
        <w:rPr>
          <w:rFonts w:ascii="Times New Roman;serif" w:hAnsi="Times New Roman;serif"/>
          <w:b w:val="false"/>
          <w:i w:val="false"/>
          <w:caps w:val="false"/>
          <w:smallCaps w:val="false"/>
          <w:strike w:val="false"/>
          <w:dstrike w:val="false"/>
          <w:sz w:val="20"/>
          <w:u w:val="none"/>
          <w:effect w:val="none"/>
        </w:rPr>
        <w:t>Other current liabilities</w:t>
      </w:r>
      <w:r>
        <w:rPr>
          <w:rFonts w:ascii="Times New Roman;serif" w:hAnsi="Times New Roman;serif"/>
          <w:b w:val="false"/>
          <w:i w:val="false"/>
          <w:caps w:val="false"/>
          <w:smallCaps w:val="false"/>
          <w:sz w:val="20"/>
        </w:rPr>
        <w:t xml:space="preserve">.” Once the annual reimbursement limit has been reached, we recognize the deferred amount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revenue when we deliver the free products. To estimate the portion of the consideration received to be recognized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and the portion of the amount to be deferred, we rely on our forecast of the number of units we will distribute during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applicable annual period in each international market in which our contracts with government-owned and supported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customers limit the amount of annual reimbursement we can receive. Our forecasts are based on, among other things,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 experience.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preceding estimates and judgments materially affect our recognition of net product revenues. Changes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estimates of net product revenues could have a material effect on net product revenues recorded in the period in which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determine that change occurs.</w:t>
      </w:r>
    </w:p>
    <w:p>
      <w:pPr>
        <w:pStyle w:val="TextBody"/>
        <w:bidi w:val="0"/>
        <w:spacing w:lineRule="atLeast" w:line="200" w:before="0" w:after="0"/>
        <w:jc w:val="left"/>
        <w:rPr>
          <w:sz w:val="24"/>
        </w:rPr>
      </w:pPr>
      <w:r>
        <w:rPr>
          <w:rFonts w:ascii="Times New Roman;serif" w:hAnsi="Times New Roman;serif"/>
          <w:b/>
          <w:i/>
          <w:strike w:val="false"/>
          <w:dstrike w:val="false"/>
          <w:sz w:val="20"/>
          <w:u w:val="none"/>
          <w:effect w:val="none"/>
        </w:rPr>
        <w:t>Acquisitions</w:t>
      </w:r>
      <w:r>
        <w:rPr>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acquire products, product candidates and other technologies and businesses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are aligned with our corporate and research and development strategies and complement and advance our ongoing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efforts.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required to make several significant judgments and estimates to determine the accounting treatment for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acquisition transaction. If we determine that substantially all the fair value associated with an acquisition is concentrated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single asset, or the acquisition does not constitute a business, we account for it as an asset acquisition. For example,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accounted for our $5.0 billion acquisition of Alpine in 2024 as an asset acquisition because povetacicept, Alpine’s lead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molecule, represented substantially all of the fair value of the gross assets that we acquired. As a result, $4.4 billion of the fair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attributed to povetacicept was expensed to AIPR&amp;D in 2024. If the fair value that we acquired in an acquisition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distributed among more than one asset, and the acquisition constitutes a business, we account for it as a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combination.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an asset acquisition involving rights to intellectual property related to in-process research and development that is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yet associated with a product that has achieved regulatory approval, we generally expense our upfront payment to AIPR&amp;D,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there is no alternative future use for the asset that was acquired.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business combinations, we are required to make several significant judgments and estimates to calculate and allocate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purchase price, including the fair value of contingent consideration liabilities, to the assets that we have acquired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liabilities that we have assumed on our consolidated balance sheet. The most significant judgment and estimate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made for our business combinations relates to the fair value of the in-process research and development assets.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In-process Research and Development Intangible Assets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$224.6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$603.6 million</w:t>
      </w:r>
      <w:r>
        <w:rPr>
          <w:rFonts w:ascii="Times New Roman;serif" w:hAnsi="Times New Roman;serif"/>
          <w:b w:val="false"/>
          <w:i w:val="false"/>
          <w:caps w:val="false"/>
          <w:smallCaps w:val="false"/>
          <w:sz w:val="20"/>
        </w:rPr>
        <w:t xml:space="preserve">, respectively, of in-process research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development assets on our consolidated balance sheet within “</w:t>
      </w:r>
      <w:r>
        <w:rPr>
          <w:rFonts w:ascii="Times New Roman;serif" w:hAnsi="Times New Roman;serif"/>
          <w:b w:val="false"/>
          <w:i w:val="false"/>
          <w:caps w:val="false"/>
          <w:smallCaps w:val="false"/>
          <w:strike w:val="false"/>
          <w:dstrike w:val="false"/>
          <w:sz w:val="20"/>
          <w:u w:val="none"/>
          <w:effect w:val="none"/>
        </w:rPr>
        <w:t>Other intangible assets, net</w:t>
      </w:r>
      <w:r>
        <w:rPr>
          <w:rFonts w:ascii="Times New Roman;serif" w:hAnsi="Times New Roman;serif"/>
          <w:b w:val="false"/>
          <w:i w:val="false"/>
          <w:caps w:val="false"/>
          <w:smallCaps w:val="false"/>
          <w:sz w:val="20"/>
        </w:rPr>
        <w:t xml:space="preserve">.” During 2025, we recorded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$379.0 million</w:t>
      </w:r>
      <w:r>
        <w:rPr>
          <w:caps w:val="false"/>
          <w:smallCaps w:val="false"/>
          <w:sz w:val="24"/>
        </w:rPr>
        <w:t xml:space="preserve"> </w:t>
      </w:r>
      <w:r>
        <w:rPr>
          <w:rFonts w:ascii="Times New Roman;serif" w:hAnsi="Times New Roman;serif"/>
          <w:b w:val="false"/>
          <w:i w:val="false"/>
          <w:caps w:val="false"/>
          <w:smallCaps w:val="false"/>
          <w:sz w:val="20"/>
        </w:rPr>
        <w:t>impairment of one of these assets, which was classified as an “</w:t>
      </w:r>
      <w:r>
        <w:rPr>
          <w:rFonts w:ascii="Times New Roman;serif" w:hAnsi="Times New Roman;serif"/>
          <w:b w:val="false"/>
          <w:i w:val="false"/>
          <w:caps w:val="false"/>
          <w:smallCaps w:val="false"/>
          <w:strike w:val="false"/>
          <w:dstrike w:val="false"/>
          <w:sz w:val="20"/>
          <w:u w:val="none"/>
          <w:effect w:val="none"/>
        </w:rPr>
        <w:t>Intangible asset impairment charge</w:t>
      </w:r>
      <w:r>
        <w:rPr>
          <w:rFonts w:ascii="Times New Roman;serif" w:hAnsi="Times New Roman;serif"/>
          <w:b w:val="false"/>
          <w:i w:val="false"/>
          <w:caps w:val="false"/>
          <w:smallCaps w:val="false"/>
          <w:sz w:val="20"/>
        </w:rPr>
        <w:t xml:space="preserve">.”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remaining indefinite-lived in-process research and development assets were associated with our T1D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characterize in-process research and development assets on our consolidated balance sheets as indefinite-lived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until the completion or abandonment of the associated research and development efforts. We test our 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process research and development intangible assets for impairment on an annual basis, and more frequently if indicators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present or changes in circumstances suggest that impairment may exist. When we determine that an indefinite-lived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asset has become impaired or we abandon the associated research and development project, we write down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carrying value to its fair value and record an impairment charge in the period in which the impairment occurs.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For example, i</w:t>
      </w:r>
      <w:r>
        <w:rPr>
          <w:rFonts w:ascii="Times New Roman;serif" w:hAnsi="Times New Roman;serif"/>
          <w:b w:val="false"/>
          <w:i w:val="false"/>
          <w:caps w:val="false"/>
          <w:smallCaps w:val="false"/>
          <w:strike w:val="false"/>
          <w:dstrike w:val="false"/>
          <w:sz w:val="20"/>
          <w:u w:val="none"/>
          <w:effect w:val="none"/>
        </w:rPr>
        <w:t>n 2025</w:t>
      </w:r>
      <w:r>
        <w:rPr>
          <w:rFonts w:ascii="Times New Roman;serif" w:hAnsi="Times New Roman;serif"/>
          <w:b w:val="false"/>
          <w:i w:val="false"/>
          <w:caps w:val="false"/>
          <w:smallCaps w:val="false"/>
          <w:sz w:val="20"/>
        </w:rPr>
        <w:t xml:space="preserve">, based on results from a Phase 1/2 clinical trial evaluating our VX-264 clinical program in patients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T1D, we concluded that VX-264 will not be advancing further in clinical development. Based on this event,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performed an interim impairment test on the fair value of our VX-264 indefinite-lived in-process research and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 that we acquired from Semma Therapeutics, Inc. in 2019. We recorded the $379.0 million impairment charge based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results of this impairment test.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significant judgment to determine the fair value of our in-process research and development assets and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utilized either the multi-period excess earnings or the relief from royalty methods of the income approach. Each method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requires us to estimate the probability of technical and regulatory success, revenue projections and growth rates,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appropriate discount and tax rates. The multi-period excess earnings method also requires us to estimate development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costs. The relief from royalty method also requires us to estimate the after-tax royalty savings expected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ownership of the asset that we acquired. In 2025, we used the multi-period earnings method to record the impairment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described above.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one of our product candidates achieves regulatory approval, the in-process research and development intangible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associated with the product candidate become finite-lived intangible assets as described below.</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Finite-lived Intangible Assets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$199.6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$222.3 million</w:t>
      </w:r>
      <w:r>
        <w:rPr>
          <w:rFonts w:ascii="Times New Roman;serif" w:hAnsi="Times New Roman;serif"/>
          <w:b w:val="false"/>
          <w:i w:val="false"/>
          <w:caps w:val="false"/>
          <w:smallCaps w:val="false"/>
          <w:sz w:val="20"/>
        </w:rPr>
        <w:t xml:space="preserve">, respectively, of finite-lived intangible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assets on our consolidated balance sheet within “</w:t>
      </w:r>
      <w:r>
        <w:rPr>
          <w:rFonts w:ascii="Times New Roman;serif" w:hAnsi="Times New Roman;serif"/>
          <w:b w:val="false"/>
          <w:i w:val="false"/>
          <w:caps w:val="false"/>
          <w:smallCaps w:val="false"/>
          <w:strike w:val="false"/>
          <w:dstrike w:val="false"/>
          <w:sz w:val="20"/>
          <w:u w:val="none"/>
          <w:effect w:val="none"/>
        </w:rPr>
        <w:t>Other intangible assets, net</w:t>
      </w:r>
      <w:r>
        <w:rPr>
          <w:rFonts w:ascii="Times New Roman;serif" w:hAnsi="Times New Roman;serif"/>
          <w:b w:val="false"/>
          <w:i w:val="false"/>
          <w:caps w:val="false"/>
          <w:smallCaps w:val="false"/>
          <w:sz w:val="20"/>
        </w:rPr>
        <w:t xml:space="preserve">.” These finite-lived intangible assets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 to $208.0 million of CASGEVY regulatory approval milestones recorded in 2023.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amortize our finite-lived intangible assets related to our marketed products, which represent the majority of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finite-lived intangible assets, using the straight-line method within “</w:t>
      </w:r>
      <w:r>
        <w:rPr>
          <w:rFonts w:ascii="Times New Roman;serif" w:hAnsi="Times New Roman;serif"/>
          <w:b w:val="false"/>
          <w:i w:val="false"/>
          <w:caps w:val="false"/>
          <w:smallCaps w:val="false"/>
          <w:strike w:val="false"/>
          <w:dstrike w:val="false"/>
          <w:sz w:val="20"/>
          <w:u w:val="none"/>
          <w:effect w:val="none"/>
        </w:rPr>
        <w:t>Cost of sales</w:t>
      </w:r>
      <w:r>
        <w:rPr>
          <w:caps w:val="false"/>
          <w:smallCaps w:val="false"/>
          <w:sz w:val="24"/>
        </w:rPr>
        <w:t xml:space="preserve">” </w:t>
      </w:r>
      <w:r>
        <w:rPr>
          <w:rFonts w:ascii="Times New Roman;serif" w:hAnsi="Times New Roman;serif"/>
          <w:b w:val="false"/>
          <w:i w:val="false"/>
          <w:caps w:val="false"/>
          <w:smallCaps w:val="false"/>
          <w:sz w:val="20"/>
        </w:rPr>
        <w:t xml:space="preserve">over the remaining estimated life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beginning in the period in which regulatory approval is achieved or the assets are acquired and continuing through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 that we no longer have either exclusive rights to market the products associated with the assets or in-license rights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intellectual property underlying the assets. We test finite-lived intangible assets for impairment if indicators are present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in circumstances suggest that the carrying value of an asset may not be recoverable. If we determine that the carrying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of a finite-lived intangible asset may not be recoverable, we compare the carrying value of the asset to the undiscounted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flows that we expect the asset to generate. When we determine that a finite-lived intangible asset has become impaired,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write down the carrying value of the asset to its fair value and record an impairment charge in the period in which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impairment occurs.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Pre-Launch Inventories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capitalize inventories prior to regulatory approval when we consider the related product candidate to have a high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likelihood of regulatory approval and expect to recover the related costs. In making this determination, we evaluate, among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factors, the status of regulatory submissions and communications with regulatory authorities, information regarding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 candidate’s safety and efficacy, and the outlook for commercial sales, including the existence of any competition.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example, during the first quarter of 2024, following positive results related to our Phase 3 trials for JOURNAVX,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began capitalizing inventories produced in preparation for our planned product launch. In January 2025, we received approval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the FDA to market JOURNAVX in the U.S. Prior to making this determination, we expensed inventoriable and related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costs associated with JOURNAVX as “</w:t>
      </w:r>
      <w:r>
        <w:rPr>
          <w:rFonts w:ascii="Times New Roman;serif" w:hAnsi="Times New Roman;serif"/>
          <w:b w:val="false"/>
          <w:i w:val="false"/>
          <w:caps w:val="false"/>
          <w:smallCaps w:val="false"/>
          <w:strike w:val="false"/>
          <w:dstrike w:val="false"/>
          <w:sz w:val="20"/>
          <w:u w:val="none"/>
          <w:effect w:val="none"/>
        </w:rPr>
        <w:t>Research and development expenses</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Income Taxes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utilize the asset and liability method of accounting for income taxes. Under this method, deferred tax assets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liabilities are determined based on the difference between the financial statement carrying amounts and tax basis of assets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liabilities using enacted tax rates in effect for years in which the temporary differences are expected to reverse. If our estimate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tax effect of reversing temporary differences is (i) not reflective of actual outcomes, (ii) modified to reflect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developments or interpretations of the tax law, or (iii) revised to incorporate new accounting principles, or changes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expected timing or manner of the reversal, our results of operations could be materially impacted.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provide a valuation allowance when it is more likely than not that deferred tax assets will not be realized.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periodic basis, we reassess our valuation allowances on our deferred tax assets, weighing positive and negative evidence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assess the recoverability of the deferred tax assets. Judgment is required in making these assessments to maintain or adjust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valuation allowances and, to the extent our future expectations change we would have to assess the recoverability of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deferred tax assets at that time.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maintained a valuation allowance of </w:t>
      </w:r>
      <w:r>
        <w:rPr>
          <w:rFonts w:ascii="Times New Roman;serif" w:hAnsi="Times New Roman;serif"/>
          <w:b w:val="false"/>
          <w:i w:val="false"/>
          <w:caps w:val="false"/>
          <w:smallCaps w:val="false"/>
          <w:strike w:val="false"/>
          <w:dstrike w:val="false"/>
          <w:sz w:val="20"/>
          <w:u w:val="none"/>
          <w:effect w:val="none"/>
        </w:rPr>
        <w:t>$326.2 million</w:t>
      </w:r>
      <w:r>
        <w:rPr>
          <w:caps w:val="false"/>
          <w:smallCaps w:val="false"/>
          <w:sz w:val="24"/>
        </w:rPr>
        <w:t xml:space="preserve"> </w:t>
      </w:r>
      <w:r>
        <w:rPr>
          <w:rFonts w:ascii="Times New Roman;serif" w:hAnsi="Times New Roman;serif"/>
          <w:b w:val="false"/>
          <w:i w:val="false"/>
          <w:caps w:val="false"/>
          <w:smallCaps w:val="false"/>
          <w:sz w:val="20"/>
        </w:rPr>
        <w:t xml:space="preserve">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primarily to U.S. state tax attributes.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record liabilities related to uncertain tax positions by prescribing a minimum recognition threshold and measurement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attribute for the financial statement recognition and measurement of a tax position taken or expected to be taken in a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return. We adjust our liability to reflect any subsequent changes in the relevant facts and circumstances surrounding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uncertain positions. We are subject to tax laws and audits in multiple jurisdictions and judgment is required in making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assessment. Consequently, we regularly re-evaluate uncertain tax positions and consider various factors, including changes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law, the measurement of tax positions taken or expected to be taken in tax returns, and changes in facts or circumstances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related to a tax position.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liability for uncertain tax positions was </w:t>
      </w:r>
      <w:r>
        <w:rPr>
          <w:rFonts w:ascii="Times New Roman;serif" w:hAnsi="Times New Roman;serif"/>
          <w:b w:val="false"/>
          <w:i w:val="false"/>
          <w:caps w:val="false"/>
          <w:smallCaps w:val="false"/>
          <w:strike w:val="false"/>
          <w:dstrike w:val="false"/>
          <w:sz w:val="20"/>
          <w:u w:val="none"/>
          <w:effect w:val="none"/>
        </w:rPr>
        <w:t>$852.1 million</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RECENT ACCOUNTING PRONOUNCEMENTS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val="false"/>
          <w:caps w:val="false"/>
          <w:smallCaps w:val="false"/>
          <w:strike w:val="false"/>
          <w:dstrike w:val="false"/>
          <w:sz w:val="20"/>
          <w:u w:val="none"/>
          <w:effect w:val="none"/>
        </w:rPr>
        <w:t>Note A, “Nature of Business and Accounting Policies,”</w:t>
      </w:r>
      <w:r>
        <w:rPr>
          <w:caps w:val="false"/>
          <w:smallCaps w:val="false"/>
          <w:sz w:val="24"/>
        </w:rPr>
        <w:t xml:space="preserve"> </w:t>
      </w:r>
      <w:r>
        <w:rPr>
          <w:rFonts w:ascii="Times New Roman;serif" w:hAnsi="Times New Roman;serif"/>
          <w:b w:val="false"/>
          <w:i w:val="false"/>
          <w:caps w:val="false"/>
          <w:smallCaps w:val="false"/>
          <w:sz w:val="20"/>
        </w:rPr>
        <w:t xml:space="preserve">in the accompanying notes to the consolidated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statements for a discussion of recent accounting pronouncements and new accounting pronouncements adopted during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7A.QUANTITATIVE AND QUALITATIVE DISCLOSURES ABOUT MARKET RISK</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Interest Rate Risk</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Financial Instruments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investment portfolio, we own financial instruments that are sensitive to market risks. The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portfolio is used to preserve our capital, provide adequate liquidity and earn returns commensurate with our risk appetite.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 in instruments that meet the credit quality standards outlined in our investment policy, which also limits the amount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exposure to any one issue or type of instrument. These instruments primarily include securities issued by the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 and its agencies, investment-grade corporate bonds, asset-backed securities and money market funds.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investments are primarily denominated in U.S. Dollars and none are held for trading purposes.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of our interest-bearing securities are subject to interest rate risk and could change in value if interest rates fluctuate.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Substantially all of our investment portfolio</w:t>
      </w:r>
      <w:r>
        <w:rPr>
          <w:caps w:val="false"/>
          <w:smallCaps w:val="false"/>
          <w:sz w:val="24"/>
        </w:rPr>
        <w:t xml:space="preserve"> </w:t>
      </w:r>
      <w:r>
        <w:rPr>
          <w:rFonts w:ascii="Times New Roman;serif" w:hAnsi="Times New Roman;serif"/>
          <w:b w:val="false"/>
          <w:i w:val="false"/>
          <w:caps w:val="false"/>
          <w:smallCaps w:val="false"/>
          <w:sz w:val="20"/>
        </w:rPr>
        <w:t xml:space="preserve">consists of marketable securities with active secondary or resale markets to help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ensure portfolio liquidity, and we have implemented guidelines limiting the term-to-maturity of our investment instruments.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Since we account for these securities as available-for-sale, no gains or losses are realized due to changes in the fair value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investments unless we sell our investments prior to maturity or incur a credit loss. Due to the conservative nature of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instruments, we do not believe that the fair value of our investments has a material exposure to interest rate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we are exposed to global interest rate fluctuations, our investment portfolio is most affected by fluctuations in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rates, which affect the interest earned on our cash, cash equivalents and marketable securities.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Credit Agreement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2022, we entered into a $500.0 million unsecured revolving credit facility (“credit agreement”). Loans under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agreement bear interest, at our option, at a base rate or a Secured Overnight Financing Rate (“SOFR”), plus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margin based on our consolidated leverage ratio (the ratio of our total consolidated funded indebtedness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EBITDA for the most recently completed four fiscal quarter period). Pursuant to our credit agreement,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margin on base rate loans ranges from 0.000% to 0.500% and the applicable margin on SOFR loans ranges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1.000% to 1.500%. We do not believe that changes in interest rates related to our credit agreement would have a material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effect on our consolidated financial statements.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had no principal or interest outstanding under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our credit facility. A portion of our “</w:t>
      </w:r>
      <w:r>
        <w:rPr>
          <w:rFonts w:ascii="Times New Roman;serif" w:hAnsi="Times New Roman;serif"/>
          <w:b w:val="false"/>
          <w:i w:val="false"/>
          <w:caps w:val="false"/>
          <w:smallCaps w:val="false"/>
          <w:strike w:val="false"/>
          <w:dstrike w:val="false"/>
          <w:sz w:val="20"/>
          <w:u w:val="none"/>
          <w:effect w:val="none"/>
        </w:rPr>
        <w:t>Interest expense</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will be dependent on whether, and to what extent, we borrow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under this facility. </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Foreign Exchange Market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our foreign operations, we face significant exposure to movements in foreign currency exchange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between the U.S. dollar and various foreign currencies, the most significant of which is the Euro. Fluctuations in the amounts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foreign revenues and fluctuations in foreign currency exchange rates, may have a positive or negative effect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foreign exchange rate exposure. The current exposures arise primarily from cash, accounts receivable, intercompany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 and payables, payables, and accruals, and inventories.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 foreign currency management program, which is separate from our investment policy and portfolio,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objective of reducing the effect of exchange rate fluctuations on our operating results and forecasted revenues denominated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foreign currencies.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w:t>
      </w:r>
      <w:r>
        <w:rPr>
          <w:rFonts w:ascii="Times New Roman;serif" w:hAnsi="Times New Roman;serif"/>
          <w:b w:val="false"/>
          <w:i w:val="false"/>
          <w:caps w:val="false"/>
          <w:smallCaps w:val="false"/>
          <w:sz w:val="20"/>
        </w:rPr>
        <w:t xml:space="preserve">e have cash flow hedges related to a portion of our forecasted product revenues that qualify for hedge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treatment under U.S. GAAP. We do not seek hedge accounting treatment for our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contracts related to monetary assets and liabilities that impact our operating results.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held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foreign exchange forward contracts that were designated as cash flow hedges with notional amounts totaling </w:t>
      </w:r>
      <w:r>
        <w:rPr>
          <w:rFonts w:ascii="Times New Roman;serif" w:hAnsi="Times New Roman;serif"/>
          <w:b w:val="false"/>
          <w:i w:val="false"/>
          <w:caps w:val="false"/>
          <w:smallCaps w:val="false"/>
          <w:strike w:val="false"/>
          <w:dstrike w:val="false"/>
          <w:sz w:val="20"/>
          <w:u w:val="none"/>
          <w:effect w:val="none"/>
        </w:rPr>
        <w:t>$6.1 billion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representing a net </w:t>
      </w:r>
      <w:r>
        <w:rPr>
          <w:rFonts w:ascii="Times New Roman;serif" w:hAnsi="Times New Roman;serif"/>
          <w:b w:val="false"/>
          <w:i w:val="false"/>
          <w:caps w:val="false"/>
          <w:smallCaps w:val="false"/>
          <w:strike w:val="false"/>
          <w:dstrike w:val="false"/>
          <w:sz w:val="20"/>
          <w:u w:val="none"/>
          <w:effect w:val="none"/>
        </w:rPr>
        <w:t>liability</w:t>
      </w:r>
      <w:r>
        <w:rPr>
          <w:caps w:val="false"/>
          <w:smallCaps w:val="false"/>
          <w:sz w:val="24"/>
        </w:rPr>
        <w:t xml:space="preserve"> </w:t>
      </w:r>
      <w:r>
        <w:rPr>
          <w:rFonts w:ascii="Times New Roman;serif" w:hAnsi="Times New Roman;serif"/>
          <w:b w:val="false"/>
          <w:i w:val="false"/>
          <w:caps w:val="false"/>
          <w:smallCaps w:val="false"/>
          <w:sz w:val="20"/>
        </w:rPr>
        <w:t>of </w:t>
      </w:r>
      <w:r>
        <w:rPr>
          <w:rFonts w:ascii="Times New Roman;serif" w:hAnsi="Times New Roman;serif"/>
          <w:b w:val="false"/>
          <w:i w:val="false"/>
          <w:caps w:val="false"/>
          <w:smallCaps w:val="false"/>
          <w:strike w:val="false"/>
          <w:dstrike w:val="false"/>
          <w:sz w:val="20"/>
          <w:u w:val="none"/>
          <w:effect w:val="none"/>
        </w:rPr>
        <w:t>$111.5 million</w:t>
      </w:r>
      <w:r>
        <w:rPr>
          <w:caps w:val="false"/>
          <w:smallCaps w:val="false"/>
          <w:sz w:val="24"/>
        </w:rPr>
        <w:t xml:space="preserve"> </w:t>
      </w:r>
      <w:r>
        <w:rPr>
          <w:rFonts w:ascii="Times New Roman;serif" w:hAnsi="Times New Roman;serif"/>
          <w:b w:val="false"/>
          <w:i w:val="false"/>
          <w:caps w:val="false"/>
          <w:smallCaps w:val="false"/>
          <w:sz w:val="20"/>
        </w:rPr>
        <w:t>on our consolidated balance sheet.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not predictive in nature, we believe a hypothetical 10% threshold reflects a reasonably possible near-term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change in exchange rates. If the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exchange rates were to change by a hypothetical 10%, the fair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recorded on our consolidated balance sheet related to our foreign exchange forward contracts that were designated as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flow hedges 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would change by approximately </w:t>
      </w:r>
      <w:r>
        <w:rPr>
          <w:rFonts w:ascii="Times New Roman;serif" w:hAnsi="Times New Roman;serif"/>
          <w:b w:val="false"/>
          <w:i w:val="false"/>
          <w:caps w:val="false"/>
          <w:smallCaps w:val="false"/>
          <w:strike w:val="false"/>
          <w:dstrike w:val="false"/>
          <w:sz w:val="20"/>
          <w:u w:val="none"/>
          <w:effect w:val="none"/>
        </w:rPr>
        <w:t>$608.0 million</w:t>
      </w:r>
      <w:r>
        <w:rPr>
          <w:rFonts w:ascii="Times New Roman;serif" w:hAnsi="Times New Roman;serif"/>
          <w:b w:val="false"/>
          <w:i w:val="false"/>
          <w:caps w:val="false"/>
          <w:smallCaps w:val="false"/>
          <w:sz w:val="20"/>
        </w:rPr>
        <w:t xml:space="preserve">. However, since these contracts hedge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specific portion of our forecasted product revenues denominated in certain foreign currencies, any change in the fair value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these contracts is recorded in “Accumulated other comprehensive </w:t>
      </w:r>
      <w:r>
        <w:rPr>
          <w:rFonts w:ascii="Times New Roman;serif" w:hAnsi="Times New Roman;serif"/>
          <w:b w:val="false"/>
          <w:i w:val="false"/>
          <w:caps w:val="false"/>
          <w:smallCaps w:val="false"/>
          <w:strike w:val="false"/>
          <w:dstrike w:val="false"/>
          <w:sz w:val="20"/>
          <w:u w:val="none"/>
          <w:effect w:val="none"/>
        </w:rPr>
        <w:t>(loss) income</w:t>
      </w:r>
      <w:r>
        <w:rPr>
          <w:caps w:val="false"/>
          <w:smallCaps w:val="false"/>
          <w:sz w:val="24"/>
        </w:rPr>
        <w:t xml:space="preserve">” </w:t>
      </w:r>
      <w:r>
        <w:rPr>
          <w:rFonts w:ascii="Times New Roman;serif" w:hAnsi="Times New Roman;serif"/>
          <w:b w:val="false"/>
          <w:i w:val="false"/>
          <w:caps w:val="false"/>
          <w:smallCaps w:val="false"/>
          <w:sz w:val="20"/>
        </w:rPr>
        <w:t xml:space="preserve">on our consolidated balance sheets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reclassified to earnings in the same periods during which the underlying product revenues affect earnings. Therefore,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in the fair value of these contracts that would result from a hypothetical 10% change in exchange rates would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entirely offset by the change in value associated with the underlying hedged product revenues resulting in no impact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future anticipated earnings and cash flows with respect to the hedged portion of our forecasted product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8.FINANCIAL STATEMENTS AND SUPPLEMENTARY DATA</w:t>
      </w:r>
    </w:p>
    <w:p>
      <w:pPr>
        <w:pStyle w:val="TextBody"/>
        <w:bidi w:val="0"/>
        <w:spacing w:lineRule="atLeast" w:line="200" w:before="0" w:after="0"/>
        <w:jc w:val="left"/>
        <w:rPr/>
      </w:pPr>
      <w:r>
        <w:rPr>
          <w:rFonts w:ascii="Times New Roman;serif" w:hAnsi="Times New Roman;serif"/>
          <w:b w:val="false"/>
          <w:i w:val="false"/>
          <w:caps w:val="false"/>
          <w:smallCaps w:val="false"/>
          <w:sz w:val="20"/>
        </w:rPr>
        <w:t>The information required by this Item 8 is contained on pages F-1 through F-</w:t>
      </w:r>
      <w:hyperlink w:anchor="i27e710948553486a88377c39cbcabb3a_4199">
        <w:r>
          <w:rPr>
            <w:rStyle w:val="InternetLink"/>
            <w:rFonts w:ascii="Times New Roman;serif" w:hAnsi="Times New Roman;serif"/>
            <w:b w:val="false"/>
            <w:i w:val="false"/>
            <w:caps w:val="false"/>
            <w:smallCaps w:val="false"/>
            <w:strike w:val="false"/>
            <w:dstrike w:val="false"/>
            <w:color w:val="000000"/>
            <w:sz w:val="20"/>
            <w:u w:val="single"/>
            <w:effect w:val="none"/>
          </w:rPr>
          <w:t>49</w:t>
        </w:r>
      </w:hyperlink>
      <w:r>
        <w:rPr>
          <w:caps w:val="false"/>
          <w:smallCaps w:val="false"/>
        </w:rPr>
        <w:t xml:space="preserve"> </w:t>
      </w:r>
      <w:r>
        <w:rPr>
          <w:rFonts w:ascii="Times New Roman;serif" w:hAnsi="Times New Roman;serif"/>
          <w:b w:val="false"/>
          <w:i w:val="false"/>
          <w:caps w:val="false"/>
          <w:smallCaps w:val="false"/>
          <w:sz w:val="20"/>
        </w:rPr>
        <w:t xml:space="preserve">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9.CHANGES IN AND DISAGREEMENTS WITH ACCOUNTANTS ON ACCOUNTING AND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FINANCIAL DISCLOSURE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9A.CONTROLS AND PROCEDURES</w:t>
      </w:r>
    </w:p>
    <w:p>
      <w:pPr>
        <w:pStyle w:val="TextBody"/>
        <w:bidi w:val="0"/>
        <w:spacing w:lineRule="atLeast" w:line="200" w:before="0" w:after="0"/>
        <w:jc w:val="left"/>
        <w:rPr/>
      </w:pPr>
      <w:r>
        <w:rPr>
          <w:rFonts w:ascii="Times New Roman;serif" w:hAnsi="Times New Roman;serif"/>
          <w:b/>
          <w:i w:val="false"/>
          <w:caps w:val="false"/>
          <w:smallCaps w:val="false"/>
          <w:sz w:val="20"/>
        </w:rPr>
        <w:t xml:space="preserve">(1)  Evaluation of Disclosure Controls and Procedures. </w:t>
      </w:r>
      <w:r>
        <w:rPr>
          <w:rFonts w:ascii="Times New Roman;serif" w:hAnsi="Times New Roman;serif"/>
          <w:b w:val="false"/>
          <w:i w:val="false"/>
          <w:caps w:val="false"/>
          <w:smallCaps w:val="false"/>
          <w:sz w:val="20"/>
        </w:rPr>
        <w:t xml:space="preserve">Our chief executive officer and chief financial officer, after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evaluating the effectiveness of our disclosure controls and procedures (as defined in Rule 13a-15(e) and Rule 15d-15(e)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promulgated under the Securities Exchange Act of 1934, as amended (the “Exchange Act”)) as of the end of the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covered by this Annual Report on Form 10-K, have concluded that, based on such evaluation,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were effective. In designing and evaluating the disclosure controls and procedures, management recognized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controls and procedures, no matter how well designed and operated, can provide only reasonable assurance of achieving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desired control objectives, and management necessarily was required to apply our judgment in evaluating the cost-benefit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relationship of possible controls and procedures.</w:t>
      </w:r>
    </w:p>
    <w:p>
      <w:pPr>
        <w:pStyle w:val="TextBody"/>
        <w:bidi w:val="0"/>
        <w:spacing w:lineRule="atLeast" w:line="200" w:before="0" w:after="0"/>
        <w:jc w:val="left"/>
        <w:rPr/>
      </w:pPr>
      <w:r>
        <w:rPr>
          <w:rFonts w:ascii="Times New Roman;serif" w:hAnsi="Times New Roman;serif"/>
          <w:b/>
          <w:i w:val="false"/>
          <w:caps w:val="false"/>
          <w:smallCaps w:val="false"/>
          <w:sz w:val="20"/>
        </w:rPr>
        <w:t xml:space="preserve">(2)  Management’s Annual Report on Internal Control Over Financial Reporting. </w:t>
      </w:r>
      <w:r>
        <w:rPr>
          <w:rFonts w:ascii="Times New Roman;serif" w:hAnsi="Times New Roman;serif"/>
          <w:b w:val="false"/>
          <w:i w:val="false"/>
          <w:caps w:val="false"/>
          <w:smallCaps w:val="false"/>
          <w:sz w:val="20"/>
        </w:rPr>
        <w:t xml:space="preserve">Management is responsible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establishing and maintaining adequate internal control over financial reporting. Internal control over financial reporting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defined in Rule 13a-15(f) and Rule 15d-15(f) promulgated under the Exchange Act, as a process designed by, or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supervision of, our principal executive and principal financial officers and effected by our board of directors,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other personnel, to provide reasonable assurance regarding the reliability of financial reporting and the preparation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for external purposes in accordance with generally accepted accounting principles. Our internal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 financial reporting include those policies and procedures that:</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pertain to the maintenance of records that, in reasonable detail, accurately and fairly reflect the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dispositions of our assets;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provide reasonable assurance that transactions are recorded as necessary to permit preparation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in accordance with generally accepted accounting principles, and that our receipts and expenditures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being made only in accordance with authorizations of management and our directors;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provide reasonable assurance regarding prevention or timely detection of unauthorized acquisition, use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disposition of our assets that could have a material effect on the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of its inherent limitations, internal control over financial reporting may not prevent or detect misstatements.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Also, projections of any evaluation of effectiveness to future periods are subject to the risk that controls may become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inadequate because of changes in conditions, or that the degree of compliance with the policies or procedures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deteriorate.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Management assessed the effectiveness of our internal control over financial reporting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In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making this assessment, we used the criteria set forth in the </w:t>
      </w:r>
      <w:r>
        <w:rPr>
          <w:rFonts w:ascii="Times New Roman;serif" w:hAnsi="Times New Roman;serif"/>
          <w:b w:val="false"/>
          <w:i/>
          <w:sz w:val="20"/>
        </w:rPr>
        <w:t>Internal Control—Integrated Framework (2013)</w:t>
      </w:r>
      <w:r>
        <w:rPr>
          <w:caps w:val="false"/>
          <w:smallCaps w:val="false"/>
        </w:rPr>
        <w:t xml:space="preserve"> </w:t>
      </w:r>
      <w:r>
        <w:rPr>
          <w:rFonts w:ascii="Times New Roman;serif" w:hAnsi="Times New Roman;serif"/>
          <w:b w:val="false"/>
          <w:i w:val="false"/>
          <w:caps w:val="false"/>
          <w:smallCaps w:val="false"/>
          <w:sz w:val="20"/>
        </w:rPr>
        <w:t xml:space="preserve">issued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Committee of Sponsoring Organizations of the Treadway Commission (“COSO”). Based on our assessment, management has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concluded that,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our internal control over financial reporting is effective based on those criteria.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independent registered public accounting firm, Ernst &amp; Young LLP, issued an attestation report on our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 over financial reporting. See Section 4 below.</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(3)  Changes in Internal Controls. </w:t>
      </w:r>
      <w:r>
        <w:rPr>
          <w:rFonts w:ascii="Times New Roman;serif" w:hAnsi="Times New Roman;serif"/>
          <w:b w:val="false"/>
          <w:i w:val="false"/>
          <w:caps w:val="false"/>
          <w:smallCaps w:val="false"/>
          <w:sz w:val="20"/>
        </w:rPr>
        <w:t xml:space="preserve">During the quarter 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there were no changes in our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over financial reporting that materially affected, or are reasonably likely to materially affect, our internal control over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(4)  Report of Independent Registered Public Accounting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the Shareholders and the Board of Directors of 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Opinion on Internal Control Over Financial Reporting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We have audited Vertex Pharmaceuticals Incorporated’s internal control over financial reporting as of December 31, 2025,</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based on criteria established in Internal Control</w:t>
      </w:r>
      <w:r>
        <w:rPr>
          <w:u w:val="single"/>
        </w:rPr>
        <w:t>—</w:t>
      </w:r>
      <w:r>
        <w:rPr>
          <w:rFonts w:ascii="Times New Roman;serif" w:hAnsi="Times New Roman;serif"/>
          <w:b w:val="false"/>
          <w:i w:val="false"/>
          <w:caps w:val="false"/>
          <w:smallCaps w:val="false"/>
          <w:strike w:val="false"/>
          <w:dstrike w:val="false"/>
          <w:sz w:val="20"/>
          <w:u w:val="none"/>
          <w:effect w:val="none"/>
        </w:rPr>
        <w:t>Integrated Framework issued by the Committee of Sponsoring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Organizations of the Treadway Commission (2013 framework) (the COSO criteria). In our opinion, Vertex Pharmaceuticals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Incorporated (the Company) maintained, in all material respects, effective internal control over financial reporting as of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December 31, 2025, based on the COSO criteria.</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also have audited, in accordance with the standards of the Public Company Accounting Oversight Board (United States)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(PCAOB), the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consolidated financial statements of the Company and our report dated February 13,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expressed an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unqualified opinion thereon.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Basis for Opinion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Company’s management is responsible for maintaining effective internal control over financial reporting and for its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assessment of the effectiveness of internal control over financial reporting included in the accompanying Management’s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Annual Report on Internal Control Over Financial Reporting. Our responsibility is to express an opinion on the Company’s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internal control over financial reporting based on our audit. We are a public accounting firm registered with the PCAOB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are required to be independent with respect to the Company in accordance with the U.S. federal securities laws and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applicable rules and regulations of the Securities and Exchange Commission and the PCAOB.</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conducted our audit in accordance with the standards of the PCAOB. Those standards require that we plan and perform</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audit to obtain reasonable assurance about whether effective internal control over financial reporting was maintained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all material respects.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audit included obtaining an understanding of internal control over financial reporting, assessing the risk that a material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weakness exists, testing and evaluating the design and operating effectiveness of internal control based on the assessed risk,</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performing such other procedures as we considered necessary in the circumstances. We believe that our audit provides a</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reasonable basis for our opinion.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Definition and Limitations of Internal Control Over Financial Reporting</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 company’s internal control over financial reporting is a process designed to provide reasonable assurance regarding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reliability of financial reporting and the preparation of financial statements for external purposes in accordance with generally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accepted accounting principles. A company’s internal control over financial reporting includes those policies and procedures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that (1) pertain to the maintenance of records that, in reasonable detail, accurately and fairly reflect the transactions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dispositions of the assets of the company; (2) provide reasonable assurance that transactions are recorded as necessary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permit preparation of financial statements in accordance with generally accepted accounting principles, and that receipts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expenditures of the company are being made only in accordance with authorizations of management and directors of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company; and (3) provide reasonable assurance regarding prevention or timely detection of unauthorized acquisition, use, or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disposition of the company’s assets that could have a material effect on the financial statements.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Because of its inherent limitations, internal control over financial reporting may not prevent or detect misstatements. Also,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projections of any evaluation of effectiveness to future periods are subject to the risk that controls may become inadequate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because of changes in conditions, or that the degree of compliance with the policies or procedures may deteriorate.</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Ernst &amp; Young LLP</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Boston, Massachusetts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February 13,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9B. OTHER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Rule 10b5-1 Trading Plans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policy governing transactions in our securities by our directors, officers, and employees permits our officers,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directors and employees to enter into trading plans complying with Rule 10b5-1 under the Exchange Act. </w:t>
      </w:r>
      <w:r>
        <w:rPr>
          <w:rFonts w:ascii="Times New Roman;serif" w:hAnsi="Times New Roman;serif"/>
          <w:b w:val="false"/>
          <w:i w:val="false"/>
          <w:caps w:val="false"/>
          <w:smallCaps w:val="false"/>
          <w:strike w:val="false"/>
          <w:dstrike w:val="false"/>
          <w:sz w:val="20"/>
          <w:u w:val="none"/>
          <w:effect w:val="none"/>
        </w:rPr>
        <w:t xml:space="preserve">The following table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describes the written plans for the sale of our securities adopted by our directors and officers (as defined in Rule 16a-1(f)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Exchange Act) during the fourth quarter of 2025, each of which is intended to satisfy the affirmative defense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conditions of Rule 10b5-1 (each, a “Trading Plan”). Other than as described in the table below, none of our directors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officers adopted, modified or terminated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 Trading Plan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21" w:type="dxa"/>
        <w:jc w:val="left"/>
        <w:tblInd w:w="0" w:type="dxa"/>
        <w:tblLayout w:type="fixed"/>
        <w:tblCellMar>
          <w:top w:w="28" w:type="dxa"/>
          <w:left w:w="28" w:type="dxa"/>
          <w:bottom w:w="28" w:type="dxa"/>
          <w:right w:w="28" w:type="dxa"/>
        </w:tblCellMar>
      </w:tblPr>
      <w:tblGrid>
        <w:gridCol w:w="3991"/>
        <w:gridCol w:w="109"/>
        <w:gridCol w:w="1576"/>
        <w:gridCol w:w="109"/>
        <w:gridCol w:w="2056"/>
        <w:gridCol w:w="109"/>
        <w:gridCol w:w="1771"/>
      </w:tblGrid>
      <w:tr>
        <w:trPr/>
        <w:tc>
          <w:tcPr>
            <w:tcW w:w="3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Name and Title</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Date of Adoption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 Trading Plan</w:t>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Scheduled Expiration </w:t>
            </w:r>
          </w:p>
          <w:p>
            <w:pPr>
              <w:pStyle w:val="TableContents"/>
              <w:bidi w:val="0"/>
              <w:spacing w:lineRule="atLeast" w:line="200" w:before="0" w:after="0"/>
              <w:jc w:val="left"/>
              <w:rPr/>
            </w:pPr>
            <w:r>
              <w:rPr>
                <w:rFonts w:ascii="Times New Roman;serif" w:hAnsi="Times New Roman;serif"/>
                <w:b/>
                <w:i w:val="false"/>
                <w:caps w:val="false"/>
                <w:smallCaps w:val="false"/>
                <w:sz w:val="20"/>
              </w:rPr>
              <w:t>Date of Trading Plan</w:t>
            </w:r>
            <w:r>
              <w:rPr>
                <w:rFonts w:ascii="Times New Roman;serif" w:hAnsi="Times New Roman;serif"/>
                <w:b/>
                <w:i w:val="false"/>
                <w:caps w:val="false"/>
                <w:smallCaps w:val="false"/>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Maximum Shares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Subject to Trading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Plan</w:t>
            </w:r>
          </w:p>
        </w:tc>
      </w:tr>
      <w:tr>
        <w:trPr/>
        <w:tc>
          <w:tcPr>
            <w:tcW w:w="3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Reshma Kewalramani</w:t>
            </w:r>
          </w:p>
          <w:p>
            <w:pPr>
              <w:pStyle w:val="TableContents"/>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Chief Executive Officer and President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11/16/2026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40,000</w:t>
            </w:r>
          </w:p>
        </w:tc>
      </w:tr>
      <w:tr>
        <w:trPr/>
        <w:tc>
          <w:tcPr>
            <w:tcW w:w="3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Amit Sachdev</w:t>
            </w:r>
          </w:p>
          <w:p>
            <w:pPr>
              <w:pStyle w:val="TableContents"/>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EVP, Chief Patient and External Affairs Officer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11/18/2025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10/30/2026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70,498</w:t>
            </w:r>
            <w:r>
              <w:rPr>
                <w:rFonts w:ascii="Times New Roman;serif" w:hAnsi="Times New Roman;serif"/>
                <w:b w:val="false"/>
                <w:i w:val="false"/>
                <w:caps w:val="false"/>
                <w:smallCaps w:val="false"/>
                <w:sz w:val="13"/>
              </w:rPr>
              <w:t>(2)</w:t>
            </w:r>
          </w:p>
        </w:tc>
      </w:tr>
      <w:tr>
        <w:trPr/>
        <w:tc>
          <w:tcPr>
            <w:tcW w:w="3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Carmen Bozic</w:t>
            </w:r>
          </w:p>
          <w:p>
            <w:pPr>
              <w:pStyle w:val="TableContents"/>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EVP, Global Medicines Development and </w:t>
            </w:r>
          </w:p>
          <w:p>
            <w:pPr>
              <w:pStyle w:val="TableContents"/>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Medical Affairs, Chief Medical Officer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34,733</w:t>
            </w:r>
            <w:r>
              <w:rPr>
                <w:rFonts w:ascii="Times New Roman;serif" w:hAnsi="Times New Roman;serif"/>
                <w:b w:val="false"/>
                <w:i w:val="false"/>
                <w:caps w:val="false"/>
                <w:smallCaps w:val="false"/>
                <w:sz w:val="13"/>
              </w:rPr>
              <w:t>(2)</w:t>
            </w:r>
          </w:p>
        </w:tc>
      </w:tr>
      <w:tr>
        <w:trPr/>
        <w:tc>
          <w:tcPr>
            <w:tcW w:w="3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Duncan McKechnie</w:t>
            </w:r>
          </w:p>
          <w:p>
            <w:pPr>
              <w:pStyle w:val="TableContents"/>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EVP, Chief Commercial Officer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11/25/2025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11/13/2026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17,367</w:t>
            </w:r>
            <w:r>
              <w:rPr>
                <w:rFonts w:ascii="Times New Roman;serif" w:hAnsi="Times New Roman;serif"/>
                <w:b w:val="false"/>
                <w:i w:val="false"/>
                <w:caps w:val="false"/>
                <w:smallCaps w:val="false"/>
                <w:sz w:val="13"/>
              </w:rPr>
              <w:t>(2)</w:t>
            </w:r>
          </w:p>
        </w:tc>
      </w:tr>
      <w:tr>
        <w:trPr/>
        <w:tc>
          <w:tcPr>
            <w:tcW w:w="9721" w:type="dxa"/>
            <w:gridSpan w:val="7"/>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(1) A Trading Plan may expire on an earlier date if all contemplated transactions are completed before such Trading Plan’s expiration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date, upon termination by broker or the holder of the Trading Plan, or as otherwise provided in the Trading Plan.</w:t>
            </w:r>
          </w:p>
        </w:tc>
      </w:tr>
      <w:tr>
        <w:trPr/>
        <w:tc>
          <w:tcPr>
            <w:tcW w:w="9721" w:type="dxa"/>
            <w:gridSpan w:val="7"/>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(2) The maximum shares listed has not been reduced by the number of shares of common stock that will be withheld to satisfy tax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withholding obligations at future vesting dates because such number of shares is not yet determinable.</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2026 Restated Articles of Organization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February 12, 2026, the Company filed Restated Articles of Organization with the Secretary of the Commonwealth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Massachusetts to consolidate its Articles of Organization and all prior amendments and to remove references to the Series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Junior Participating Preferred Stock, which is no longer outstanding. The restatement was effected for clarity only and did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in any changes to the rights of holders of the Company’s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copy of the Restated Articles of Organization is filed as Exhibit 3.1 to this Annual Report on Form 10-K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9C. DISCLOSURE REGARDING FOREIGN JURISDICTIONS THAT PREVENT INSPECTIONS.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III</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Portions of our definitive Proxy Statement for the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Annual Meeting of Shareholders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by reference into this Part III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10.DIRECTORS, EXECUTIVE OFFICERS AND CORPORATE GOVERNANCE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information regarding directors required by this Item 10 will be included in our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incorporated herein by reference. We expect this information to be provided under “Election of Directors,” “Corporate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Governance and Risk Management,” “Shareholder Proposals for the </w:t>
      </w:r>
      <w:r>
        <w:rPr>
          <w:rFonts w:ascii="Times New Roman;serif" w:hAnsi="Times New Roman;serif"/>
          <w:b w:val="false"/>
          <w:i w:val="false"/>
          <w:caps w:val="false"/>
          <w:smallCaps w:val="false"/>
          <w:strike w:val="false"/>
          <w:dstrike w:val="false"/>
          <w:sz w:val="20"/>
          <w:u w:val="none"/>
          <w:effect w:val="none"/>
        </w:rPr>
        <w:t>2027</w:t>
      </w:r>
      <w:r>
        <w:rPr>
          <w:caps w:val="false"/>
          <w:smallCaps w:val="false"/>
          <w:sz w:val="24"/>
        </w:rPr>
        <w:t xml:space="preserve"> </w:t>
      </w:r>
      <w:r>
        <w:rPr>
          <w:rFonts w:ascii="Times New Roman;serif" w:hAnsi="Times New Roman;serif"/>
          <w:b w:val="false"/>
          <w:i w:val="false"/>
          <w:caps w:val="false"/>
          <w:smallCaps w:val="false"/>
          <w:sz w:val="20"/>
        </w:rPr>
        <w:t xml:space="preserve">Annual Meeting and Nominations for Director,”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Delinquent Section 16(a) Reports” and “Code of Conduct.” The information regarding executive officers required by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Item 10 is included in Part I of this Annual Report on Form 10-K.</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We have </w:t>
      </w:r>
      <w:r>
        <w:rPr>
          <w:rFonts w:ascii="Times New Roman;serif" w:hAnsi="Times New Roman;serif"/>
          <w:b w:val="false"/>
          <w:i w:val="false"/>
          <w:caps w:val="false"/>
          <w:smallCaps w:val="false"/>
          <w:strike w:val="false"/>
          <w:dstrike w:val="false"/>
          <w:sz w:val="20"/>
          <w:u w:val="none"/>
          <w:effect w:val="none"/>
        </w:rPr>
        <w:t>adopted</w:t>
      </w:r>
      <w:r>
        <w:rPr>
          <w:caps w:val="false"/>
          <w:smallCaps w:val="false"/>
          <w:sz w:val="24"/>
        </w:rPr>
        <w:t xml:space="preserve"> </w:t>
      </w:r>
      <w:r>
        <w:rPr>
          <w:rFonts w:ascii="Times New Roman;serif" w:hAnsi="Times New Roman;serif"/>
          <w:b w:val="false"/>
          <w:i w:val="false"/>
          <w:caps w:val="false"/>
          <w:smallCaps w:val="false"/>
          <w:sz w:val="20"/>
        </w:rPr>
        <w:t xml:space="preserve">insider trading policies and procedures governing the purchase, sale and/or other dispositions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by directors, officers and employees, or Vertex itself, that are reasonably designed to promote compliance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insider trading laws, rules and regulations and any listing standards applicable to us. A copy of our Insider Trading Policy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11.EXECUTIVE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information required by this Item 11 will be included in the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and is incorporated herein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We expect this information to be provided under “Compensation Committee Interlocks and Insider Participation,”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Compensation Discussion and Analysis,” “Compensation and Equity Tables,” “Director Compensation,”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and Compensation Committee Report” and/or “Corporate Governance and 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12.SECURITY OWNERSHIP OF CERTAIN BENEFICIAL OWNERS AND MANAGEMENT AND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RELATED STOCKHOLDER MATTERS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information required by this Item 12 will be included in the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and is incorporated herein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We expect this information to be provided under “Security Ownership of Certain Beneficial Owners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and “Equity Compensation Plan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13.CERTAIN RELATIONSHIPS AND RELATED TRANSACTIONS, AND DIRECTOR INDEPENDENCE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information required by this Item 13 will be included in the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and is incorporated herein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We expect this information to be provided under “Election of Directors,” “Corporate Governance and Risk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and “Audit and Finance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14.PRINCIPAL ACCOUNTANT FEES AND SERVICES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information required by this Item 14 will be included in the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Proxy Statement and is incorporated herein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We expect this information to be provided under “Ratification of the Appointment of Independent Registered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Public Accounting Firm.”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15.EXHIBITS AND FINANCIAL STATEMENT SCHEDULES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(a)(1) The Financial Statements required to be filed by Items 8 and 15(c) of Form 10-K, and filed herewith, are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follows:</w:t>
      </w:r>
    </w:p>
    <w:tbl>
      <w:tblPr>
        <w:tblW w:w="10205" w:type="dxa"/>
        <w:jc w:val="left"/>
        <w:tblInd w:w="0" w:type="dxa"/>
        <w:tblLayout w:type="fixed"/>
        <w:tblCellMar>
          <w:top w:w="28" w:type="dxa"/>
          <w:left w:w="28" w:type="dxa"/>
          <w:bottom w:w="28" w:type="dxa"/>
          <w:right w:w="28" w:type="dxa"/>
        </w:tblCellMar>
      </w:tblPr>
      <w:tblGrid>
        <w:gridCol w:w="8793"/>
        <w:gridCol w:w="1412"/>
      </w:tblGrid>
      <w:tr>
        <w:trPr/>
        <w:tc>
          <w:tcPr>
            <w:tcW w:w="87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8793" w:type="dxa"/>
            <w:tcBorders/>
            <w:vAlign w:val="center"/>
          </w:tcPr>
          <w:p>
            <w:pPr>
              <w:pStyle w:val="TableContents"/>
              <w:bidi w:val="0"/>
              <w:spacing w:before="0" w:after="283"/>
              <w:jc w:val="left"/>
              <w:rPr>
                <w:sz w:val="4"/>
                <w:szCs w:val="4"/>
              </w:rPr>
            </w:pPr>
            <w:r>
              <w:rPr>
                <w:sz w:val="4"/>
                <w:szCs w:val="4"/>
              </w:rPr>
            </w:r>
          </w:p>
        </w:tc>
        <w:tc>
          <w:tcPr>
            <w:tcW w:w="1412"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Page Number in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this Form 10-K</w:t>
            </w:r>
          </w:p>
        </w:tc>
      </w:tr>
      <w:tr>
        <w:trPr/>
        <w:tc>
          <w:tcPr>
            <w:tcW w:w="8793" w:type="dxa"/>
            <w:tcBorders/>
            <w:vAlign w:val="center"/>
          </w:tcPr>
          <w:p>
            <w:pPr>
              <w:pStyle w:val="TableContents"/>
              <w:bidi w:val="0"/>
              <w:spacing w:lineRule="atLeast" w:line="220" w:before="0" w:after="0"/>
              <w:jc w:val="left"/>
              <w:rPr>
                <w:sz w:val="24"/>
              </w:rPr>
            </w:pPr>
            <w:r>
              <w:rPr>
                <w:rFonts w:ascii="Times New Roman;serif" w:hAnsi="Times New Roman;serif"/>
                <w:b w:val="false"/>
                <w:i w:val="false"/>
                <w:caps w:val="false"/>
                <w:smallCaps w:val="false"/>
                <w:strike w:val="false"/>
                <w:dstrike w:val="false"/>
                <w:sz w:val="18"/>
                <w:u w:val="none"/>
                <w:effect w:val="none"/>
              </w:rPr>
              <w:t>Report of Independent Registered Public Accounting Firm (PCAOB ID: 42)</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412"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84">
              <w:r>
                <w:rPr>
                  <w:rStyle w:val="InternetLink"/>
                  <w:rFonts w:ascii="Times New Roman;serif" w:hAnsi="Times New Roman;serif"/>
                  <w:b w:val="false"/>
                  <w:i w:val="false"/>
                  <w:caps w:val="false"/>
                  <w:smallCaps w:val="false"/>
                  <w:color w:val="000080"/>
                  <w:sz w:val="18"/>
                  <w:u w:val="single"/>
                </w:rPr>
                <w:t>1</w:t>
              </w:r>
            </w:hyperlink>
          </w:p>
        </w:tc>
      </w:tr>
      <w:tr>
        <w:trPr/>
        <w:tc>
          <w:tcPr>
            <w:tcW w:w="8793"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Consolidated Statements of Income (Loss)</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87">
              <w:r>
                <w:rPr>
                  <w:rStyle w:val="InternetLink"/>
                  <w:rFonts w:ascii="Times New Roman;serif" w:hAnsi="Times New Roman;serif"/>
                  <w:b w:val="false"/>
                  <w:i w:val="false"/>
                  <w:caps w:val="false"/>
                  <w:smallCaps w:val="false"/>
                  <w:color w:val="000080"/>
                  <w:sz w:val="18"/>
                  <w:u w:val="single"/>
                </w:rPr>
                <w:t>3</w:t>
              </w:r>
            </w:hyperlink>
          </w:p>
        </w:tc>
      </w:tr>
      <w:tr>
        <w:trPr/>
        <w:tc>
          <w:tcPr>
            <w:tcW w:w="8793"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Consolidated Statements of Comprehensive Income (Loss)</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90">
              <w:r>
                <w:rPr>
                  <w:rStyle w:val="InternetLink"/>
                  <w:rFonts w:ascii="Times New Roman;serif" w:hAnsi="Times New Roman;serif"/>
                  <w:b w:val="false"/>
                  <w:i w:val="false"/>
                  <w:caps w:val="false"/>
                  <w:smallCaps w:val="false"/>
                  <w:color w:val="000080"/>
                  <w:sz w:val="18"/>
                  <w:u w:val="single"/>
                </w:rPr>
                <w:t>4</w:t>
              </w:r>
            </w:hyperlink>
          </w:p>
        </w:tc>
      </w:tr>
      <w:tr>
        <w:trPr/>
        <w:tc>
          <w:tcPr>
            <w:tcW w:w="8793"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Consolidated Balance Sheets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93">
              <w:r>
                <w:rPr>
                  <w:rStyle w:val="InternetLink"/>
                  <w:rFonts w:ascii="Times New Roman;serif" w:hAnsi="Times New Roman;serif"/>
                  <w:b w:val="false"/>
                  <w:i w:val="false"/>
                  <w:caps w:val="false"/>
                  <w:smallCaps w:val="false"/>
                  <w:color w:val="000080"/>
                  <w:sz w:val="18"/>
                  <w:u w:val="single"/>
                </w:rPr>
                <w:t>5</w:t>
              </w:r>
            </w:hyperlink>
          </w:p>
        </w:tc>
      </w:tr>
      <w:tr>
        <w:trPr/>
        <w:tc>
          <w:tcPr>
            <w:tcW w:w="8793"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Consolidated Statements of Shareholders’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96">
              <w:r>
                <w:rPr>
                  <w:rStyle w:val="InternetLink"/>
                  <w:rFonts w:ascii="Times New Roman;serif" w:hAnsi="Times New Roman;serif"/>
                  <w:b w:val="false"/>
                  <w:i w:val="false"/>
                  <w:caps w:val="false"/>
                  <w:smallCaps w:val="false"/>
                  <w:color w:val="000080"/>
                  <w:sz w:val="18"/>
                  <w:u w:val="single"/>
                </w:rPr>
                <w:t>6</w:t>
              </w:r>
            </w:hyperlink>
          </w:p>
        </w:tc>
      </w:tr>
      <w:tr>
        <w:trPr/>
        <w:tc>
          <w:tcPr>
            <w:tcW w:w="8793"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Consolidated Statements of Cash Flows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199">
              <w:r>
                <w:rPr>
                  <w:rStyle w:val="InternetLink"/>
                  <w:rFonts w:ascii="Times New Roman;serif" w:hAnsi="Times New Roman;serif"/>
                  <w:b w:val="false"/>
                  <w:i w:val="false"/>
                  <w:caps w:val="false"/>
                  <w:smallCaps w:val="false"/>
                  <w:color w:val="000080"/>
                  <w:sz w:val="18"/>
                  <w:u w:val="single"/>
                </w:rPr>
                <w:t>7</w:t>
              </w:r>
            </w:hyperlink>
          </w:p>
        </w:tc>
      </w:tr>
      <w:tr>
        <w:trPr/>
        <w:tc>
          <w:tcPr>
            <w:tcW w:w="8793"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Notes to Consolidated Financial Statements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412"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color w:val="0E32E1"/>
                <w:sz w:val="18"/>
                <w:u w:val="single"/>
              </w:rPr>
              <w:t>F-</w:t>
            </w:r>
            <w:hyperlink w:anchor="ib44b4620d6d245e0bae824a83c255a23_202">
              <w:r>
                <w:rPr>
                  <w:rStyle w:val="InternetLink"/>
                  <w:rFonts w:ascii="Times New Roman;serif" w:hAnsi="Times New Roman;serif"/>
                  <w:b w:val="false"/>
                  <w:i w:val="false"/>
                  <w:caps w:val="false"/>
                  <w:smallCaps w:val="false"/>
                  <w:color w:val="000080"/>
                  <w:sz w:val="18"/>
                  <w:u w:val="single"/>
                </w:rPr>
                <w:t>8</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(a)(2) Financial Statement Schedules have been omitted because they are either not applicable or the required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is included in the consolidated financial statements or notes thereto listed in (a)(1) above.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(a)(3) Exhibits.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is a list of exhibits filed as part of this Annual Report on Form 10-K. </w:t>
      </w:r>
    </w:p>
    <w:tbl>
      <w:tblPr>
        <w:tblW w:w="10205" w:type="dxa"/>
        <w:jc w:val="left"/>
        <w:tblInd w:w="0" w:type="dxa"/>
        <w:tblLayout w:type="fixed"/>
        <w:tblCellMar>
          <w:top w:w="28" w:type="dxa"/>
          <w:left w:w="28" w:type="dxa"/>
          <w:bottom w:w="28" w:type="dxa"/>
          <w:right w:w="28" w:type="dxa"/>
        </w:tblCellMar>
      </w:tblPr>
      <w:tblGrid>
        <w:gridCol w:w="706"/>
        <w:gridCol w:w="5328"/>
        <w:gridCol w:w="571"/>
        <w:gridCol w:w="1331"/>
        <w:gridCol w:w="1358"/>
        <w:gridCol w:w="911"/>
      </w:tblGrid>
      <w:tr>
        <w:trPr/>
        <w:tc>
          <w:tcPr>
            <w:tcW w:w="706" w:type="dxa"/>
            <w:tcBorders/>
            <w:vAlign w:val="center"/>
          </w:tcPr>
          <w:p>
            <w:pPr>
              <w:pStyle w:val="TableContents"/>
              <w:bidi w:val="0"/>
              <w:spacing w:before="0" w:after="283"/>
              <w:jc w:val="left"/>
              <w:rPr>
                <w:sz w:val="4"/>
                <w:szCs w:val="4"/>
              </w:rPr>
            </w:pPr>
            <w:r>
              <w:rPr>
                <w:sz w:val="4"/>
                <w:szCs w:val="4"/>
              </w:rPr>
            </w:r>
          </w:p>
        </w:tc>
        <w:tc>
          <w:tcPr>
            <w:tcW w:w="532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532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with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this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report</w:t>
            </w:r>
          </w:p>
        </w:tc>
        <w:tc>
          <w:tcPr>
            <w:tcW w:w="13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Incorporated by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Reference herein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from—Form or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Schedule</w:t>
            </w:r>
          </w:p>
        </w:tc>
        <w:tc>
          <w:tcPr>
            <w:tcW w:w="135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Filing Date/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Period Covered</w:t>
            </w:r>
          </w:p>
        </w:tc>
        <w:tc>
          <w:tcPr>
            <w:tcW w:w="91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 File/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Reg.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r>
      <w:tr>
        <w:trPr/>
        <w:tc>
          <w:tcPr>
            <w:tcW w:w="6605" w:type="dxa"/>
            <w:gridSpan w:val="3"/>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Governance Documents</w:t>
            </w:r>
          </w:p>
        </w:tc>
        <w:tc>
          <w:tcPr>
            <w:tcW w:w="1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w:t>
            </w:r>
          </w:p>
        </w:tc>
        <w:tc>
          <w:tcPr>
            <w:tcW w:w="5328" w:type="dxa"/>
            <w:tcBorders/>
            <w:vAlign w:val="center"/>
          </w:tcPr>
          <w:p>
            <w:pPr>
              <w:pStyle w:val="TableContents"/>
              <w:bidi w:val="0"/>
              <w:spacing w:lineRule="atLeast" w:line="160" w:before="0" w:after="0"/>
              <w:jc w:val="left"/>
              <w:rPr/>
            </w:pPr>
            <w:hyperlink w:anchor="a10k_2025-exhibit31.htm">
              <w:r>
                <w:rPr>
                  <w:rStyle w:val="InternetLink"/>
                  <w:rFonts w:ascii="Times New Roman;serif" w:hAnsi="Times New Roman;serif"/>
                  <w:b w:val="false"/>
                  <w:i w:val="false"/>
                  <w:caps w:val="false"/>
                  <w:smallCaps w:val="false"/>
                  <w:color w:val="0000FF"/>
                  <w:sz w:val="16"/>
                  <w:u w:val="single"/>
                </w:rPr>
                <w:t xml:space="preserve">Restated Articles of Organization of Vertex Pharmaceuticals Incorporated, as </w:t>
              </w:r>
            </w:hyperlink>
          </w:p>
          <w:p>
            <w:pPr>
              <w:pStyle w:val="TableContents"/>
              <w:bidi w:val="0"/>
              <w:spacing w:lineRule="atLeast" w:line="160" w:before="0" w:after="0"/>
              <w:jc w:val="left"/>
              <w:rPr/>
            </w:pPr>
            <w:hyperlink w:anchor="a10k_2025-exhibit31.htm">
              <w:r>
                <w:rPr>
                  <w:rStyle w:val="InternetLink"/>
                  <w:rFonts w:ascii="Times New Roman;serif" w:hAnsi="Times New Roman;serif"/>
                  <w:b w:val="false"/>
                  <w:i w:val="false"/>
                  <w:caps w:val="false"/>
                  <w:smallCaps w:val="false"/>
                  <w:color w:val="0000FF"/>
                  <w:sz w:val="16"/>
                  <w:u w:val="single"/>
                </w:rPr>
                <w:t>amended.</w:t>
              </w:r>
            </w:hyperlink>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X</w:t>
            </w:r>
          </w:p>
        </w:tc>
        <w:tc>
          <w:tcPr>
            <w:tcW w:w="133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w:t>
            </w:r>
          </w:p>
        </w:tc>
        <w:tc>
          <w:tcPr>
            <w:tcW w:w="5328" w:type="dxa"/>
            <w:tcBorders/>
            <w:vAlign w:val="center"/>
          </w:tcPr>
          <w:p>
            <w:pPr>
              <w:pStyle w:val="TableContents"/>
              <w:bidi w:val="0"/>
              <w:spacing w:lineRule="atLeast" w:line="160" w:before="0" w:after="0"/>
              <w:jc w:val="left"/>
              <w:rPr/>
            </w:pPr>
            <w:hyperlink r:id="rId15">
              <w:r>
                <w:rPr>
                  <w:rStyle w:val="InternetLink"/>
                  <w:rFonts w:ascii="Times New Roman;serif" w:hAnsi="Times New Roman;serif"/>
                  <w:b w:val="false"/>
                  <w:i w:val="false"/>
                  <w:caps w:val="false"/>
                  <w:smallCaps w:val="false"/>
                  <w:color w:val="0000FF"/>
                  <w:sz w:val="16"/>
                  <w:u w:val="single"/>
                </w:rPr>
                <w:t>Amended and Restated By-Laws of Vertex Pharmaceuticals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3.2)</w:t>
            </w:r>
          </w:p>
        </w:tc>
        <w:tc>
          <w:tcPr>
            <w:tcW w:w="135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605"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Certificate</w:t>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w:t>
            </w:r>
          </w:p>
        </w:tc>
        <w:tc>
          <w:tcPr>
            <w:tcW w:w="5328" w:type="dxa"/>
            <w:tcBorders/>
            <w:vAlign w:val="center"/>
          </w:tcPr>
          <w:p>
            <w:pPr>
              <w:pStyle w:val="TableContents"/>
              <w:bidi w:val="0"/>
              <w:spacing w:lineRule="atLeast" w:line="160" w:before="0" w:after="0"/>
              <w:jc w:val="left"/>
              <w:rPr/>
            </w:pPr>
            <w:hyperlink r:id="rId16">
              <w:r>
                <w:rPr>
                  <w:rStyle w:val="InternetLink"/>
                  <w:rFonts w:ascii="Times New Roman;serif" w:hAnsi="Times New Roman;serif"/>
                  <w:b w:val="false"/>
                  <w:i w:val="false"/>
                  <w:caps w:val="false"/>
                  <w:smallCaps w:val="false"/>
                  <w:color w:val="0000FF"/>
                  <w:sz w:val="16"/>
                  <w:u w:val="single"/>
                </w:rPr>
                <w:t>Specimen Stock Certificate.</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4.1)</w:t>
            </w:r>
          </w:p>
        </w:tc>
        <w:tc>
          <w:tcPr>
            <w:tcW w:w="135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15, 2018</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w:t>
            </w:r>
          </w:p>
        </w:tc>
        <w:tc>
          <w:tcPr>
            <w:tcW w:w="5328" w:type="dxa"/>
            <w:tcBorders/>
            <w:vAlign w:val="center"/>
          </w:tcPr>
          <w:p>
            <w:pPr>
              <w:pStyle w:val="TableContents"/>
              <w:bidi w:val="0"/>
              <w:spacing w:lineRule="atLeast" w:line="160" w:before="0" w:after="0"/>
              <w:jc w:val="left"/>
              <w:rPr/>
            </w:pPr>
            <w:hyperlink r:id="rId17">
              <w:r>
                <w:rPr>
                  <w:rStyle w:val="InternetLink"/>
                  <w:rFonts w:ascii="Times New Roman;serif" w:hAnsi="Times New Roman;serif"/>
                  <w:b w:val="false"/>
                  <w:i w:val="false"/>
                  <w:caps w:val="false"/>
                  <w:smallCaps w:val="false"/>
                  <w:color w:val="0000FF"/>
                  <w:sz w:val="16"/>
                  <w:u w:val="single"/>
                </w:rPr>
                <w:t>Description of Securities.</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4.2)</w:t>
            </w:r>
          </w:p>
        </w:tc>
        <w:tc>
          <w:tcPr>
            <w:tcW w:w="1358"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605"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Collaboration Agreement</w:t>
            </w:r>
          </w:p>
        </w:tc>
        <w:tc>
          <w:tcPr>
            <w:tcW w:w="133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w:t>
            </w:r>
          </w:p>
        </w:tc>
        <w:tc>
          <w:tcPr>
            <w:tcW w:w="5328" w:type="dxa"/>
            <w:tcBorders/>
            <w:shd w:fill="FFFFFF" w:val="clear"/>
            <w:vAlign w:val="center"/>
          </w:tcPr>
          <w:p>
            <w:pPr>
              <w:pStyle w:val="TableContents"/>
              <w:bidi w:val="0"/>
              <w:spacing w:lineRule="atLeast" w:line="160" w:before="0" w:after="0"/>
              <w:jc w:val="left"/>
              <w:rPr/>
            </w:pPr>
            <w:hyperlink r:id="rId18">
              <w:r>
                <w:rPr>
                  <w:rStyle w:val="InternetLink"/>
                  <w:rFonts w:ascii="Times New Roman;serif" w:hAnsi="Times New Roman;serif"/>
                  <w:b w:val="false"/>
                  <w:i w:val="false"/>
                  <w:caps w:val="false"/>
                  <w:smallCaps w:val="false"/>
                  <w:color w:val="0000FF"/>
                  <w:sz w:val="16"/>
                  <w:u w:val="single"/>
                </w:rPr>
                <w:t xml:space="preserve">Research, Development and Commercialization Agreement, dated as of May 24, </w:t>
              </w:r>
            </w:hyperlink>
          </w:p>
          <w:p>
            <w:pPr>
              <w:pStyle w:val="TableContents"/>
              <w:bidi w:val="0"/>
              <w:spacing w:lineRule="atLeast" w:line="160" w:before="0" w:after="0"/>
              <w:jc w:val="left"/>
              <w:rPr/>
            </w:pPr>
            <w:hyperlink r:id="rId19">
              <w:r>
                <w:rPr>
                  <w:rStyle w:val="InternetLink"/>
                  <w:rFonts w:ascii="Times New Roman;serif" w:hAnsi="Times New Roman;serif"/>
                  <w:b w:val="false"/>
                  <w:i w:val="false"/>
                  <w:caps w:val="false"/>
                  <w:smallCaps w:val="false"/>
                  <w:color w:val="0000FF"/>
                  <w:sz w:val="16"/>
                  <w:u w:val="single"/>
                </w:rPr>
                <w:t xml:space="preserve">2004, between Vertex Pharmaceuticals Incorporated and Cystic Fibrosis </w:t>
              </w:r>
            </w:hyperlink>
          </w:p>
          <w:p>
            <w:pPr>
              <w:pStyle w:val="TableContents"/>
              <w:bidi w:val="0"/>
              <w:spacing w:lineRule="atLeast" w:line="160" w:before="0" w:after="0"/>
              <w:jc w:val="left"/>
              <w:rPr/>
            </w:pPr>
            <w:hyperlink r:id="rId20">
              <w:r>
                <w:rPr>
                  <w:rStyle w:val="InternetLink"/>
                  <w:rFonts w:ascii="Times New Roman;serif" w:hAnsi="Times New Roman;serif"/>
                  <w:b w:val="false"/>
                  <w:i w:val="false"/>
                  <w:caps w:val="false"/>
                  <w:smallCaps w:val="false"/>
                  <w:color w:val="0000FF"/>
                  <w:sz w:val="16"/>
                  <w:u w:val="single"/>
                </w:rPr>
                <w:t>Foundation Therapeutics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5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3, 2021</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5328" w:type="dxa"/>
            <w:tcBorders/>
            <w:vAlign w:val="center"/>
          </w:tcPr>
          <w:p>
            <w:pPr>
              <w:pStyle w:val="TableContents"/>
              <w:bidi w:val="0"/>
              <w:spacing w:lineRule="atLeast" w:line="160" w:before="0" w:after="0"/>
              <w:jc w:val="left"/>
              <w:rPr/>
            </w:pPr>
            <w:hyperlink r:id="rId21">
              <w:r>
                <w:rPr>
                  <w:rStyle w:val="InternetLink"/>
                  <w:rFonts w:ascii="Times New Roman;serif" w:hAnsi="Times New Roman;serif"/>
                  <w:b w:val="false"/>
                  <w:i w:val="false"/>
                  <w:caps w:val="false"/>
                  <w:smallCaps w:val="false"/>
                  <w:color w:val="0000FF"/>
                  <w:sz w:val="16"/>
                  <w:u w:val="single"/>
                </w:rPr>
                <w:t xml:space="preserve">Amendment No. 1 to Research, Development and Commercialization Agreement, </w:t>
              </w:r>
            </w:hyperlink>
          </w:p>
          <w:p>
            <w:pPr>
              <w:pStyle w:val="TableContents"/>
              <w:bidi w:val="0"/>
              <w:spacing w:lineRule="atLeast" w:line="160" w:before="0" w:after="0"/>
              <w:jc w:val="left"/>
              <w:rPr/>
            </w:pPr>
            <w:hyperlink r:id="rId22">
              <w:r>
                <w:rPr>
                  <w:rStyle w:val="InternetLink"/>
                  <w:rFonts w:ascii="Times New Roman;serif" w:hAnsi="Times New Roman;serif"/>
                  <w:b w:val="false"/>
                  <w:i w:val="false"/>
                  <w:caps w:val="false"/>
                  <w:smallCaps w:val="false"/>
                  <w:color w:val="0000FF"/>
                  <w:sz w:val="16"/>
                  <w:u w:val="single"/>
                </w:rPr>
                <w:t xml:space="preserve">dated as of January 6, 2006, between Vertex Pharmaceuticals Incorporated and </w:t>
              </w:r>
            </w:hyperlink>
          </w:p>
          <w:p>
            <w:pPr>
              <w:pStyle w:val="TableContents"/>
              <w:bidi w:val="0"/>
              <w:spacing w:lineRule="atLeast" w:line="160" w:before="0" w:after="0"/>
              <w:jc w:val="left"/>
              <w:rPr/>
            </w:pPr>
            <w:hyperlink r:id="rId23">
              <w:r>
                <w:rPr>
                  <w:rStyle w:val="InternetLink"/>
                  <w:rFonts w:ascii="Times New Roman;serif" w:hAnsi="Times New Roman;serif"/>
                  <w:b w:val="false"/>
                  <w:i w:val="false"/>
                  <w:caps w:val="false"/>
                  <w:smallCaps w:val="false"/>
                  <w:color w:val="0000FF"/>
                  <w:sz w:val="16"/>
                  <w:u w:val="single"/>
                </w:rPr>
                <w:t>Cystic Fibrosis Foundation Therapeutics Incorporated.†</w:t>
              </w:r>
            </w:hyperlink>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w:t>
            </w:r>
          </w:p>
        </w:tc>
        <w:tc>
          <w:tcPr>
            <w:tcW w:w="135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3, 2021</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w:t>
            </w:r>
          </w:p>
        </w:tc>
        <w:tc>
          <w:tcPr>
            <w:tcW w:w="5328" w:type="dxa"/>
            <w:tcBorders/>
            <w:vAlign w:val="center"/>
          </w:tcPr>
          <w:p>
            <w:pPr>
              <w:pStyle w:val="TableContents"/>
              <w:bidi w:val="0"/>
              <w:spacing w:lineRule="atLeast" w:line="160" w:before="0" w:after="0"/>
              <w:jc w:val="left"/>
              <w:rPr/>
            </w:pPr>
            <w:hyperlink r:id="rId24">
              <w:r>
                <w:rPr>
                  <w:rStyle w:val="InternetLink"/>
                  <w:rFonts w:ascii="Times New Roman;serif" w:hAnsi="Times New Roman;serif"/>
                  <w:b w:val="false"/>
                  <w:i w:val="false"/>
                  <w:caps w:val="false"/>
                  <w:smallCaps w:val="false"/>
                  <w:color w:val="0000FF"/>
                  <w:sz w:val="16"/>
                  <w:u w:val="single"/>
                </w:rPr>
                <w:t xml:space="preserve">Amendment No. 2 to Research, Development and Commercialization Agreement, </w:t>
              </w:r>
            </w:hyperlink>
          </w:p>
          <w:p>
            <w:pPr>
              <w:pStyle w:val="TableContents"/>
              <w:bidi w:val="0"/>
              <w:spacing w:lineRule="atLeast" w:line="160" w:before="0" w:after="0"/>
              <w:jc w:val="left"/>
              <w:rPr/>
            </w:pPr>
            <w:hyperlink r:id="rId25">
              <w:r>
                <w:rPr>
                  <w:rStyle w:val="InternetLink"/>
                  <w:rFonts w:ascii="Times New Roman;serif" w:hAnsi="Times New Roman;serif"/>
                  <w:b w:val="false"/>
                  <w:i w:val="false"/>
                  <w:caps w:val="false"/>
                  <w:smallCaps w:val="false"/>
                  <w:color w:val="0000FF"/>
                  <w:sz w:val="16"/>
                  <w:u w:val="single"/>
                </w:rPr>
                <w:t xml:space="preserve">dated as of March 17, 2006, between Vertex Pharmaceuticals Incorporated and </w:t>
              </w:r>
            </w:hyperlink>
          </w:p>
          <w:p>
            <w:pPr>
              <w:pStyle w:val="TableContents"/>
              <w:bidi w:val="0"/>
              <w:spacing w:lineRule="atLeast" w:line="160" w:before="0" w:after="0"/>
              <w:jc w:val="left"/>
              <w:rPr/>
            </w:pPr>
            <w:hyperlink r:id="rId26">
              <w:r>
                <w:rPr>
                  <w:rStyle w:val="InternetLink"/>
                  <w:rFonts w:ascii="Times New Roman;serif" w:hAnsi="Times New Roman;serif"/>
                  <w:b w:val="false"/>
                  <w:i w:val="false"/>
                  <w:caps w:val="false"/>
                  <w:smallCaps w:val="false"/>
                  <w:color w:val="0000FF"/>
                  <w:sz w:val="16"/>
                  <w:u w:val="single"/>
                </w:rPr>
                <w:t>Cystic Fibrosis Foundation Therapeutics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10-Q/A</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10.6)</w:t>
            </w:r>
          </w:p>
        </w:tc>
        <w:tc>
          <w:tcPr>
            <w:tcW w:w="135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August 19, 2011</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5328" w:type="dxa"/>
            <w:tcBorders/>
            <w:vAlign w:val="center"/>
          </w:tcPr>
          <w:p>
            <w:pPr>
              <w:pStyle w:val="TableContents"/>
              <w:bidi w:val="0"/>
              <w:spacing w:lineRule="atLeast" w:line="160" w:before="0" w:after="0"/>
              <w:jc w:val="left"/>
              <w:rPr/>
            </w:pPr>
            <w:hyperlink r:id="rId27">
              <w:r>
                <w:rPr>
                  <w:rStyle w:val="InternetLink"/>
                  <w:rFonts w:ascii="Times New Roman;serif" w:hAnsi="Times New Roman;serif"/>
                  <w:b w:val="false"/>
                  <w:i w:val="false"/>
                  <w:caps w:val="false"/>
                  <w:smallCaps w:val="false"/>
                  <w:color w:val="0000FF"/>
                  <w:sz w:val="16"/>
                  <w:u w:val="single"/>
                </w:rPr>
                <w:t xml:space="preserve">Amendment No. 5 to Research, Development and Commercialization Agreement, </w:t>
              </w:r>
            </w:hyperlink>
          </w:p>
          <w:p>
            <w:pPr>
              <w:pStyle w:val="TableContents"/>
              <w:bidi w:val="0"/>
              <w:spacing w:lineRule="atLeast" w:line="160" w:before="0" w:after="0"/>
              <w:jc w:val="left"/>
              <w:rPr/>
            </w:pPr>
            <w:hyperlink r:id="rId28">
              <w:r>
                <w:rPr>
                  <w:rStyle w:val="InternetLink"/>
                  <w:rFonts w:ascii="Times New Roman;serif" w:hAnsi="Times New Roman;serif"/>
                  <w:b w:val="false"/>
                  <w:i w:val="false"/>
                  <w:caps w:val="false"/>
                  <w:smallCaps w:val="false"/>
                  <w:color w:val="0000FF"/>
                  <w:sz w:val="16"/>
                  <w:u w:val="single"/>
                </w:rPr>
                <w:t xml:space="preserve">effective as of April 1, 2011, between Vertex Pharmaceuticals Incorporated and </w:t>
              </w:r>
            </w:hyperlink>
          </w:p>
          <w:p>
            <w:pPr>
              <w:pStyle w:val="TableContents"/>
              <w:bidi w:val="0"/>
              <w:spacing w:lineRule="atLeast" w:line="160" w:before="0" w:after="0"/>
              <w:jc w:val="left"/>
              <w:rPr/>
            </w:pPr>
            <w:hyperlink r:id="rId29">
              <w:r>
                <w:rPr>
                  <w:rStyle w:val="InternetLink"/>
                  <w:rFonts w:ascii="Times New Roman;serif" w:hAnsi="Times New Roman;serif"/>
                  <w:b w:val="false"/>
                  <w:i w:val="false"/>
                  <w:caps w:val="false"/>
                  <w:smallCaps w:val="false"/>
                  <w:color w:val="0000FF"/>
                  <w:sz w:val="16"/>
                  <w:u w:val="single"/>
                </w:rPr>
                <w:t>Cystic Fibrosis Foundation Therapeutics Incorporated.†</w:t>
              </w:r>
            </w:hyperlink>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w:t>
            </w:r>
          </w:p>
        </w:tc>
        <w:tc>
          <w:tcPr>
            <w:tcW w:w="135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3, 2021</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c>
          <w:tcPr>
            <w:tcW w:w="5328" w:type="dxa"/>
            <w:tcBorders/>
            <w:vAlign w:val="center"/>
          </w:tcPr>
          <w:p>
            <w:pPr>
              <w:pStyle w:val="TableContents"/>
              <w:bidi w:val="0"/>
              <w:spacing w:lineRule="atLeast" w:line="160" w:before="0" w:after="0"/>
              <w:jc w:val="left"/>
              <w:rPr/>
            </w:pPr>
            <w:hyperlink r:id="rId30">
              <w:r>
                <w:rPr>
                  <w:rStyle w:val="InternetLink"/>
                  <w:rFonts w:ascii="Times New Roman;serif" w:hAnsi="Times New Roman;serif"/>
                  <w:b w:val="false"/>
                  <w:i w:val="false"/>
                  <w:caps w:val="false"/>
                  <w:smallCaps w:val="false"/>
                  <w:color w:val="0000FF"/>
                  <w:sz w:val="16"/>
                  <w:u w:val="single"/>
                </w:rPr>
                <w:t xml:space="preserve">Amendment No. 7 to Research, Development and Commercialization Agreement, </w:t>
              </w:r>
            </w:hyperlink>
          </w:p>
          <w:p>
            <w:pPr>
              <w:pStyle w:val="TableContents"/>
              <w:bidi w:val="0"/>
              <w:spacing w:lineRule="atLeast" w:line="160" w:before="0" w:after="0"/>
              <w:jc w:val="left"/>
              <w:rPr/>
            </w:pPr>
            <w:hyperlink r:id="rId31">
              <w:r>
                <w:rPr>
                  <w:rStyle w:val="InternetLink"/>
                  <w:rFonts w:ascii="Times New Roman;serif" w:hAnsi="Times New Roman;serif"/>
                  <w:b w:val="false"/>
                  <w:i w:val="false"/>
                  <w:caps w:val="false"/>
                  <w:smallCaps w:val="false"/>
                  <w:color w:val="0000FF"/>
                  <w:sz w:val="16"/>
                  <w:u w:val="single"/>
                </w:rPr>
                <w:t xml:space="preserve">dated October 13, 2016, between Vertex Pharmaceuticals Incorporated and Cystic </w:t>
              </w:r>
            </w:hyperlink>
          </w:p>
          <w:p>
            <w:pPr>
              <w:pStyle w:val="TableContents"/>
              <w:bidi w:val="0"/>
              <w:spacing w:lineRule="atLeast" w:line="160" w:before="0" w:after="0"/>
              <w:jc w:val="left"/>
              <w:rPr/>
            </w:pPr>
            <w:hyperlink r:id="rId32">
              <w:r>
                <w:rPr>
                  <w:rStyle w:val="InternetLink"/>
                  <w:rFonts w:ascii="Times New Roman;serif" w:hAnsi="Times New Roman;serif"/>
                  <w:b w:val="false"/>
                  <w:i w:val="false"/>
                  <w:caps w:val="false"/>
                  <w:smallCaps w:val="false"/>
                  <w:color w:val="0000FF"/>
                  <w:sz w:val="16"/>
                  <w:u w:val="single"/>
                </w:rPr>
                <w:t>Fibrosis Foundation Therapeutics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10.4)</w:t>
            </w:r>
          </w:p>
        </w:tc>
        <w:tc>
          <w:tcPr>
            <w:tcW w:w="135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3, 2021</w:t>
            </w:r>
          </w:p>
        </w:tc>
        <w:tc>
          <w:tcPr>
            <w:tcW w:w="91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tbl>
      <w:tblPr>
        <w:tblW w:w="10205" w:type="dxa"/>
        <w:jc w:val="left"/>
        <w:tblInd w:w="0" w:type="dxa"/>
        <w:tblLayout w:type="fixed"/>
        <w:tblCellMar>
          <w:top w:w="28" w:type="dxa"/>
          <w:left w:w="28" w:type="dxa"/>
          <w:bottom w:w="28" w:type="dxa"/>
          <w:right w:w="28" w:type="dxa"/>
        </w:tblCellMar>
      </w:tblPr>
      <w:tblGrid>
        <w:gridCol w:w="706"/>
        <w:gridCol w:w="5318"/>
        <w:gridCol w:w="571"/>
        <w:gridCol w:w="1339"/>
        <w:gridCol w:w="1361"/>
        <w:gridCol w:w="910"/>
      </w:tblGrid>
      <w:tr>
        <w:trPr/>
        <w:tc>
          <w:tcPr>
            <w:tcW w:w="706" w:type="dxa"/>
            <w:tcBorders/>
            <w:vAlign w:val="center"/>
          </w:tcPr>
          <w:p>
            <w:pPr>
              <w:pStyle w:val="TableContents"/>
              <w:bidi w:val="0"/>
              <w:spacing w:before="0" w:after="283"/>
              <w:jc w:val="left"/>
              <w:rPr>
                <w:sz w:val="4"/>
                <w:szCs w:val="4"/>
              </w:rPr>
            </w:pPr>
            <w:r>
              <w:rPr>
                <w:sz w:val="4"/>
                <w:szCs w:val="4"/>
              </w:rPr>
            </w:r>
          </w:p>
        </w:tc>
        <w:tc>
          <w:tcPr>
            <w:tcW w:w="531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531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with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this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report</w:t>
            </w:r>
          </w:p>
        </w:tc>
        <w:tc>
          <w:tcPr>
            <w:tcW w:w="133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Incorporated by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Reference herein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from—Form or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Schedule</w:t>
            </w:r>
          </w:p>
        </w:tc>
        <w:tc>
          <w:tcPr>
            <w:tcW w:w="13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Filing Date/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Period Covered</w:t>
            </w:r>
          </w:p>
        </w:tc>
        <w:tc>
          <w:tcPr>
            <w:tcW w:w="91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 File/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Reg.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5318" w:type="dxa"/>
            <w:tcBorders/>
            <w:vAlign w:val="center"/>
          </w:tcPr>
          <w:p>
            <w:pPr>
              <w:pStyle w:val="TableContents"/>
              <w:bidi w:val="0"/>
              <w:spacing w:lineRule="atLeast" w:line="160" w:before="0" w:after="0"/>
              <w:jc w:val="left"/>
              <w:rPr/>
            </w:pPr>
            <w:hyperlink r:id="rId33">
              <w:r>
                <w:rPr>
                  <w:rStyle w:val="InternetLink"/>
                  <w:rFonts w:ascii="Times New Roman;serif" w:hAnsi="Times New Roman;serif"/>
                  <w:b w:val="false"/>
                  <w:i w:val="false"/>
                  <w:caps w:val="false"/>
                  <w:smallCaps w:val="false"/>
                  <w:color w:val="0000FF"/>
                  <w:sz w:val="16"/>
                  <w:u w:val="single"/>
                </w:rPr>
                <w:t xml:space="preserve">Amended and Restated Joint Development and Commercialization Agreement, </w:t>
              </w:r>
            </w:hyperlink>
          </w:p>
          <w:p>
            <w:pPr>
              <w:pStyle w:val="TableContents"/>
              <w:bidi w:val="0"/>
              <w:spacing w:lineRule="atLeast" w:line="160" w:before="0" w:after="0"/>
              <w:jc w:val="left"/>
              <w:rPr/>
            </w:pPr>
            <w:hyperlink r:id="rId34">
              <w:r>
                <w:rPr>
                  <w:rStyle w:val="InternetLink"/>
                  <w:rFonts w:ascii="Times New Roman;serif" w:hAnsi="Times New Roman;serif"/>
                  <w:b w:val="false"/>
                  <w:i w:val="false"/>
                  <w:caps w:val="false"/>
                  <w:smallCaps w:val="false"/>
                  <w:color w:val="0000FF"/>
                  <w:sz w:val="16"/>
                  <w:u w:val="single"/>
                </w:rPr>
                <w:t xml:space="preserve">dated April 16, 2021, between Vertex Pharmaceuticals Incorporated, Vertex </w:t>
              </w:r>
            </w:hyperlink>
          </w:p>
          <w:p>
            <w:pPr>
              <w:pStyle w:val="TableContents"/>
              <w:bidi w:val="0"/>
              <w:spacing w:lineRule="atLeast" w:line="160" w:before="0" w:after="0"/>
              <w:jc w:val="left"/>
              <w:rPr/>
            </w:pPr>
            <w:hyperlink r:id="rId35">
              <w:r>
                <w:rPr>
                  <w:rStyle w:val="InternetLink"/>
                  <w:rFonts w:ascii="Times New Roman;serif" w:hAnsi="Times New Roman;serif"/>
                  <w:b w:val="false"/>
                  <w:i w:val="false"/>
                  <w:caps w:val="false"/>
                  <w:smallCaps w:val="false"/>
                  <w:color w:val="0000FF"/>
                  <w:sz w:val="16"/>
                  <w:u w:val="single"/>
                </w:rPr>
                <w:t xml:space="preserve">Pharmaceuticals (Europe) Limited and CRISPR Therapeutics AG, CRISPR </w:t>
              </w:r>
            </w:hyperlink>
          </w:p>
          <w:p>
            <w:pPr>
              <w:pStyle w:val="TableContents"/>
              <w:bidi w:val="0"/>
              <w:spacing w:lineRule="atLeast" w:line="160" w:before="0" w:after="0"/>
              <w:jc w:val="left"/>
              <w:rPr/>
            </w:pPr>
            <w:hyperlink r:id="rId36">
              <w:r>
                <w:rPr>
                  <w:rStyle w:val="InternetLink"/>
                  <w:rFonts w:ascii="Times New Roman;serif" w:hAnsi="Times New Roman;serif"/>
                  <w:b w:val="false"/>
                  <w:i w:val="false"/>
                  <w:caps w:val="false"/>
                  <w:smallCaps w:val="false"/>
                  <w:color w:val="0000FF"/>
                  <w:sz w:val="16"/>
                  <w:u w:val="single"/>
                </w:rPr>
                <w:t>Therapeutics Limited, CRISPR Therapeutics, Inc., TRACR Hematology Ltd.†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July 30, 2021</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w:t>
            </w:r>
          </w:p>
        </w:tc>
        <w:tc>
          <w:tcPr>
            <w:tcW w:w="5318" w:type="dxa"/>
            <w:tcBorders/>
            <w:vAlign w:val="center"/>
          </w:tcPr>
          <w:p>
            <w:pPr>
              <w:pStyle w:val="TableContents"/>
              <w:bidi w:val="0"/>
              <w:spacing w:lineRule="atLeast" w:line="160" w:before="0" w:after="0"/>
              <w:jc w:val="left"/>
              <w:rPr/>
            </w:pPr>
            <w:hyperlink r:id="rId37">
              <w:r>
                <w:rPr>
                  <w:rStyle w:val="InternetLink"/>
                  <w:rFonts w:ascii="Times New Roman;serif" w:hAnsi="Times New Roman;serif"/>
                  <w:b w:val="false"/>
                  <w:i w:val="false"/>
                  <w:caps w:val="false"/>
                  <w:smallCaps w:val="false"/>
                  <w:color w:val="0000FF"/>
                  <w:sz w:val="16"/>
                  <w:u w:val="single"/>
                </w:rPr>
                <w:t xml:space="preserve">Amendment No. 1 to Amended and Restated Joint Development and </w:t>
              </w:r>
            </w:hyperlink>
          </w:p>
          <w:p>
            <w:pPr>
              <w:pStyle w:val="TableContents"/>
              <w:bidi w:val="0"/>
              <w:spacing w:lineRule="atLeast" w:line="160" w:before="0" w:after="0"/>
              <w:jc w:val="left"/>
              <w:rPr/>
            </w:pPr>
            <w:hyperlink r:id="rId38">
              <w:r>
                <w:rPr>
                  <w:rStyle w:val="InternetLink"/>
                  <w:rFonts w:ascii="Times New Roman;serif" w:hAnsi="Times New Roman;serif"/>
                  <w:b w:val="false"/>
                  <w:i w:val="false"/>
                  <w:caps w:val="false"/>
                  <w:smallCaps w:val="false"/>
                  <w:color w:val="0000FF"/>
                  <w:sz w:val="16"/>
                  <w:u w:val="single"/>
                </w:rPr>
                <w:t xml:space="preserve">Commercialization Agreement, dated December 12, 2023, between Vertex </w:t>
              </w:r>
            </w:hyperlink>
          </w:p>
          <w:p>
            <w:pPr>
              <w:pStyle w:val="TableContents"/>
              <w:bidi w:val="0"/>
              <w:spacing w:lineRule="atLeast" w:line="160" w:before="0" w:after="0"/>
              <w:jc w:val="left"/>
              <w:rPr/>
            </w:pPr>
            <w:hyperlink r:id="rId39">
              <w:r>
                <w:rPr>
                  <w:rStyle w:val="InternetLink"/>
                  <w:rFonts w:ascii="Times New Roman;serif" w:hAnsi="Times New Roman;serif"/>
                  <w:b w:val="false"/>
                  <w:i w:val="false"/>
                  <w:caps w:val="false"/>
                  <w:smallCaps w:val="false"/>
                  <w:color w:val="0000FF"/>
                  <w:sz w:val="16"/>
                  <w:u w:val="single"/>
                </w:rPr>
                <w:t xml:space="preserve">Pharmaceuticals Incorporated, Vertex Pharmaceuticals (Europe) Limited and </w:t>
              </w:r>
            </w:hyperlink>
          </w:p>
          <w:p>
            <w:pPr>
              <w:pStyle w:val="TableContents"/>
              <w:bidi w:val="0"/>
              <w:spacing w:lineRule="atLeast" w:line="160" w:before="0" w:after="0"/>
              <w:jc w:val="left"/>
              <w:rPr/>
            </w:pPr>
            <w:hyperlink r:id="rId40">
              <w:r>
                <w:rPr>
                  <w:rStyle w:val="InternetLink"/>
                  <w:rFonts w:ascii="Times New Roman;serif" w:hAnsi="Times New Roman;serif"/>
                  <w:b w:val="false"/>
                  <w:i w:val="false"/>
                  <w:caps w:val="false"/>
                  <w:smallCaps w:val="false"/>
                  <w:color w:val="0000FF"/>
                  <w:sz w:val="16"/>
                  <w:u w:val="single"/>
                </w:rPr>
                <w:t xml:space="preserve">CRISPR Therapeutics AG, CRISPR Therapeutics Limited, CRISPR </w:t>
              </w:r>
            </w:hyperlink>
          </w:p>
          <w:p>
            <w:pPr>
              <w:pStyle w:val="TableContents"/>
              <w:bidi w:val="0"/>
              <w:spacing w:lineRule="atLeast" w:line="160" w:before="0" w:after="0"/>
              <w:jc w:val="left"/>
              <w:rPr/>
            </w:pPr>
            <w:hyperlink r:id="rId41">
              <w:r>
                <w:rPr>
                  <w:rStyle w:val="InternetLink"/>
                  <w:rFonts w:ascii="Times New Roman;serif" w:hAnsi="Times New Roman;serif"/>
                  <w:b w:val="false"/>
                  <w:i w:val="false"/>
                  <w:caps w:val="false"/>
                  <w:smallCaps w:val="false"/>
                  <w:color w:val="0000FF"/>
                  <w:sz w:val="16"/>
                  <w:u w:val="single"/>
                </w:rPr>
                <w:t xml:space="preserve">Therapeutics, Inc., TRACR Hematology Ltd.† </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10.7)</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15,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Leases</w:t>
            </w:r>
          </w:p>
        </w:tc>
        <w:tc>
          <w:tcPr>
            <w:tcW w:w="531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w:t>
            </w:r>
          </w:p>
        </w:tc>
        <w:tc>
          <w:tcPr>
            <w:tcW w:w="5318" w:type="dxa"/>
            <w:tcBorders/>
            <w:vAlign w:val="center"/>
          </w:tcPr>
          <w:p>
            <w:pPr>
              <w:pStyle w:val="TableContents"/>
              <w:bidi w:val="0"/>
              <w:spacing w:lineRule="atLeast" w:line="160" w:before="0" w:after="0"/>
              <w:jc w:val="left"/>
              <w:rPr/>
            </w:pPr>
            <w:hyperlink r:id="rId42">
              <w:r>
                <w:rPr>
                  <w:rStyle w:val="InternetLink"/>
                  <w:rFonts w:ascii="Times New Roman;serif" w:hAnsi="Times New Roman;serif"/>
                  <w:b w:val="false"/>
                  <w:i w:val="false"/>
                  <w:caps w:val="false"/>
                  <w:smallCaps w:val="false"/>
                  <w:color w:val="0000FF"/>
                  <w:sz w:val="16"/>
                  <w:u w:val="single"/>
                </w:rPr>
                <w:t xml:space="preserve">Lease, dated May 5, 2011, between Fifty Northern Avenue LLC and Vertex </w:t>
              </w:r>
            </w:hyperlink>
          </w:p>
          <w:p>
            <w:pPr>
              <w:pStyle w:val="TableContents"/>
              <w:bidi w:val="0"/>
              <w:spacing w:lineRule="atLeast" w:line="160" w:before="0" w:after="0"/>
              <w:jc w:val="left"/>
              <w:rPr/>
            </w:pPr>
            <w:hyperlink r:id="rId43">
              <w:r>
                <w:rPr>
                  <w:rStyle w:val="InternetLink"/>
                  <w:rFonts w:ascii="Times New Roman;serif" w:hAnsi="Times New Roman;serif"/>
                  <w:b w:val="false"/>
                  <w:i w:val="false"/>
                  <w:caps w:val="false"/>
                  <w:smallCaps w:val="false"/>
                  <w:color w:val="0000FF"/>
                  <w:sz w:val="16"/>
                  <w:u w:val="single"/>
                </w:rPr>
                <w:t>Pharmaceuticals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July 30, 2021</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w:t>
            </w:r>
          </w:p>
        </w:tc>
        <w:tc>
          <w:tcPr>
            <w:tcW w:w="5318" w:type="dxa"/>
            <w:tcBorders/>
            <w:vAlign w:val="center"/>
          </w:tcPr>
          <w:p>
            <w:pPr>
              <w:pStyle w:val="TableContents"/>
              <w:bidi w:val="0"/>
              <w:spacing w:lineRule="atLeast" w:line="160" w:before="0" w:after="0"/>
              <w:jc w:val="left"/>
              <w:rPr/>
            </w:pPr>
            <w:hyperlink r:id="rId44">
              <w:r>
                <w:rPr>
                  <w:rStyle w:val="InternetLink"/>
                  <w:rFonts w:ascii="Times New Roman;serif" w:hAnsi="Times New Roman;serif"/>
                  <w:b w:val="false"/>
                  <w:i w:val="false"/>
                  <w:caps w:val="false"/>
                  <w:smallCaps w:val="false"/>
                  <w:color w:val="0000FF"/>
                  <w:sz w:val="16"/>
                  <w:u w:val="single"/>
                </w:rPr>
                <w:t xml:space="preserve">2024 Amendment to the Lease (50 Northern Avenue), dated August 15, 2024, </w:t>
              </w:r>
            </w:hyperlink>
          </w:p>
          <w:p>
            <w:pPr>
              <w:pStyle w:val="TableContents"/>
              <w:bidi w:val="0"/>
              <w:spacing w:lineRule="atLeast" w:line="160" w:before="0" w:after="0"/>
              <w:jc w:val="left"/>
              <w:rPr/>
            </w:pPr>
            <w:hyperlink r:id="rId45">
              <w:r>
                <w:rPr>
                  <w:rStyle w:val="InternetLink"/>
                  <w:rFonts w:ascii="Times New Roman;serif" w:hAnsi="Times New Roman;serif"/>
                  <w:b w:val="false"/>
                  <w:i w:val="false"/>
                  <w:caps w:val="false"/>
                  <w:smallCaps w:val="false"/>
                  <w:color w:val="0000FF"/>
                  <w:sz w:val="16"/>
                  <w:u w:val="single"/>
                </w:rPr>
                <w:t>between Vertex Pharmaceuticals Incorporated and SNH Seaport LLC. †</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5,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10.10</w:t>
            </w:r>
          </w:p>
        </w:tc>
        <w:tc>
          <w:tcPr>
            <w:tcW w:w="5318" w:type="dxa"/>
            <w:tcBorders/>
            <w:vAlign w:val="center"/>
          </w:tcPr>
          <w:p>
            <w:pPr>
              <w:pStyle w:val="TableContents"/>
              <w:bidi w:val="0"/>
              <w:spacing w:lineRule="atLeast" w:line="160" w:before="0" w:after="0"/>
              <w:jc w:val="left"/>
              <w:rPr/>
            </w:pPr>
            <w:hyperlink r:id="rId46">
              <w:r>
                <w:rPr>
                  <w:rStyle w:val="InternetLink"/>
                  <w:rFonts w:ascii="Times New Roman;serif" w:hAnsi="Times New Roman;serif"/>
                  <w:b w:val="false"/>
                  <w:i w:val="false"/>
                  <w:caps w:val="false"/>
                  <w:smallCaps w:val="false"/>
                  <w:color w:val="0000FF"/>
                  <w:sz w:val="16"/>
                  <w:u w:val="single"/>
                </w:rPr>
                <w:t xml:space="preserve">Lease, dated May 5, 2011, between Eleven Fan Pier Boulevard LLC and Vertex </w:t>
              </w:r>
            </w:hyperlink>
          </w:p>
          <w:p>
            <w:pPr>
              <w:pStyle w:val="TableContents"/>
              <w:bidi w:val="0"/>
              <w:spacing w:lineRule="atLeast" w:line="160" w:before="0" w:after="0"/>
              <w:jc w:val="left"/>
              <w:rPr/>
            </w:pPr>
            <w:hyperlink r:id="rId47">
              <w:r>
                <w:rPr>
                  <w:rStyle w:val="InternetLink"/>
                  <w:rFonts w:ascii="Times New Roman;serif" w:hAnsi="Times New Roman;serif"/>
                  <w:b w:val="false"/>
                  <w:i w:val="false"/>
                  <w:caps w:val="false"/>
                  <w:smallCaps w:val="false"/>
                  <w:color w:val="0000FF"/>
                  <w:sz w:val="16"/>
                  <w:u w:val="single"/>
                </w:rPr>
                <w:t>Pharmaceuticals Incorporated.†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July 30, 2021</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10.11</w:t>
            </w:r>
          </w:p>
        </w:tc>
        <w:tc>
          <w:tcPr>
            <w:tcW w:w="5318" w:type="dxa"/>
            <w:tcBorders/>
            <w:vAlign w:val="center"/>
          </w:tcPr>
          <w:p>
            <w:pPr>
              <w:pStyle w:val="TableContents"/>
              <w:bidi w:val="0"/>
              <w:spacing w:lineRule="atLeast" w:line="160" w:before="0" w:after="0"/>
              <w:jc w:val="left"/>
              <w:rPr/>
            </w:pPr>
            <w:hyperlink r:id="rId48">
              <w:r>
                <w:rPr>
                  <w:rStyle w:val="InternetLink"/>
                  <w:rFonts w:ascii="Times New Roman;serif" w:hAnsi="Times New Roman;serif"/>
                  <w:b w:val="false"/>
                  <w:i w:val="false"/>
                  <w:caps w:val="false"/>
                  <w:smallCaps w:val="false"/>
                  <w:color w:val="0000FF"/>
                  <w:sz w:val="16"/>
                  <w:u w:val="single"/>
                </w:rPr>
                <w:t xml:space="preserve">2024 Amendment to Lease (11 Fan Pier Boulevard), dated August 15, 2024, </w:t>
              </w:r>
            </w:hyperlink>
          </w:p>
          <w:p>
            <w:pPr>
              <w:pStyle w:val="TableContents"/>
              <w:bidi w:val="0"/>
              <w:spacing w:lineRule="atLeast" w:line="160" w:before="0" w:after="0"/>
              <w:jc w:val="left"/>
              <w:rPr/>
            </w:pPr>
            <w:hyperlink r:id="rId49">
              <w:r>
                <w:rPr>
                  <w:rStyle w:val="InternetLink"/>
                  <w:rFonts w:ascii="Times New Roman;serif" w:hAnsi="Times New Roman;serif"/>
                  <w:b w:val="false"/>
                  <w:i w:val="false"/>
                  <w:caps w:val="false"/>
                  <w:smallCaps w:val="false"/>
                  <w:color w:val="0000FF"/>
                  <w:sz w:val="16"/>
                  <w:u w:val="single"/>
                </w:rPr>
                <w:t>between Vertex Pharmaceuticals Incorporated and SNH Seaport LLC.†</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w:t>
            </w:r>
          </w:p>
        </w:tc>
        <w:tc>
          <w:tcPr>
            <w:tcW w:w="13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5,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10205" w:type="dxa"/>
            <w:gridSpan w:val="6"/>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Financing Agreements</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10.12</w:t>
            </w:r>
          </w:p>
        </w:tc>
        <w:tc>
          <w:tcPr>
            <w:tcW w:w="5318" w:type="dxa"/>
            <w:tcBorders/>
            <w:vAlign w:val="center"/>
          </w:tcPr>
          <w:p>
            <w:pPr>
              <w:pStyle w:val="TableContents"/>
              <w:bidi w:val="0"/>
              <w:spacing w:lineRule="atLeast" w:line="160" w:before="0" w:after="0"/>
              <w:jc w:val="left"/>
              <w:rPr/>
            </w:pPr>
            <w:hyperlink r:id="rId50">
              <w:r>
                <w:rPr>
                  <w:rStyle w:val="InternetLink"/>
                  <w:rFonts w:ascii="Times New Roman;serif" w:hAnsi="Times New Roman;serif"/>
                  <w:b w:val="false"/>
                  <w:i w:val="false"/>
                  <w:caps w:val="false"/>
                  <w:smallCaps w:val="false"/>
                  <w:color w:val="0000FF"/>
                  <w:sz w:val="16"/>
                  <w:u w:val="single"/>
                </w:rPr>
                <w:t xml:space="preserve">Credit Agreement, dated as of July 1, 2022, by and among Vertex </w:t>
              </w:r>
            </w:hyperlink>
          </w:p>
          <w:p>
            <w:pPr>
              <w:pStyle w:val="TableContents"/>
              <w:bidi w:val="0"/>
              <w:spacing w:lineRule="atLeast" w:line="160" w:before="0" w:after="0"/>
              <w:jc w:val="left"/>
              <w:rPr/>
            </w:pPr>
            <w:hyperlink r:id="rId51">
              <w:r>
                <w:rPr>
                  <w:rStyle w:val="InternetLink"/>
                  <w:rFonts w:ascii="Times New Roman;serif" w:hAnsi="Times New Roman;serif"/>
                  <w:b w:val="false"/>
                  <w:i w:val="false"/>
                  <w:caps w:val="false"/>
                  <w:smallCaps w:val="false"/>
                  <w:color w:val="0000FF"/>
                  <w:sz w:val="16"/>
                  <w:u w:val="single"/>
                </w:rPr>
                <w:t xml:space="preserve">Pharmaceuticals Incorporated, Bank of America, N.A. and the other lenders party </w:t>
              </w:r>
            </w:hyperlink>
          </w:p>
          <w:p>
            <w:pPr>
              <w:pStyle w:val="TableContents"/>
              <w:bidi w:val="0"/>
              <w:spacing w:lineRule="atLeast" w:line="160" w:before="0" w:after="0"/>
              <w:jc w:val="left"/>
              <w:rPr/>
            </w:pPr>
            <w:hyperlink r:id="rId52">
              <w:r>
                <w:rPr>
                  <w:rStyle w:val="InternetLink"/>
                  <w:rFonts w:ascii="Times New Roman;serif" w:hAnsi="Times New Roman;serif"/>
                  <w:b w:val="false"/>
                  <w:i w:val="false"/>
                  <w:caps w:val="false"/>
                  <w:smallCaps w:val="false"/>
                  <w:color w:val="0000FF"/>
                  <w:sz w:val="16"/>
                  <w:u w:val="single"/>
                </w:rPr>
                <w:t>thereto.</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August 5, 2022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10.13</w:t>
            </w:r>
          </w:p>
        </w:tc>
        <w:tc>
          <w:tcPr>
            <w:tcW w:w="5318" w:type="dxa"/>
            <w:tcBorders/>
            <w:vAlign w:val="center"/>
          </w:tcPr>
          <w:p>
            <w:pPr>
              <w:pStyle w:val="TableContents"/>
              <w:bidi w:val="0"/>
              <w:spacing w:lineRule="atLeast" w:line="160" w:before="0" w:after="0"/>
              <w:jc w:val="left"/>
              <w:rPr/>
            </w:pPr>
            <w:hyperlink r:id="rId53">
              <w:r>
                <w:rPr>
                  <w:rStyle w:val="InternetLink"/>
                  <w:rFonts w:ascii="Times New Roman;serif" w:hAnsi="Times New Roman;serif"/>
                  <w:b w:val="false"/>
                  <w:i w:val="false"/>
                  <w:caps w:val="false"/>
                  <w:smallCaps w:val="false"/>
                  <w:color w:val="0000FF"/>
                  <w:sz w:val="16"/>
                  <w:u w:val="single"/>
                </w:rPr>
                <w:t xml:space="preserve">First Amendment to Credit Agreement, dated June 20, 2024 by and between </w:t>
              </w:r>
            </w:hyperlink>
          </w:p>
          <w:p>
            <w:pPr>
              <w:pStyle w:val="TableContents"/>
              <w:bidi w:val="0"/>
              <w:spacing w:lineRule="atLeast" w:line="160" w:before="0" w:after="0"/>
              <w:jc w:val="left"/>
              <w:rPr/>
            </w:pPr>
            <w:hyperlink r:id="rId54">
              <w:r>
                <w:rPr>
                  <w:rStyle w:val="InternetLink"/>
                  <w:rFonts w:ascii="Times New Roman;serif" w:hAnsi="Times New Roman;serif"/>
                  <w:b w:val="false"/>
                  <w:i w:val="false"/>
                  <w:caps w:val="false"/>
                  <w:smallCaps w:val="false"/>
                  <w:color w:val="0000FF"/>
                  <w:sz w:val="16"/>
                  <w:u w:val="single"/>
                </w:rPr>
                <w:t>Vertex Pharmaceuticals Incorporated and Bank of America N.A.</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August 2,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595"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 Plans</w:t>
            </w:r>
          </w:p>
        </w:tc>
        <w:tc>
          <w:tcPr>
            <w:tcW w:w="133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10.14</w:t>
            </w:r>
          </w:p>
        </w:tc>
        <w:tc>
          <w:tcPr>
            <w:tcW w:w="5318" w:type="dxa"/>
            <w:tcBorders/>
            <w:shd w:fill="FFFFFF" w:val="clear"/>
            <w:vAlign w:val="center"/>
          </w:tcPr>
          <w:p>
            <w:pPr>
              <w:pStyle w:val="TableContents"/>
              <w:bidi w:val="0"/>
              <w:spacing w:lineRule="atLeast" w:line="160" w:before="0" w:after="0"/>
              <w:jc w:val="left"/>
              <w:rPr/>
            </w:pPr>
            <w:hyperlink r:id="rId55">
              <w:r>
                <w:rPr>
                  <w:rStyle w:val="InternetLink"/>
                  <w:rFonts w:ascii="Times New Roman;serif" w:hAnsi="Times New Roman;serif"/>
                  <w:b w:val="false"/>
                  <w:i w:val="false"/>
                  <w:caps w:val="false"/>
                  <w:smallCaps w:val="false"/>
                  <w:color w:val="0000FF"/>
                  <w:sz w:val="16"/>
                  <w:u w:val="single"/>
                </w:rPr>
                <w:t>Amended and Restated 2006 Stock and Option Plan.*</w:t>
              </w:r>
            </w:hyperlink>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October 25, 2018</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10.15</w:t>
            </w:r>
          </w:p>
        </w:tc>
        <w:tc>
          <w:tcPr>
            <w:tcW w:w="5318" w:type="dxa"/>
            <w:tcBorders/>
            <w:vAlign w:val="center"/>
          </w:tcPr>
          <w:p>
            <w:pPr>
              <w:pStyle w:val="TableContents"/>
              <w:bidi w:val="0"/>
              <w:spacing w:lineRule="atLeast" w:line="160" w:before="0" w:after="0"/>
              <w:jc w:val="left"/>
              <w:rPr/>
            </w:pPr>
            <w:hyperlink r:id="rId56">
              <w:r>
                <w:rPr>
                  <w:rStyle w:val="InternetLink"/>
                  <w:rFonts w:ascii="Times New Roman;serif" w:hAnsi="Times New Roman;serif"/>
                  <w:b w:val="false"/>
                  <w:i w:val="false"/>
                  <w:caps w:val="false"/>
                  <w:smallCaps w:val="false"/>
                  <w:color w:val="0000FF"/>
                  <w:sz w:val="16"/>
                  <w:u w:val="single"/>
                </w:rPr>
                <w:t xml:space="preserve">Form of Stock Option Agreement under Amended and Restated 2006 Stock and </w:t>
              </w:r>
            </w:hyperlink>
          </w:p>
          <w:p>
            <w:pPr>
              <w:pStyle w:val="TableContents"/>
              <w:bidi w:val="0"/>
              <w:spacing w:lineRule="atLeast" w:line="160" w:before="0" w:after="0"/>
              <w:jc w:val="left"/>
              <w:rPr/>
            </w:pPr>
            <w:hyperlink r:id="rId57">
              <w:r>
                <w:rPr>
                  <w:rStyle w:val="InternetLink"/>
                  <w:rFonts w:ascii="Times New Roman;serif" w:hAnsi="Times New Roman;serif"/>
                  <w:b w:val="false"/>
                  <w:i w:val="false"/>
                  <w:caps w:val="false"/>
                  <w:smallCaps w:val="false"/>
                  <w:color w:val="0000FF"/>
                  <w:sz w:val="16"/>
                  <w:u w:val="single"/>
                </w:rPr>
                <w:t>Option Plan (granted on or after July 30, 2013).*</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10.20)</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2015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10.16</w:t>
            </w:r>
          </w:p>
        </w:tc>
        <w:tc>
          <w:tcPr>
            <w:tcW w:w="5318" w:type="dxa"/>
            <w:tcBorders/>
            <w:vAlign w:val="center"/>
          </w:tcPr>
          <w:p>
            <w:pPr>
              <w:pStyle w:val="TableContents"/>
              <w:bidi w:val="0"/>
              <w:spacing w:lineRule="atLeast" w:line="160" w:before="0" w:after="0"/>
              <w:jc w:val="left"/>
              <w:rPr/>
            </w:pPr>
            <w:hyperlink r:id="rId58">
              <w:r>
                <w:rPr>
                  <w:rStyle w:val="InternetLink"/>
                  <w:rFonts w:ascii="Times New Roman;serif" w:hAnsi="Times New Roman;serif"/>
                  <w:b w:val="false"/>
                  <w:i w:val="false"/>
                  <w:caps w:val="false"/>
                  <w:smallCaps w:val="false"/>
                  <w:color w:val="0000FF"/>
                  <w:sz w:val="16"/>
                  <w:u w:val="single"/>
                </w:rPr>
                <w:t>Amended and Restated 2013 Stock and Option 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 14A</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(Appendix A)</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April 7, 2022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10.17</w:t>
            </w:r>
          </w:p>
        </w:tc>
        <w:tc>
          <w:tcPr>
            <w:tcW w:w="5318" w:type="dxa"/>
            <w:tcBorders/>
            <w:vAlign w:val="center"/>
          </w:tcPr>
          <w:p>
            <w:pPr>
              <w:pStyle w:val="TableContents"/>
              <w:bidi w:val="0"/>
              <w:spacing w:lineRule="atLeast" w:line="160" w:before="0" w:after="0"/>
              <w:jc w:val="left"/>
              <w:rPr/>
            </w:pPr>
            <w:hyperlink r:id="rId59">
              <w:r>
                <w:rPr>
                  <w:rStyle w:val="InternetLink"/>
                  <w:rFonts w:ascii="Times New Roman;serif" w:hAnsi="Times New Roman;serif"/>
                  <w:b w:val="false"/>
                  <w:i w:val="false"/>
                  <w:caps w:val="false"/>
                  <w:smallCaps w:val="false"/>
                  <w:color w:val="0000FF"/>
                  <w:sz w:val="16"/>
                  <w:u w:val="single"/>
                </w:rPr>
                <w:t xml:space="preserve">Form of Non-Qualified Stock Option Agreement under 2013 Stock and Option </w:t>
              </w:r>
            </w:hyperlink>
          </w:p>
          <w:p>
            <w:pPr>
              <w:pStyle w:val="TableContents"/>
              <w:bidi w:val="0"/>
              <w:spacing w:lineRule="atLeast" w:line="160" w:before="0" w:after="0"/>
              <w:jc w:val="left"/>
              <w:rPr/>
            </w:pPr>
            <w:hyperlink r:id="rId60">
              <w:r>
                <w:rPr>
                  <w:rStyle w:val="InternetLink"/>
                  <w:rFonts w:ascii="Times New Roman;serif" w:hAnsi="Times New Roman;serif"/>
                  <w:b w:val="false"/>
                  <w:i w:val="false"/>
                  <w:caps w:val="false"/>
                  <w:smallCaps w:val="false"/>
                  <w:color w:val="0000FF"/>
                  <w:sz w:val="16"/>
                  <w:u w:val="single"/>
                </w:rPr>
                <w:t>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10.17)</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2015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10.18</w:t>
            </w:r>
          </w:p>
        </w:tc>
        <w:tc>
          <w:tcPr>
            <w:tcW w:w="5318" w:type="dxa"/>
            <w:tcBorders/>
            <w:vAlign w:val="center"/>
          </w:tcPr>
          <w:p>
            <w:pPr>
              <w:pStyle w:val="TableContents"/>
              <w:bidi w:val="0"/>
              <w:spacing w:lineRule="atLeast" w:line="160" w:before="0" w:after="0"/>
              <w:jc w:val="left"/>
              <w:rPr/>
            </w:pPr>
            <w:hyperlink r:id="rId61">
              <w:r>
                <w:rPr>
                  <w:rStyle w:val="InternetLink"/>
                  <w:rFonts w:ascii="Times New Roman;serif" w:hAnsi="Times New Roman;serif"/>
                  <w:b w:val="false"/>
                  <w:i w:val="false"/>
                  <w:caps w:val="false"/>
                  <w:smallCaps w:val="false"/>
                  <w:color w:val="0000FF"/>
                  <w:sz w:val="16"/>
                  <w:u w:val="single"/>
                </w:rPr>
                <w:t xml:space="preserve">Form of Restricted Stock Unit Agreement under 2013 Stock and Option Plan </w:t>
              </w:r>
            </w:hyperlink>
          </w:p>
          <w:p>
            <w:pPr>
              <w:pStyle w:val="TableContents"/>
              <w:bidi w:val="0"/>
              <w:spacing w:lineRule="atLeast" w:line="160" w:before="0" w:after="0"/>
              <w:jc w:val="left"/>
              <w:rPr/>
            </w:pPr>
            <w:hyperlink r:id="rId62">
              <w:r>
                <w:rPr>
                  <w:rStyle w:val="InternetLink"/>
                  <w:rFonts w:ascii="Times New Roman;serif" w:hAnsi="Times New Roman;serif"/>
                  <w:b w:val="false"/>
                  <w:i w:val="false"/>
                  <w:caps w:val="false"/>
                  <w:smallCaps w:val="false"/>
                  <w:color w:val="0000FF"/>
                  <w:sz w:val="16"/>
                  <w:u w:val="single"/>
                </w:rPr>
                <w:t>(U.S.).*</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10.25)</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16, 2016</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10.19</w:t>
            </w:r>
          </w:p>
        </w:tc>
        <w:tc>
          <w:tcPr>
            <w:tcW w:w="5318" w:type="dxa"/>
            <w:tcBorders/>
            <w:vAlign w:val="center"/>
          </w:tcPr>
          <w:p>
            <w:pPr>
              <w:pStyle w:val="TableContents"/>
              <w:bidi w:val="0"/>
              <w:spacing w:lineRule="atLeast" w:line="160" w:before="0" w:after="0"/>
              <w:jc w:val="left"/>
              <w:rPr/>
            </w:pPr>
            <w:hyperlink r:id="rId63">
              <w:r>
                <w:rPr>
                  <w:rStyle w:val="InternetLink"/>
                  <w:rFonts w:ascii="Times New Roman;serif" w:hAnsi="Times New Roman;serif"/>
                  <w:b w:val="false"/>
                  <w:i w:val="false"/>
                  <w:caps w:val="false"/>
                  <w:smallCaps w:val="false"/>
                  <w:color w:val="0000FF"/>
                  <w:sz w:val="16"/>
                  <w:u w:val="single"/>
                </w:rPr>
                <w:t xml:space="preserve">Form of Restricted Stock Unit Agreement under 2013 Stock and Option Plan </w:t>
              </w:r>
            </w:hyperlink>
          </w:p>
          <w:p>
            <w:pPr>
              <w:pStyle w:val="TableContents"/>
              <w:bidi w:val="0"/>
              <w:spacing w:lineRule="atLeast" w:line="160" w:before="0" w:after="0"/>
              <w:jc w:val="left"/>
              <w:rPr/>
            </w:pPr>
            <w:hyperlink r:id="rId64">
              <w:r>
                <w:rPr>
                  <w:rStyle w:val="InternetLink"/>
                  <w:rFonts w:ascii="Times New Roman;serif" w:hAnsi="Times New Roman;serif"/>
                  <w:b w:val="false"/>
                  <w:i w:val="false"/>
                  <w:caps w:val="false"/>
                  <w:smallCaps w:val="false"/>
                  <w:color w:val="0000FF"/>
                  <w:sz w:val="16"/>
                  <w:u w:val="single"/>
                </w:rPr>
                <w:t>(International).*</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10.19)</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2015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10.20</w:t>
            </w:r>
          </w:p>
        </w:tc>
        <w:tc>
          <w:tcPr>
            <w:tcW w:w="5318" w:type="dxa"/>
            <w:tcBorders/>
            <w:vAlign w:val="center"/>
          </w:tcPr>
          <w:p>
            <w:pPr>
              <w:pStyle w:val="TableContents"/>
              <w:bidi w:val="0"/>
              <w:spacing w:lineRule="atLeast" w:line="160" w:before="0" w:after="0"/>
              <w:jc w:val="left"/>
              <w:rPr/>
            </w:pPr>
            <w:hyperlink r:id="rId65">
              <w:r>
                <w:rPr>
                  <w:rStyle w:val="InternetLink"/>
                  <w:rFonts w:ascii="Times New Roman;serif" w:hAnsi="Times New Roman;serif"/>
                  <w:b w:val="false"/>
                  <w:i w:val="false"/>
                  <w:caps w:val="false"/>
                  <w:smallCaps w:val="false"/>
                  <w:color w:val="0000FF"/>
                  <w:sz w:val="16"/>
                  <w:u w:val="single"/>
                </w:rPr>
                <w:t>Form of Restricted Stock Unit Agreement Under 2013 Stock and Option 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10.17)</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2020</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10.21</w:t>
            </w:r>
          </w:p>
        </w:tc>
        <w:tc>
          <w:tcPr>
            <w:tcW w:w="5318" w:type="dxa"/>
            <w:tcBorders/>
            <w:vAlign w:val="center"/>
          </w:tcPr>
          <w:p>
            <w:pPr>
              <w:pStyle w:val="TableContents"/>
              <w:bidi w:val="0"/>
              <w:spacing w:lineRule="atLeast" w:line="160" w:before="0" w:after="0"/>
              <w:jc w:val="left"/>
              <w:rPr/>
            </w:pPr>
            <w:hyperlink r:id="rId66">
              <w:r>
                <w:rPr>
                  <w:rStyle w:val="InternetLink"/>
                  <w:rFonts w:ascii="Times New Roman;serif" w:hAnsi="Times New Roman;serif"/>
                  <w:b w:val="false"/>
                  <w:i w:val="false"/>
                  <w:caps w:val="false"/>
                  <w:smallCaps w:val="false"/>
                  <w:color w:val="0000FF"/>
                  <w:sz w:val="16"/>
                  <w:u w:val="single"/>
                </w:rPr>
                <w:t xml:space="preserve">Form of Restricted Stock Unit Agreement under 2013 Stock and Option Plan </w:t>
              </w:r>
            </w:hyperlink>
          </w:p>
          <w:p>
            <w:pPr>
              <w:pStyle w:val="TableContents"/>
              <w:bidi w:val="0"/>
              <w:spacing w:lineRule="atLeast" w:line="160" w:before="0" w:after="0"/>
              <w:jc w:val="left"/>
              <w:rPr/>
            </w:pPr>
            <w:hyperlink r:id="rId67">
              <w:r>
                <w:rPr>
                  <w:rStyle w:val="InternetLink"/>
                  <w:rFonts w:ascii="Times New Roman;serif" w:hAnsi="Times New Roman;serif"/>
                  <w:b w:val="false"/>
                  <w:i w:val="false"/>
                  <w:caps w:val="false"/>
                  <w:smallCaps w:val="false"/>
                  <w:color w:val="0000FF"/>
                  <w:sz w:val="16"/>
                  <w:u w:val="single"/>
                </w:rPr>
                <w:t>(granted on or after January 1, 2025).*</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10.21)</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10.22</w:t>
            </w:r>
          </w:p>
        </w:tc>
        <w:tc>
          <w:tcPr>
            <w:tcW w:w="5318" w:type="dxa"/>
            <w:tcBorders/>
            <w:vAlign w:val="center"/>
          </w:tcPr>
          <w:p>
            <w:pPr>
              <w:pStyle w:val="TableContents"/>
              <w:bidi w:val="0"/>
              <w:spacing w:lineRule="atLeast" w:line="160" w:before="0" w:after="0"/>
              <w:jc w:val="left"/>
              <w:rPr/>
            </w:pPr>
            <w:hyperlink r:id="rId68">
              <w:r>
                <w:rPr>
                  <w:rStyle w:val="InternetLink"/>
                  <w:rFonts w:ascii="Times New Roman;serif" w:hAnsi="Times New Roman;serif"/>
                  <w:b w:val="false"/>
                  <w:i w:val="false"/>
                  <w:caps w:val="false"/>
                  <w:smallCaps w:val="false"/>
                  <w:color w:val="0000FF"/>
                  <w:sz w:val="16"/>
                  <w:u w:val="single"/>
                </w:rPr>
                <w:t xml:space="preserve">Form of Restricted Stock Unit Agreement (with performance conditions) under </w:t>
              </w:r>
            </w:hyperlink>
          </w:p>
          <w:p>
            <w:pPr>
              <w:pStyle w:val="TableContents"/>
              <w:bidi w:val="0"/>
              <w:spacing w:lineRule="atLeast" w:line="160" w:before="0" w:after="0"/>
              <w:jc w:val="left"/>
              <w:rPr/>
            </w:pPr>
            <w:hyperlink r:id="rId69">
              <w:r>
                <w:rPr>
                  <w:rStyle w:val="InternetLink"/>
                  <w:rFonts w:ascii="Times New Roman;serif" w:hAnsi="Times New Roman;serif"/>
                  <w:b w:val="false"/>
                  <w:i w:val="false"/>
                  <w:caps w:val="false"/>
                  <w:smallCaps w:val="false"/>
                  <w:color w:val="0000FF"/>
                  <w:sz w:val="16"/>
                  <w:u w:val="single"/>
                </w:rPr>
                <w:t>2013 Stock and Option 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10.22)</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10.23</w:t>
            </w:r>
          </w:p>
        </w:tc>
        <w:tc>
          <w:tcPr>
            <w:tcW w:w="5318" w:type="dxa"/>
            <w:tcBorders/>
            <w:vAlign w:val="center"/>
          </w:tcPr>
          <w:p>
            <w:pPr>
              <w:pStyle w:val="TableContents"/>
              <w:bidi w:val="0"/>
              <w:spacing w:lineRule="atLeast" w:line="160" w:before="0" w:after="0"/>
              <w:jc w:val="left"/>
              <w:rPr/>
            </w:pPr>
            <w:hyperlink r:id="rId70">
              <w:r>
                <w:rPr>
                  <w:rStyle w:val="InternetLink"/>
                  <w:rFonts w:ascii="Times New Roman;serif" w:hAnsi="Times New Roman;serif"/>
                  <w:b w:val="false"/>
                  <w:i w:val="false"/>
                  <w:caps w:val="false"/>
                  <w:smallCaps w:val="false"/>
                  <w:color w:val="0000FF"/>
                  <w:sz w:val="16"/>
                  <w:u w:val="single"/>
                </w:rPr>
                <w:t>Non-Employee Director Deferred Compensation 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10.27)</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16, 2016</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10.24</w:t>
            </w:r>
          </w:p>
        </w:tc>
        <w:tc>
          <w:tcPr>
            <w:tcW w:w="5318" w:type="dxa"/>
            <w:tcBorders/>
            <w:vAlign w:val="center"/>
          </w:tcPr>
          <w:p>
            <w:pPr>
              <w:pStyle w:val="TableContents"/>
              <w:bidi w:val="0"/>
              <w:spacing w:lineRule="atLeast" w:line="160" w:before="0" w:after="0"/>
              <w:jc w:val="left"/>
              <w:rPr/>
            </w:pPr>
            <w:hyperlink r:id="rId71">
              <w:r>
                <w:rPr>
                  <w:rStyle w:val="InternetLink"/>
                  <w:rFonts w:ascii="Times New Roman;serif" w:hAnsi="Times New Roman;serif"/>
                  <w:b w:val="false"/>
                  <w:i w:val="false"/>
                  <w:caps w:val="false"/>
                  <w:smallCaps w:val="false"/>
                  <w:color w:val="0000FF"/>
                  <w:sz w:val="16"/>
                  <w:u w:val="single"/>
                </w:rPr>
                <w:t>Vertex Pharmaceuticals Incorporated Employee Stock Purchase Plan.*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 14A</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(Appendix B)</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April 26, 2019</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595" w:type="dxa"/>
            <w:gridSpan w:val="3"/>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Agreements with Executive Officers and Directors</w:t>
            </w:r>
          </w:p>
        </w:tc>
        <w:tc>
          <w:tcPr>
            <w:tcW w:w="133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w:t>
            </w:r>
          </w:p>
        </w:tc>
        <w:tc>
          <w:tcPr>
            <w:tcW w:w="5318" w:type="dxa"/>
            <w:tcBorders/>
            <w:vAlign w:val="center"/>
          </w:tcPr>
          <w:p>
            <w:pPr>
              <w:pStyle w:val="TableContents"/>
              <w:bidi w:val="0"/>
              <w:spacing w:lineRule="atLeast" w:line="160" w:before="0" w:after="0"/>
              <w:jc w:val="left"/>
              <w:rPr/>
            </w:pPr>
            <w:hyperlink r:id="rId72">
              <w:r>
                <w:rPr>
                  <w:rStyle w:val="InternetLink"/>
                  <w:rFonts w:ascii="Times New Roman;serif" w:hAnsi="Times New Roman;serif"/>
                  <w:b w:val="false"/>
                  <w:i w:val="false"/>
                  <w:caps w:val="false"/>
                  <w:smallCaps w:val="false"/>
                  <w:color w:val="0000FF"/>
                  <w:sz w:val="16"/>
                  <w:u w:val="single"/>
                </w:rPr>
                <w:t xml:space="preserve">Employment Agreement, dated as of April 1, 2020, by and between Vertex </w:t>
              </w:r>
            </w:hyperlink>
          </w:p>
          <w:p>
            <w:pPr>
              <w:pStyle w:val="TableContents"/>
              <w:bidi w:val="0"/>
              <w:spacing w:lineRule="atLeast" w:line="160" w:before="0" w:after="0"/>
              <w:jc w:val="left"/>
              <w:rPr/>
            </w:pPr>
            <w:hyperlink r:id="rId73">
              <w:r>
                <w:rPr>
                  <w:rStyle w:val="InternetLink"/>
                  <w:rFonts w:ascii="Times New Roman;serif" w:hAnsi="Times New Roman;serif"/>
                  <w:b w:val="false"/>
                  <w:i w:val="false"/>
                  <w:caps w:val="false"/>
                  <w:smallCaps w:val="false"/>
                  <w:color w:val="0000FF"/>
                  <w:sz w:val="16"/>
                  <w:u w:val="single"/>
                </w:rPr>
                <w:t>Pharmaceuticals Incorporated and Jeffrey M. Leiden, M.D., Ph.D.*</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April 1, 2020</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10.26</w:t>
            </w:r>
          </w:p>
        </w:tc>
        <w:tc>
          <w:tcPr>
            <w:tcW w:w="5318" w:type="dxa"/>
            <w:tcBorders/>
            <w:vAlign w:val="center"/>
          </w:tcPr>
          <w:p>
            <w:pPr>
              <w:pStyle w:val="TableContents"/>
              <w:bidi w:val="0"/>
              <w:spacing w:lineRule="atLeast" w:line="160" w:before="0" w:after="0"/>
              <w:jc w:val="left"/>
              <w:rPr/>
            </w:pPr>
            <w:hyperlink r:id="rId74">
              <w:r>
                <w:rPr>
                  <w:rStyle w:val="InternetLink"/>
                  <w:rFonts w:ascii="Times New Roman;serif" w:hAnsi="Times New Roman;serif"/>
                  <w:b w:val="false"/>
                  <w:i w:val="false"/>
                  <w:caps w:val="false"/>
                  <w:smallCaps w:val="false"/>
                  <w:color w:val="0000FF"/>
                  <w:sz w:val="16"/>
                  <w:u w:val="single"/>
                </w:rPr>
                <w:t xml:space="preserve">Amendment No. 1 to Employment Agreement, between Jeffrey M. Leiden and </w:t>
              </w:r>
            </w:hyperlink>
          </w:p>
          <w:p>
            <w:pPr>
              <w:pStyle w:val="TableContents"/>
              <w:bidi w:val="0"/>
              <w:spacing w:lineRule="atLeast" w:line="160" w:before="0" w:after="0"/>
              <w:jc w:val="left"/>
              <w:rPr/>
            </w:pPr>
            <w:hyperlink r:id="rId75">
              <w:r>
                <w:rPr>
                  <w:rStyle w:val="InternetLink"/>
                  <w:rFonts w:ascii="Times New Roman;serif" w:hAnsi="Times New Roman;serif"/>
                  <w:b w:val="false"/>
                  <w:i w:val="false"/>
                  <w:caps w:val="false"/>
                  <w:smallCaps w:val="false"/>
                  <w:color w:val="0000FF"/>
                  <w:sz w:val="16"/>
                  <w:u w:val="single"/>
                </w:rPr>
                <w:t>Vertex Pharmaceuticals Incorporated, dated as of February 7, 2022.*</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10.24)</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9, 2022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10.27</w:t>
            </w:r>
          </w:p>
        </w:tc>
        <w:tc>
          <w:tcPr>
            <w:tcW w:w="5318" w:type="dxa"/>
            <w:tcBorders/>
            <w:vAlign w:val="center"/>
          </w:tcPr>
          <w:p>
            <w:pPr>
              <w:pStyle w:val="TableContents"/>
              <w:bidi w:val="0"/>
              <w:spacing w:lineRule="atLeast" w:line="160" w:before="0" w:after="0"/>
              <w:jc w:val="left"/>
              <w:rPr/>
            </w:pPr>
            <w:hyperlink r:id="rId76">
              <w:r>
                <w:rPr>
                  <w:rStyle w:val="InternetLink"/>
                  <w:rFonts w:ascii="Times New Roman;serif" w:hAnsi="Times New Roman;serif"/>
                  <w:b w:val="false"/>
                  <w:i w:val="false"/>
                  <w:caps w:val="false"/>
                  <w:smallCaps w:val="false"/>
                  <w:color w:val="0000FF"/>
                  <w:sz w:val="16"/>
                  <w:u w:val="single"/>
                </w:rPr>
                <w:t xml:space="preserve">Amendment No. 2 to Employment Agreement, between Jeffrey M. Leiden and </w:t>
              </w:r>
            </w:hyperlink>
          </w:p>
          <w:p>
            <w:pPr>
              <w:pStyle w:val="TableContents"/>
              <w:bidi w:val="0"/>
              <w:spacing w:lineRule="atLeast" w:line="160" w:before="0" w:after="0"/>
              <w:jc w:val="left"/>
              <w:rPr/>
            </w:pPr>
            <w:hyperlink r:id="rId77">
              <w:r>
                <w:rPr>
                  <w:rStyle w:val="InternetLink"/>
                  <w:rFonts w:ascii="Times New Roman;serif" w:hAnsi="Times New Roman;serif"/>
                  <w:b w:val="false"/>
                  <w:i w:val="false"/>
                  <w:caps w:val="false"/>
                  <w:smallCaps w:val="false"/>
                  <w:color w:val="0000FF"/>
                  <w:sz w:val="16"/>
                  <w:u w:val="single"/>
                </w:rPr>
                <w:t>Vertex Pharmaceuticals Incorporated, dated as of February 8, 2023*</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10.23)</w:t>
            </w:r>
          </w:p>
        </w:tc>
        <w:tc>
          <w:tcPr>
            <w:tcW w:w="136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10, 2023</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bl>
      <w:tblPr>
        <w:tblW w:w="10205" w:type="dxa"/>
        <w:jc w:val="left"/>
        <w:tblInd w:w="0" w:type="dxa"/>
        <w:tblLayout w:type="fixed"/>
        <w:tblCellMar>
          <w:top w:w="28" w:type="dxa"/>
          <w:left w:w="28" w:type="dxa"/>
          <w:bottom w:w="28" w:type="dxa"/>
          <w:right w:w="28" w:type="dxa"/>
        </w:tblCellMar>
      </w:tblPr>
      <w:tblGrid>
        <w:gridCol w:w="706"/>
        <w:gridCol w:w="5319"/>
        <w:gridCol w:w="571"/>
        <w:gridCol w:w="1339"/>
        <w:gridCol w:w="1360"/>
        <w:gridCol w:w="910"/>
      </w:tblGrid>
      <w:tr>
        <w:trPr/>
        <w:tc>
          <w:tcPr>
            <w:tcW w:w="706" w:type="dxa"/>
            <w:tcBorders/>
            <w:vAlign w:val="center"/>
          </w:tcPr>
          <w:p>
            <w:pPr>
              <w:pStyle w:val="TableContents"/>
              <w:bidi w:val="0"/>
              <w:spacing w:before="0" w:after="283"/>
              <w:jc w:val="left"/>
              <w:rPr>
                <w:sz w:val="4"/>
                <w:szCs w:val="4"/>
              </w:rPr>
            </w:pPr>
            <w:r>
              <w:rPr>
                <w:sz w:val="4"/>
                <w:szCs w:val="4"/>
              </w:rPr>
            </w:r>
          </w:p>
        </w:tc>
        <w:tc>
          <w:tcPr>
            <w:tcW w:w="53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531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with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this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report</w:t>
            </w:r>
          </w:p>
        </w:tc>
        <w:tc>
          <w:tcPr>
            <w:tcW w:w="133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Incorporated by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Reference herein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from—Form or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Schedule</w:t>
            </w:r>
          </w:p>
        </w:tc>
        <w:tc>
          <w:tcPr>
            <w:tcW w:w="136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Filing Date/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Period Covered</w:t>
            </w:r>
          </w:p>
        </w:tc>
        <w:tc>
          <w:tcPr>
            <w:tcW w:w="91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 File/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Reg.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10.28</w:t>
            </w:r>
          </w:p>
        </w:tc>
        <w:tc>
          <w:tcPr>
            <w:tcW w:w="5319" w:type="dxa"/>
            <w:tcBorders/>
            <w:vAlign w:val="center"/>
          </w:tcPr>
          <w:p>
            <w:pPr>
              <w:pStyle w:val="TableContents"/>
              <w:bidi w:val="0"/>
              <w:spacing w:lineRule="atLeast" w:line="160" w:before="0" w:after="0"/>
              <w:jc w:val="left"/>
              <w:rPr/>
            </w:pPr>
            <w:hyperlink r:id="rId78">
              <w:r>
                <w:rPr>
                  <w:rStyle w:val="InternetLink"/>
                  <w:rFonts w:ascii="Times New Roman;serif" w:hAnsi="Times New Roman;serif"/>
                  <w:b w:val="false"/>
                  <w:i w:val="false"/>
                  <w:caps w:val="false"/>
                  <w:smallCaps w:val="false"/>
                  <w:color w:val="0000FF"/>
                  <w:sz w:val="16"/>
                  <w:u w:val="single"/>
                </w:rPr>
                <w:t xml:space="preserve">Amendment No.3 to Employment Agreement, between Jeffrey M. Leiden and </w:t>
              </w:r>
            </w:hyperlink>
          </w:p>
          <w:p>
            <w:pPr>
              <w:pStyle w:val="TableContents"/>
              <w:bidi w:val="0"/>
              <w:spacing w:lineRule="atLeast" w:line="160" w:before="0" w:after="0"/>
              <w:jc w:val="left"/>
              <w:rPr/>
            </w:pPr>
            <w:hyperlink r:id="rId79">
              <w:r>
                <w:rPr>
                  <w:rStyle w:val="InternetLink"/>
                  <w:rFonts w:ascii="Times New Roman;serif" w:hAnsi="Times New Roman;serif"/>
                  <w:b w:val="false"/>
                  <w:i w:val="false"/>
                  <w:caps w:val="false"/>
                  <w:smallCaps w:val="false"/>
                  <w:color w:val="0000FF"/>
                  <w:sz w:val="16"/>
                  <w:u w:val="single"/>
                </w:rPr>
                <w:t>Vertex Pharmaceuticals Incorporated, dated as of November 1, 2024.*</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5,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10.29</w:t>
            </w:r>
          </w:p>
        </w:tc>
        <w:tc>
          <w:tcPr>
            <w:tcW w:w="5319" w:type="dxa"/>
            <w:tcBorders/>
            <w:vAlign w:val="center"/>
          </w:tcPr>
          <w:p>
            <w:pPr>
              <w:pStyle w:val="TableContents"/>
              <w:bidi w:val="0"/>
              <w:spacing w:lineRule="atLeast" w:line="160" w:before="0" w:after="0"/>
              <w:jc w:val="left"/>
              <w:rPr/>
            </w:pPr>
            <w:hyperlink r:id="rId80">
              <w:r>
                <w:rPr>
                  <w:rStyle w:val="InternetLink"/>
                  <w:rFonts w:ascii="Times New Roman;serif" w:hAnsi="Times New Roman;serif"/>
                  <w:b w:val="false"/>
                  <w:i w:val="false"/>
                  <w:caps w:val="false"/>
                  <w:smallCaps w:val="false"/>
                  <w:color w:val="0000FF"/>
                  <w:sz w:val="16"/>
                  <w:u w:val="single"/>
                </w:rPr>
                <w:t xml:space="preserve">Employee Non-disclosure, Non-competition and Inventions Agreement between </w:t>
              </w:r>
            </w:hyperlink>
          </w:p>
          <w:p>
            <w:pPr>
              <w:pStyle w:val="TableContents"/>
              <w:bidi w:val="0"/>
              <w:spacing w:lineRule="atLeast" w:line="160" w:before="0" w:after="0"/>
              <w:jc w:val="left"/>
              <w:rPr/>
            </w:pPr>
            <w:hyperlink r:id="rId81">
              <w:r>
                <w:rPr>
                  <w:rStyle w:val="InternetLink"/>
                  <w:rFonts w:ascii="Times New Roman;serif" w:hAnsi="Times New Roman;serif"/>
                  <w:b w:val="false"/>
                  <w:i w:val="false"/>
                  <w:caps w:val="false"/>
                  <w:smallCaps w:val="false"/>
                  <w:color w:val="0000FF"/>
                  <w:sz w:val="16"/>
                  <w:u w:val="single"/>
                </w:rPr>
                <w:t xml:space="preserve">Jeffrey M. Leiden and Vertex Pharmaceuticals Incorporated, dated December 14, </w:t>
              </w:r>
            </w:hyperlink>
          </w:p>
          <w:p>
            <w:pPr>
              <w:pStyle w:val="TableContents"/>
              <w:bidi w:val="0"/>
              <w:spacing w:lineRule="atLeast" w:line="160" w:before="0" w:after="0"/>
              <w:jc w:val="left"/>
              <w:rPr/>
            </w:pPr>
            <w:hyperlink r:id="rId82">
              <w:r>
                <w:rPr>
                  <w:rStyle w:val="InternetLink"/>
                  <w:rFonts w:ascii="Times New Roman;serif" w:hAnsi="Times New Roman;serif"/>
                  <w:b w:val="false"/>
                  <w:i w:val="false"/>
                  <w:caps w:val="false"/>
                  <w:smallCaps w:val="false"/>
                  <w:color w:val="0000FF"/>
                  <w:sz w:val="16"/>
                  <w:u w:val="single"/>
                </w:rPr>
                <w:t>2011.*</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10.35)</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22, 2012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10.30</w:t>
            </w:r>
          </w:p>
        </w:tc>
        <w:tc>
          <w:tcPr>
            <w:tcW w:w="5319" w:type="dxa"/>
            <w:tcBorders/>
            <w:vAlign w:val="center"/>
          </w:tcPr>
          <w:p>
            <w:pPr>
              <w:pStyle w:val="TableContents"/>
              <w:bidi w:val="0"/>
              <w:spacing w:lineRule="atLeast" w:line="160" w:before="0" w:after="0"/>
              <w:jc w:val="left"/>
              <w:rPr/>
            </w:pPr>
            <w:hyperlink r:id="rId83">
              <w:r>
                <w:rPr>
                  <w:rStyle w:val="InternetLink"/>
                  <w:rFonts w:ascii="Times New Roman;serif" w:hAnsi="Times New Roman;serif"/>
                  <w:b w:val="false"/>
                  <w:i w:val="false"/>
                  <w:caps w:val="false"/>
                  <w:smallCaps w:val="false"/>
                  <w:color w:val="0000FF"/>
                  <w:sz w:val="16"/>
                  <w:u w:val="single"/>
                </w:rPr>
                <w:t xml:space="preserve">Employment Agreement, dated as of July 24, 2019, between Vertex </w:t>
              </w:r>
            </w:hyperlink>
          </w:p>
          <w:p>
            <w:pPr>
              <w:pStyle w:val="TableContents"/>
              <w:bidi w:val="0"/>
              <w:spacing w:lineRule="atLeast" w:line="160" w:before="0" w:after="0"/>
              <w:jc w:val="left"/>
              <w:rPr/>
            </w:pPr>
            <w:hyperlink r:id="rId84">
              <w:r>
                <w:rPr>
                  <w:rStyle w:val="InternetLink"/>
                  <w:rFonts w:ascii="Times New Roman;serif" w:hAnsi="Times New Roman;serif"/>
                  <w:b w:val="false"/>
                  <w:i w:val="false"/>
                  <w:caps w:val="false"/>
                  <w:smallCaps w:val="false"/>
                  <w:color w:val="0000FF"/>
                  <w:sz w:val="16"/>
                  <w:u w:val="single"/>
                </w:rPr>
                <w:t>Pharmaceuticals Incorporated and Reshma Kewalramani.*</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8-K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July 25, 2019</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10.31</w:t>
            </w:r>
          </w:p>
        </w:tc>
        <w:tc>
          <w:tcPr>
            <w:tcW w:w="5319" w:type="dxa"/>
            <w:tcBorders/>
            <w:vAlign w:val="center"/>
          </w:tcPr>
          <w:p>
            <w:pPr>
              <w:pStyle w:val="TableContents"/>
              <w:bidi w:val="0"/>
              <w:spacing w:lineRule="atLeast" w:line="160" w:before="0" w:after="0"/>
              <w:jc w:val="left"/>
              <w:rPr/>
            </w:pPr>
            <w:hyperlink r:id="rId85">
              <w:r>
                <w:rPr>
                  <w:rStyle w:val="InternetLink"/>
                  <w:rFonts w:ascii="Times New Roman;serif" w:hAnsi="Times New Roman;serif"/>
                  <w:b w:val="false"/>
                  <w:i w:val="false"/>
                  <w:caps w:val="false"/>
                  <w:smallCaps w:val="false"/>
                  <w:color w:val="0000FF"/>
                  <w:sz w:val="16"/>
                  <w:u w:val="single"/>
                </w:rPr>
                <w:t xml:space="preserve">Change of Control Agreement, dated as of July 24, 2019, between Vertex </w:t>
              </w:r>
            </w:hyperlink>
          </w:p>
          <w:p>
            <w:pPr>
              <w:pStyle w:val="TableContents"/>
              <w:bidi w:val="0"/>
              <w:spacing w:lineRule="atLeast" w:line="160" w:before="0" w:after="0"/>
              <w:jc w:val="left"/>
              <w:rPr/>
            </w:pPr>
            <w:hyperlink r:id="rId86">
              <w:r>
                <w:rPr>
                  <w:rStyle w:val="InternetLink"/>
                  <w:rFonts w:ascii="Times New Roman;serif" w:hAnsi="Times New Roman;serif"/>
                  <w:b w:val="false"/>
                  <w:i w:val="false"/>
                  <w:caps w:val="false"/>
                  <w:smallCaps w:val="false"/>
                  <w:color w:val="0000FF"/>
                  <w:sz w:val="16"/>
                  <w:u w:val="single"/>
                </w:rPr>
                <w:t>Pharmaceuticals Incorporated and Reshma Kewalramani.*</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8-K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July 25, 2019</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10.32</w:t>
            </w:r>
          </w:p>
        </w:tc>
        <w:tc>
          <w:tcPr>
            <w:tcW w:w="5319" w:type="dxa"/>
            <w:tcBorders/>
            <w:vAlign w:val="center"/>
          </w:tcPr>
          <w:p>
            <w:pPr>
              <w:pStyle w:val="TableContents"/>
              <w:bidi w:val="0"/>
              <w:spacing w:lineRule="atLeast" w:line="160" w:before="0" w:after="0"/>
              <w:jc w:val="left"/>
              <w:rPr/>
            </w:pPr>
            <w:hyperlink r:id="rId87">
              <w:r>
                <w:rPr>
                  <w:rStyle w:val="InternetLink"/>
                  <w:rFonts w:ascii="Times New Roman;serif" w:hAnsi="Times New Roman;serif"/>
                  <w:b w:val="false"/>
                  <w:i w:val="false"/>
                  <w:caps w:val="false"/>
                  <w:smallCaps w:val="false"/>
                  <w:color w:val="0000FF"/>
                  <w:sz w:val="16"/>
                  <w:u w:val="single"/>
                </w:rPr>
                <w:t xml:space="preserve">Employment Agreement, dated as of August 27, 2012, between Vertex </w:t>
              </w:r>
            </w:hyperlink>
          </w:p>
          <w:p>
            <w:pPr>
              <w:pStyle w:val="TableContents"/>
              <w:bidi w:val="0"/>
              <w:spacing w:lineRule="atLeast" w:line="160" w:before="0" w:after="0"/>
              <w:jc w:val="left"/>
              <w:rPr/>
            </w:pPr>
            <w:hyperlink r:id="rId88">
              <w:r>
                <w:rPr>
                  <w:rStyle w:val="InternetLink"/>
                  <w:rFonts w:ascii="Times New Roman;serif" w:hAnsi="Times New Roman;serif"/>
                  <w:b w:val="false"/>
                  <w:i w:val="false"/>
                  <w:caps w:val="false"/>
                  <w:smallCaps w:val="false"/>
                  <w:color w:val="0000FF"/>
                  <w:sz w:val="16"/>
                  <w:u w:val="single"/>
                </w:rPr>
                <w:t>Pharmaceuticals Incorporated and Stuart Arbuckle.*</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6, 2012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10.33</w:t>
            </w:r>
          </w:p>
        </w:tc>
        <w:tc>
          <w:tcPr>
            <w:tcW w:w="5319" w:type="dxa"/>
            <w:tcBorders/>
            <w:vAlign w:val="center"/>
          </w:tcPr>
          <w:p>
            <w:pPr>
              <w:pStyle w:val="TableContents"/>
              <w:bidi w:val="0"/>
              <w:spacing w:lineRule="atLeast" w:line="160" w:before="0" w:after="0"/>
              <w:jc w:val="left"/>
              <w:rPr/>
            </w:pPr>
            <w:hyperlink r:id="rId89">
              <w:r>
                <w:rPr>
                  <w:rStyle w:val="InternetLink"/>
                  <w:rFonts w:ascii="Times New Roman;serif" w:hAnsi="Times New Roman;serif"/>
                  <w:b w:val="false"/>
                  <w:i w:val="false"/>
                  <w:caps w:val="false"/>
                  <w:smallCaps w:val="false"/>
                  <w:color w:val="0000FF"/>
                  <w:sz w:val="16"/>
                  <w:u w:val="single"/>
                </w:rPr>
                <w:t xml:space="preserve">Change of Control Agreement, dated as of August 27, 2012, between Vertex </w:t>
              </w:r>
            </w:hyperlink>
          </w:p>
          <w:p>
            <w:pPr>
              <w:pStyle w:val="TableContents"/>
              <w:bidi w:val="0"/>
              <w:spacing w:lineRule="atLeast" w:line="160" w:before="0" w:after="0"/>
              <w:jc w:val="left"/>
              <w:rPr/>
            </w:pPr>
            <w:hyperlink r:id="rId90">
              <w:r>
                <w:rPr>
                  <w:rStyle w:val="InternetLink"/>
                  <w:rFonts w:ascii="Times New Roman;serif" w:hAnsi="Times New Roman;serif"/>
                  <w:b w:val="false"/>
                  <w:i w:val="false"/>
                  <w:caps w:val="false"/>
                  <w:smallCaps w:val="false"/>
                  <w:color w:val="0000FF"/>
                  <w:sz w:val="16"/>
                  <w:u w:val="single"/>
                </w:rPr>
                <w:t>Pharmaceuticals Incorporated and Stuart Arbuckle.*</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10.2)</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November 6, 2012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10.34</w:t>
            </w:r>
          </w:p>
        </w:tc>
        <w:tc>
          <w:tcPr>
            <w:tcW w:w="5319" w:type="dxa"/>
            <w:tcBorders/>
            <w:vAlign w:val="center"/>
          </w:tcPr>
          <w:p>
            <w:pPr>
              <w:pStyle w:val="TableContents"/>
              <w:bidi w:val="0"/>
              <w:spacing w:lineRule="atLeast" w:line="160" w:before="0" w:after="0"/>
              <w:jc w:val="left"/>
              <w:rPr/>
            </w:pPr>
            <w:hyperlink r:id="rId91">
              <w:r>
                <w:rPr>
                  <w:rStyle w:val="InternetLink"/>
                  <w:rFonts w:ascii="Times New Roman;serif" w:hAnsi="Times New Roman;serif"/>
                  <w:b w:val="false"/>
                  <w:i w:val="false"/>
                  <w:caps w:val="false"/>
                  <w:smallCaps w:val="false"/>
                  <w:color w:val="0000FF"/>
                  <w:sz w:val="16"/>
                  <w:u w:val="single"/>
                </w:rPr>
                <w:t xml:space="preserve">Employment Agreement, dated as of December 12, 2014, between Vertex </w:t>
              </w:r>
            </w:hyperlink>
          </w:p>
          <w:p>
            <w:pPr>
              <w:pStyle w:val="TableContents"/>
              <w:bidi w:val="0"/>
              <w:spacing w:lineRule="atLeast" w:line="160" w:before="0" w:after="0"/>
              <w:jc w:val="left"/>
              <w:rPr/>
            </w:pPr>
            <w:hyperlink r:id="rId92">
              <w:r>
                <w:rPr>
                  <w:rStyle w:val="InternetLink"/>
                  <w:rFonts w:ascii="Times New Roman;serif" w:hAnsi="Times New Roman;serif"/>
                  <w:b w:val="false"/>
                  <w:i w:val="false"/>
                  <w:caps w:val="false"/>
                  <w:smallCaps w:val="false"/>
                  <w:color w:val="0000FF"/>
                  <w:sz w:val="16"/>
                  <w:u w:val="single"/>
                </w:rPr>
                <w:t>Pharmaceuticals Incorporated and David Altshuler.*</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10.34)</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16, 2016</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10.35</w:t>
            </w:r>
          </w:p>
        </w:tc>
        <w:tc>
          <w:tcPr>
            <w:tcW w:w="5319" w:type="dxa"/>
            <w:tcBorders/>
            <w:vAlign w:val="center"/>
          </w:tcPr>
          <w:p>
            <w:pPr>
              <w:pStyle w:val="TableContents"/>
              <w:bidi w:val="0"/>
              <w:spacing w:lineRule="atLeast" w:line="160" w:before="0" w:after="0"/>
              <w:jc w:val="left"/>
              <w:rPr/>
            </w:pPr>
            <w:hyperlink r:id="rId93">
              <w:r>
                <w:rPr>
                  <w:rStyle w:val="InternetLink"/>
                  <w:rFonts w:ascii="Times New Roman;serif" w:hAnsi="Times New Roman;serif"/>
                  <w:b w:val="false"/>
                  <w:i w:val="false"/>
                  <w:caps w:val="false"/>
                  <w:smallCaps w:val="false"/>
                  <w:color w:val="0000FF"/>
                  <w:sz w:val="16"/>
                  <w:u w:val="single"/>
                </w:rPr>
                <w:t xml:space="preserve">Change of Control Agreement, dated as of December 10, 2014, between Vertex </w:t>
              </w:r>
            </w:hyperlink>
          </w:p>
          <w:p>
            <w:pPr>
              <w:pStyle w:val="TableContents"/>
              <w:bidi w:val="0"/>
              <w:spacing w:lineRule="atLeast" w:line="160" w:before="0" w:after="0"/>
              <w:jc w:val="left"/>
              <w:rPr/>
            </w:pPr>
            <w:hyperlink r:id="rId94">
              <w:r>
                <w:rPr>
                  <w:rStyle w:val="InternetLink"/>
                  <w:rFonts w:ascii="Times New Roman;serif" w:hAnsi="Times New Roman;serif"/>
                  <w:b w:val="false"/>
                  <w:i w:val="false"/>
                  <w:caps w:val="false"/>
                  <w:smallCaps w:val="false"/>
                  <w:color w:val="0000FF"/>
                  <w:sz w:val="16"/>
                  <w:u w:val="single"/>
                </w:rPr>
                <w:t>Pharmaceuticals Incorporated and David Altshuler.*</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10.35)</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16, 2016</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10.36</w:t>
            </w:r>
          </w:p>
        </w:tc>
        <w:tc>
          <w:tcPr>
            <w:tcW w:w="5319" w:type="dxa"/>
            <w:tcBorders/>
            <w:vAlign w:val="center"/>
          </w:tcPr>
          <w:p>
            <w:pPr>
              <w:pStyle w:val="TableContents"/>
              <w:bidi w:val="0"/>
              <w:spacing w:lineRule="atLeast" w:line="160" w:before="0" w:after="0"/>
              <w:jc w:val="left"/>
              <w:rPr/>
            </w:pPr>
            <w:hyperlink r:id="rId95">
              <w:r>
                <w:rPr>
                  <w:rStyle w:val="InternetLink"/>
                  <w:rFonts w:ascii="Times New Roman;serif" w:hAnsi="Times New Roman;serif"/>
                  <w:b w:val="false"/>
                  <w:i w:val="false"/>
                  <w:caps w:val="false"/>
                  <w:smallCaps w:val="false"/>
                  <w:color w:val="0000FF"/>
                  <w:sz w:val="16"/>
                  <w:u w:val="single"/>
                </w:rPr>
                <w:t xml:space="preserve">Third Amended and Restated Employment Agreement, dated as of February 26, </w:t>
              </w:r>
            </w:hyperlink>
          </w:p>
          <w:p>
            <w:pPr>
              <w:pStyle w:val="TableContents"/>
              <w:bidi w:val="0"/>
              <w:spacing w:lineRule="atLeast" w:line="160" w:before="0" w:after="0"/>
              <w:jc w:val="left"/>
              <w:rPr/>
            </w:pPr>
            <w:hyperlink r:id="rId96">
              <w:r>
                <w:rPr>
                  <w:rStyle w:val="InternetLink"/>
                  <w:rFonts w:ascii="Times New Roman;serif" w:hAnsi="Times New Roman;serif"/>
                  <w:b w:val="false"/>
                  <w:i w:val="false"/>
                  <w:caps w:val="false"/>
                  <w:smallCaps w:val="false"/>
                  <w:color w:val="0000FF"/>
                  <w:sz w:val="16"/>
                  <w:u w:val="single"/>
                </w:rPr>
                <w:t>2013, between Vertex Pharmaceuticals Incorporated and Amit Sachdev.*</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10.42)</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23, 2017</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10.37</w:t>
            </w:r>
          </w:p>
        </w:tc>
        <w:tc>
          <w:tcPr>
            <w:tcW w:w="5319" w:type="dxa"/>
            <w:tcBorders/>
            <w:vAlign w:val="center"/>
          </w:tcPr>
          <w:p>
            <w:pPr>
              <w:pStyle w:val="TableContents"/>
              <w:bidi w:val="0"/>
              <w:spacing w:lineRule="atLeast" w:line="160" w:before="0" w:after="0"/>
              <w:jc w:val="left"/>
              <w:rPr/>
            </w:pPr>
            <w:hyperlink r:id="rId97">
              <w:r>
                <w:rPr>
                  <w:rStyle w:val="InternetLink"/>
                  <w:rFonts w:ascii="Times New Roman;serif" w:hAnsi="Times New Roman;serif"/>
                  <w:b w:val="false"/>
                  <w:i w:val="false"/>
                  <w:caps w:val="false"/>
                  <w:smallCaps w:val="false"/>
                  <w:color w:val="0000FF"/>
                  <w:sz w:val="16"/>
                  <w:u w:val="single"/>
                </w:rPr>
                <w:t xml:space="preserve">Third Amended and Restated Change of Control Agreement, dated as of February </w:t>
              </w:r>
            </w:hyperlink>
          </w:p>
          <w:p>
            <w:pPr>
              <w:pStyle w:val="TableContents"/>
              <w:bidi w:val="0"/>
              <w:spacing w:lineRule="atLeast" w:line="160" w:before="0" w:after="0"/>
              <w:jc w:val="left"/>
              <w:rPr/>
            </w:pPr>
            <w:hyperlink r:id="rId98">
              <w:r>
                <w:rPr>
                  <w:rStyle w:val="InternetLink"/>
                  <w:rFonts w:ascii="Times New Roman;serif" w:hAnsi="Times New Roman;serif"/>
                  <w:b w:val="false"/>
                  <w:i w:val="false"/>
                  <w:caps w:val="false"/>
                  <w:smallCaps w:val="false"/>
                  <w:color w:val="0000FF"/>
                  <w:sz w:val="16"/>
                  <w:u w:val="single"/>
                </w:rPr>
                <w:t>26, 2013, between Vertex Pharmaceuticals Incorporated and Amit Sachdev.*</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10.43)</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23, 2017</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10.38</w:t>
            </w:r>
          </w:p>
        </w:tc>
        <w:tc>
          <w:tcPr>
            <w:tcW w:w="5319" w:type="dxa"/>
            <w:tcBorders/>
            <w:vAlign w:val="center"/>
          </w:tcPr>
          <w:p>
            <w:pPr>
              <w:pStyle w:val="TableContents"/>
              <w:bidi w:val="0"/>
              <w:spacing w:lineRule="atLeast" w:line="160" w:before="0" w:after="0"/>
              <w:jc w:val="left"/>
              <w:rPr/>
            </w:pPr>
            <w:hyperlink r:id="rId99">
              <w:r>
                <w:rPr>
                  <w:rStyle w:val="InternetLink"/>
                  <w:rFonts w:ascii="Times New Roman;serif" w:hAnsi="Times New Roman;serif"/>
                  <w:b w:val="false"/>
                  <w:i w:val="false"/>
                  <w:caps w:val="false"/>
                  <w:smallCaps w:val="false"/>
                  <w:color w:val="0000FF"/>
                  <w:sz w:val="16"/>
                  <w:u w:val="single"/>
                </w:rPr>
                <w:t xml:space="preserve">Employment Agreement, dated February 7, 2025, by and between Vertex </w:t>
              </w:r>
            </w:hyperlink>
          </w:p>
          <w:p>
            <w:pPr>
              <w:pStyle w:val="TableContents"/>
              <w:bidi w:val="0"/>
              <w:spacing w:lineRule="atLeast" w:line="160" w:before="0" w:after="0"/>
              <w:jc w:val="left"/>
              <w:rPr/>
            </w:pPr>
            <w:hyperlink r:id="rId100">
              <w:r>
                <w:rPr>
                  <w:rStyle w:val="InternetLink"/>
                  <w:rFonts w:ascii="Times New Roman;serif" w:hAnsi="Times New Roman;serif"/>
                  <w:b w:val="false"/>
                  <w:i w:val="false"/>
                  <w:caps w:val="false"/>
                  <w:smallCaps w:val="false"/>
                  <w:color w:val="0000FF"/>
                  <w:sz w:val="16"/>
                  <w:u w:val="single"/>
                </w:rPr>
                <w:t>Pharmaceuticals Incorporated and Charles F. Wagner, Jr.*</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10-Q</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10.1)</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May 6, 2025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10.39</w:t>
            </w:r>
          </w:p>
        </w:tc>
        <w:tc>
          <w:tcPr>
            <w:tcW w:w="5319" w:type="dxa"/>
            <w:tcBorders/>
            <w:vAlign w:val="center"/>
          </w:tcPr>
          <w:p>
            <w:pPr>
              <w:pStyle w:val="TableContents"/>
              <w:bidi w:val="0"/>
              <w:spacing w:lineRule="atLeast" w:line="160" w:before="0" w:after="0"/>
              <w:jc w:val="left"/>
              <w:rPr/>
            </w:pPr>
            <w:hyperlink r:id="rId101">
              <w:r>
                <w:rPr>
                  <w:rStyle w:val="InternetLink"/>
                  <w:rFonts w:ascii="Times New Roman;serif" w:hAnsi="Times New Roman;serif"/>
                  <w:b w:val="false"/>
                  <w:i w:val="false"/>
                  <w:caps w:val="false"/>
                  <w:smallCaps w:val="false"/>
                  <w:color w:val="0000FF"/>
                  <w:sz w:val="16"/>
                  <w:u w:val="single"/>
                </w:rPr>
                <w:t xml:space="preserve">Change of Control Agreement, dated as of February 7, 2025, by and between </w:t>
              </w:r>
            </w:hyperlink>
          </w:p>
          <w:p>
            <w:pPr>
              <w:pStyle w:val="TableContents"/>
              <w:bidi w:val="0"/>
              <w:spacing w:lineRule="atLeast" w:line="160" w:before="0" w:after="0"/>
              <w:jc w:val="left"/>
              <w:rPr/>
            </w:pPr>
            <w:hyperlink r:id="rId102">
              <w:r>
                <w:rPr>
                  <w:rStyle w:val="InternetLink"/>
                  <w:rFonts w:ascii="Times New Roman;serif" w:hAnsi="Times New Roman;serif"/>
                  <w:b w:val="false"/>
                  <w:i w:val="false"/>
                  <w:caps w:val="false"/>
                  <w:smallCaps w:val="false"/>
                  <w:color w:val="0000FF"/>
                  <w:sz w:val="16"/>
                  <w:u w:val="single"/>
                </w:rPr>
                <w:t>Vertex Pharmaceuticals Incorporated and Charles F. Wagner, Jr.*</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10.39)</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10.40</w:t>
            </w:r>
          </w:p>
        </w:tc>
        <w:tc>
          <w:tcPr>
            <w:tcW w:w="5319" w:type="dxa"/>
            <w:tcBorders/>
            <w:vAlign w:val="center"/>
          </w:tcPr>
          <w:p>
            <w:pPr>
              <w:pStyle w:val="TableContents"/>
              <w:bidi w:val="0"/>
              <w:spacing w:lineRule="atLeast" w:line="160" w:before="0" w:after="0"/>
              <w:jc w:val="left"/>
              <w:rPr/>
            </w:pPr>
            <w:hyperlink r:id="rId103">
              <w:r>
                <w:rPr>
                  <w:rStyle w:val="InternetLink"/>
                  <w:rFonts w:ascii="Times New Roman;serif" w:hAnsi="Times New Roman;serif"/>
                  <w:b w:val="false"/>
                  <w:i w:val="false"/>
                  <w:caps w:val="false"/>
                  <w:smallCaps w:val="false"/>
                  <w:color w:val="0000FF"/>
                  <w:sz w:val="16"/>
                  <w:u w:val="single"/>
                </w:rPr>
                <w:t xml:space="preserve">Employment Agreement, dated August 1, 2020, by and between Vertex </w:t>
              </w:r>
            </w:hyperlink>
          </w:p>
          <w:p>
            <w:pPr>
              <w:pStyle w:val="TableContents"/>
              <w:bidi w:val="0"/>
              <w:spacing w:lineRule="atLeast" w:line="160" w:before="0" w:after="0"/>
              <w:jc w:val="left"/>
              <w:rPr/>
            </w:pPr>
            <w:hyperlink r:id="rId104">
              <w:r>
                <w:rPr>
                  <w:rStyle w:val="InternetLink"/>
                  <w:rFonts w:ascii="Times New Roman;serif" w:hAnsi="Times New Roman;serif"/>
                  <w:b w:val="false"/>
                  <w:i w:val="false"/>
                  <w:caps w:val="false"/>
                  <w:smallCaps w:val="false"/>
                  <w:color w:val="0000FF"/>
                  <w:sz w:val="16"/>
                  <w:u w:val="single"/>
                </w:rPr>
                <w:t>Pharmaceuticals Incorporated and Nia Tatsis.*</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10.36)</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9, 2022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10.41</w:t>
            </w:r>
          </w:p>
        </w:tc>
        <w:tc>
          <w:tcPr>
            <w:tcW w:w="5319" w:type="dxa"/>
            <w:tcBorders/>
            <w:vAlign w:val="center"/>
          </w:tcPr>
          <w:p>
            <w:pPr>
              <w:pStyle w:val="TableContents"/>
              <w:bidi w:val="0"/>
              <w:spacing w:lineRule="atLeast" w:line="160" w:before="0" w:after="0"/>
              <w:jc w:val="left"/>
              <w:rPr/>
            </w:pPr>
            <w:hyperlink r:id="rId105">
              <w:r>
                <w:rPr>
                  <w:rStyle w:val="InternetLink"/>
                  <w:rFonts w:ascii="Times New Roman;serif" w:hAnsi="Times New Roman;serif"/>
                  <w:b w:val="false"/>
                  <w:i w:val="false"/>
                  <w:caps w:val="false"/>
                  <w:smallCaps w:val="false"/>
                  <w:color w:val="0000FF"/>
                  <w:sz w:val="16"/>
                  <w:u w:val="single"/>
                </w:rPr>
                <w:t xml:space="preserve">Change of Control Agreement, dated August 1, 2020, by and between Vertex </w:t>
              </w:r>
            </w:hyperlink>
          </w:p>
          <w:p>
            <w:pPr>
              <w:pStyle w:val="TableContents"/>
              <w:bidi w:val="0"/>
              <w:spacing w:lineRule="atLeast" w:line="160" w:before="0" w:after="0"/>
              <w:jc w:val="left"/>
              <w:rPr/>
            </w:pPr>
            <w:hyperlink r:id="rId106">
              <w:r>
                <w:rPr>
                  <w:rStyle w:val="InternetLink"/>
                  <w:rFonts w:ascii="Times New Roman;serif" w:hAnsi="Times New Roman;serif"/>
                  <w:b w:val="false"/>
                  <w:i w:val="false"/>
                  <w:caps w:val="false"/>
                  <w:smallCaps w:val="false"/>
                  <w:color w:val="0000FF"/>
                  <w:sz w:val="16"/>
                  <w:u w:val="single"/>
                </w:rPr>
                <w:t>Pharmaceuticals Incorporated and Nia Tatsis.*</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10.37)</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9, 2022</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10.42</w:t>
            </w:r>
          </w:p>
        </w:tc>
        <w:tc>
          <w:tcPr>
            <w:tcW w:w="5319" w:type="dxa"/>
            <w:tcBorders/>
            <w:vAlign w:val="center"/>
          </w:tcPr>
          <w:p>
            <w:pPr>
              <w:pStyle w:val="TableContents"/>
              <w:bidi w:val="0"/>
              <w:spacing w:lineRule="atLeast" w:line="160" w:before="0" w:after="0"/>
              <w:jc w:val="left"/>
              <w:rPr/>
            </w:pPr>
            <w:hyperlink w:anchor="a10k_2025-exhibit1042.htm">
              <w:r>
                <w:rPr>
                  <w:rStyle w:val="InternetLink"/>
                  <w:rFonts w:ascii="Times New Roman;serif" w:hAnsi="Times New Roman;serif"/>
                  <w:b w:val="false"/>
                  <w:i w:val="false"/>
                  <w:caps w:val="false"/>
                  <w:smallCaps w:val="false"/>
                  <w:color w:val="0000FF"/>
                  <w:sz w:val="16"/>
                  <w:u w:val="single"/>
                </w:rPr>
                <w:t xml:space="preserve">Employment Agreement, dated October 3, 2022, by and between Vertex </w:t>
              </w:r>
            </w:hyperlink>
          </w:p>
          <w:p>
            <w:pPr>
              <w:pStyle w:val="TableContents"/>
              <w:bidi w:val="0"/>
              <w:spacing w:lineRule="atLeast" w:line="160" w:before="0" w:after="0"/>
              <w:jc w:val="left"/>
              <w:rPr/>
            </w:pPr>
            <w:hyperlink w:anchor="a10k_2025-exhibit1042.htm">
              <w:r>
                <w:rPr>
                  <w:rStyle w:val="InternetLink"/>
                  <w:rFonts w:ascii="Times New Roman;serif" w:hAnsi="Times New Roman;serif"/>
                  <w:b w:val="false"/>
                  <w:i w:val="false"/>
                  <w:caps w:val="false"/>
                  <w:smallCaps w:val="false"/>
                  <w:color w:val="0000FF"/>
                  <w:sz w:val="16"/>
                  <w:u w:val="single"/>
                </w:rPr>
                <w:t>Pharmaceuticals Incorporated and Carmen Bozic.*</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10.43</w:t>
            </w:r>
          </w:p>
        </w:tc>
        <w:tc>
          <w:tcPr>
            <w:tcW w:w="5319" w:type="dxa"/>
            <w:tcBorders/>
            <w:vAlign w:val="center"/>
          </w:tcPr>
          <w:p>
            <w:pPr>
              <w:pStyle w:val="TableContents"/>
              <w:bidi w:val="0"/>
              <w:spacing w:lineRule="atLeast" w:line="160" w:before="0" w:after="0"/>
              <w:jc w:val="left"/>
              <w:rPr/>
            </w:pPr>
            <w:hyperlink w:anchor="a10k_2025-exhibit1043.htm">
              <w:r>
                <w:rPr>
                  <w:rStyle w:val="InternetLink"/>
                  <w:rFonts w:ascii="Times New Roman;serif" w:hAnsi="Times New Roman;serif"/>
                  <w:b w:val="false"/>
                  <w:i w:val="false"/>
                  <w:caps w:val="false"/>
                  <w:smallCaps w:val="false"/>
                  <w:color w:val="0000FF"/>
                  <w:sz w:val="16"/>
                  <w:u w:val="single"/>
                </w:rPr>
                <w:t xml:space="preserve">Change of Control Agreement, dated October 3, 2022, by and between Vertex </w:t>
              </w:r>
            </w:hyperlink>
          </w:p>
          <w:p>
            <w:pPr>
              <w:pStyle w:val="TableContents"/>
              <w:bidi w:val="0"/>
              <w:spacing w:lineRule="atLeast" w:line="160" w:before="0" w:after="0"/>
              <w:jc w:val="left"/>
              <w:rPr/>
            </w:pPr>
            <w:hyperlink w:anchor="a10k_2025-exhibit1043.htm">
              <w:r>
                <w:rPr>
                  <w:rStyle w:val="InternetLink"/>
                  <w:rFonts w:ascii="Times New Roman;serif" w:hAnsi="Times New Roman;serif"/>
                  <w:b w:val="false"/>
                  <w:i w:val="false"/>
                  <w:caps w:val="false"/>
                  <w:smallCaps w:val="false"/>
                  <w:color w:val="0000FF"/>
                  <w:sz w:val="16"/>
                  <w:u w:val="single"/>
                </w:rPr>
                <w:t>Pharmaceuticals Incorporated and Carmen Bozic.*</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10.44</w:t>
            </w:r>
          </w:p>
        </w:tc>
        <w:tc>
          <w:tcPr>
            <w:tcW w:w="5319" w:type="dxa"/>
            <w:tcBorders/>
            <w:vAlign w:val="center"/>
          </w:tcPr>
          <w:p>
            <w:pPr>
              <w:pStyle w:val="TableContents"/>
              <w:bidi w:val="0"/>
              <w:spacing w:lineRule="atLeast" w:line="160" w:before="0" w:after="0"/>
              <w:jc w:val="left"/>
              <w:rPr/>
            </w:pPr>
            <w:hyperlink w:anchor="a10k_2025-exhibit1044.htm">
              <w:r>
                <w:rPr>
                  <w:rStyle w:val="InternetLink"/>
                  <w:rFonts w:ascii="Times New Roman;serif" w:hAnsi="Times New Roman;serif"/>
                  <w:b w:val="false"/>
                  <w:i w:val="false"/>
                  <w:caps w:val="false"/>
                  <w:smallCaps w:val="false"/>
                  <w:color w:val="0000FF"/>
                  <w:sz w:val="16"/>
                  <w:u w:val="single"/>
                </w:rPr>
                <w:t>Vertex Pharmaceuticals Employee Compensation Plan.*</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10.45</w:t>
            </w:r>
          </w:p>
        </w:tc>
        <w:tc>
          <w:tcPr>
            <w:tcW w:w="5319" w:type="dxa"/>
            <w:tcBorders/>
            <w:vAlign w:val="center"/>
          </w:tcPr>
          <w:p>
            <w:pPr>
              <w:pStyle w:val="TableContents"/>
              <w:bidi w:val="0"/>
              <w:spacing w:lineRule="atLeast" w:line="160" w:before="0" w:after="0"/>
              <w:jc w:val="left"/>
              <w:rPr/>
            </w:pPr>
            <w:hyperlink r:id="rId107">
              <w:r>
                <w:rPr>
                  <w:rStyle w:val="InternetLink"/>
                  <w:rFonts w:ascii="Times New Roman;serif" w:hAnsi="Times New Roman;serif"/>
                  <w:b w:val="false"/>
                  <w:i w:val="false"/>
                  <w:caps w:val="false"/>
                  <w:smallCaps w:val="false"/>
                  <w:color w:val="0000FF"/>
                  <w:sz w:val="16"/>
                  <w:u w:val="single"/>
                </w:rPr>
                <w:t>Vertex Pharmaceuticals Non-Employee Board Compensation.*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10.43)</w:t>
            </w:r>
          </w:p>
        </w:tc>
        <w:tc>
          <w:tcPr>
            <w:tcW w:w="136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025" w:type="dxa"/>
            <w:gridSpan w:val="2"/>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Insider Trading Policy</w:t>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c>
          <w:tcPr>
            <w:tcW w:w="910"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19.1</w:t>
            </w:r>
          </w:p>
        </w:tc>
        <w:tc>
          <w:tcPr>
            <w:tcW w:w="5319" w:type="dxa"/>
            <w:tcBorders/>
            <w:vAlign w:val="center"/>
          </w:tcPr>
          <w:p>
            <w:pPr>
              <w:pStyle w:val="TableContents"/>
              <w:bidi w:val="0"/>
              <w:spacing w:lineRule="atLeast" w:line="160" w:before="0" w:after="0"/>
              <w:jc w:val="left"/>
              <w:rPr/>
            </w:pPr>
            <w:hyperlink r:id="rId108">
              <w:r>
                <w:rPr>
                  <w:rStyle w:val="InternetLink"/>
                  <w:rFonts w:ascii="Times New Roman;serif" w:hAnsi="Times New Roman;serif"/>
                  <w:b w:val="false"/>
                  <w:i w:val="false"/>
                  <w:caps w:val="false"/>
                  <w:smallCaps w:val="false"/>
                  <w:color w:val="0000FF"/>
                  <w:sz w:val="16"/>
                  <w:u w:val="single"/>
                </w:rPr>
                <w:t>Vertex Pharmaceuticals Incorporated Insider Trading Policy. *</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10-K</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(Exhibit 19.1)</w:t>
            </w:r>
          </w:p>
        </w:tc>
        <w:tc>
          <w:tcPr>
            <w:tcW w:w="136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13, 2025</w:t>
            </w:r>
          </w:p>
        </w:tc>
        <w:tc>
          <w:tcPr>
            <w:tcW w:w="9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r>
        <w:trPr/>
        <w:tc>
          <w:tcPr>
            <w:tcW w:w="6025" w:type="dxa"/>
            <w:gridSpan w:val="2"/>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Subsidiaries</w:t>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21.1</w:t>
            </w:r>
          </w:p>
        </w:tc>
        <w:tc>
          <w:tcPr>
            <w:tcW w:w="5319" w:type="dxa"/>
            <w:tcBorders/>
            <w:vAlign w:val="center"/>
          </w:tcPr>
          <w:p>
            <w:pPr>
              <w:pStyle w:val="TableContents"/>
              <w:bidi w:val="0"/>
              <w:spacing w:lineRule="atLeast" w:line="160" w:before="0" w:after="0"/>
              <w:jc w:val="left"/>
              <w:rPr/>
            </w:pPr>
            <w:hyperlink w:anchor="a10k_2025-exhibit211.htm">
              <w:r>
                <w:rPr>
                  <w:rStyle w:val="InternetLink"/>
                  <w:rFonts w:ascii="Times New Roman;serif" w:hAnsi="Times New Roman;serif"/>
                  <w:b w:val="false"/>
                  <w:i w:val="false"/>
                  <w:caps w:val="false"/>
                  <w:smallCaps w:val="false"/>
                  <w:color w:val="0000FF"/>
                  <w:sz w:val="16"/>
                  <w:u w:val="single"/>
                </w:rPr>
                <w:t>Subsidiaries of Vertex Pharmaceuticals Incorporated.</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6025" w:type="dxa"/>
            <w:gridSpan w:val="2"/>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Consent</w:t>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23.1</w:t>
            </w:r>
          </w:p>
        </w:tc>
        <w:tc>
          <w:tcPr>
            <w:tcW w:w="5319" w:type="dxa"/>
            <w:tcBorders/>
            <w:vAlign w:val="center"/>
          </w:tcPr>
          <w:p>
            <w:pPr>
              <w:pStyle w:val="TableContents"/>
              <w:bidi w:val="0"/>
              <w:spacing w:lineRule="atLeast" w:line="160" w:before="0" w:after="0"/>
              <w:jc w:val="left"/>
              <w:rPr/>
            </w:pPr>
            <w:hyperlink w:anchor="a10k_2025-exhibit231.htm">
              <w:r>
                <w:rPr>
                  <w:rStyle w:val="InternetLink"/>
                  <w:rFonts w:ascii="Times New Roman;serif" w:hAnsi="Times New Roman;serif"/>
                  <w:b w:val="false"/>
                  <w:i w:val="false"/>
                  <w:caps w:val="false"/>
                  <w:smallCaps w:val="false"/>
                  <w:color w:val="0000FF"/>
                  <w:sz w:val="16"/>
                  <w:u w:val="single"/>
                </w:rPr>
                <w:t>Consent of Independent Registered Public Accounting Firm, Ernst &amp; Young LLP.</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6025" w:type="dxa"/>
            <w:gridSpan w:val="2"/>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Certifications</w:t>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31.1</w:t>
            </w:r>
          </w:p>
        </w:tc>
        <w:tc>
          <w:tcPr>
            <w:tcW w:w="5319" w:type="dxa"/>
            <w:tcBorders/>
            <w:vAlign w:val="center"/>
          </w:tcPr>
          <w:p>
            <w:pPr>
              <w:pStyle w:val="TableContents"/>
              <w:bidi w:val="0"/>
              <w:spacing w:lineRule="atLeast" w:line="160" w:before="0" w:after="0"/>
              <w:jc w:val="left"/>
              <w:rPr/>
            </w:pPr>
            <w:hyperlink w:anchor="a10k_2025-exhibit311.htm">
              <w:r>
                <w:rPr>
                  <w:rStyle w:val="InternetLink"/>
                  <w:rFonts w:ascii="Times New Roman;serif" w:hAnsi="Times New Roman;serif"/>
                  <w:b w:val="false"/>
                  <w:i w:val="false"/>
                  <w:caps w:val="false"/>
                  <w:smallCaps w:val="false"/>
                  <w:color w:val="0000FF"/>
                  <w:sz w:val="16"/>
                  <w:u w:val="single"/>
                </w:rPr>
                <w:t>Certification of the Chief Executive Officer under Section 302 of the Sarbanes-</w:t>
              </w:r>
            </w:hyperlink>
          </w:p>
          <w:p>
            <w:pPr>
              <w:pStyle w:val="TableContents"/>
              <w:bidi w:val="0"/>
              <w:spacing w:lineRule="atLeast" w:line="160" w:before="0" w:after="0"/>
              <w:jc w:val="left"/>
              <w:rPr/>
            </w:pPr>
            <w:hyperlink w:anchor="a10k_2025-exhibit311.htm">
              <w:r>
                <w:rPr>
                  <w:rStyle w:val="InternetLink"/>
                  <w:rFonts w:ascii="Times New Roman;serif" w:hAnsi="Times New Roman;serif"/>
                  <w:b w:val="false"/>
                  <w:i w:val="false"/>
                  <w:caps w:val="false"/>
                  <w:smallCaps w:val="false"/>
                  <w:color w:val="0000FF"/>
                  <w:sz w:val="16"/>
                  <w:u w:val="single"/>
                </w:rPr>
                <w:t>Oxley Act of 2002.</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31.2</w:t>
            </w:r>
          </w:p>
        </w:tc>
        <w:tc>
          <w:tcPr>
            <w:tcW w:w="5319" w:type="dxa"/>
            <w:tcBorders/>
            <w:vAlign w:val="center"/>
          </w:tcPr>
          <w:p>
            <w:pPr>
              <w:pStyle w:val="TableContents"/>
              <w:bidi w:val="0"/>
              <w:spacing w:lineRule="atLeast" w:line="160" w:before="0" w:after="0"/>
              <w:jc w:val="left"/>
              <w:rPr/>
            </w:pPr>
            <w:hyperlink w:anchor="a10k_2025-exhibit312.htm">
              <w:r>
                <w:rPr>
                  <w:rStyle w:val="InternetLink"/>
                  <w:rFonts w:ascii="Times New Roman;serif" w:hAnsi="Times New Roman;serif"/>
                  <w:b w:val="false"/>
                  <w:i w:val="false"/>
                  <w:caps w:val="false"/>
                  <w:smallCaps w:val="false"/>
                  <w:color w:val="0000FF"/>
                  <w:sz w:val="16"/>
                  <w:u w:val="single"/>
                </w:rPr>
                <w:t>Certification of the Chief Financial Officer under Section 302 of the Sarbanes-</w:t>
              </w:r>
            </w:hyperlink>
          </w:p>
          <w:p>
            <w:pPr>
              <w:pStyle w:val="TableContents"/>
              <w:bidi w:val="0"/>
              <w:spacing w:lineRule="atLeast" w:line="160" w:before="0" w:after="0"/>
              <w:jc w:val="left"/>
              <w:rPr/>
            </w:pPr>
            <w:hyperlink w:anchor="a10k_2025-exhibit312.htm">
              <w:r>
                <w:rPr>
                  <w:rStyle w:val="InternetLink"/>
                  <w:rFonts w:ascii="Times New Roman;serif" w:hAnsi="Times New Roman;serif"/>
                  <w:b w:val="false"/>
                  <w:i w:val="false"/>
                  <w:caps w:val="false"/>
                  <w:smallCaps w:val="false"/>
                  <w:color w:val="0000FF"/>
                  <w:sz w:val="16"/>
                  <w:u w:val="single"/>
                </w:rPr>
                <w:t>Oxley Act of 2002.</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32.1</w:t>
            </w:r>
          </w:p>
        </w:tc>
        <w:tc>
          <w:tcPr>
            <w:tcW w:w="5319" w:type="dxa"/>
            <w:tcBorders/>
            <w:vAlign w:val="center"/>
          </w:tcPr>
          <w:p>
            <w:pPr>
              <w:pStyle w:val="TableContents"/>
              <w:bidi w:val="0"/>
              <w:spacing w:lineRule="atLeast" w:line="160" w:before="0" w:after="0"/>
              <w:jc w:val="left"/>
              <w:rPr/>
            </w:pPr>
            <w:hyperlink w:anchor="a10k_2025-exhibit321.htm">
              <w:r>
                <w:rPr>
                  <w:rStyle w:val="InternetLink"/>
                  <w:rFonts w:ascii="Times New Roman;serif" w:hAnsi="Times New Roman;serif"/>
                  <w:b w:val="false"/>
                  <w:i w:val="false"/>
                  <w:caps w:val="false"/>
                  <w:smallCaps w:val="false"/>
                  <w:color w:val="0000FF"/>
                  <w:sz w:val="16"/>
                  <w:u w:val="single"/>
                </w:rPr>
                <w:t xml:space="preserve">Certification of the Chief Executive Officer and the Chief Financial Officer under </w:t>
              </w:r>
            </w:hyperlink>
          </w:p>
          <w:p>
            <w:pPr>
              <w:pStyle w:val="TableContents"/>
              <w:bidi w:val="0"/>
              <w:spacing w:lineRule="atLeast" w:line="160" w:before="0" w:after="0"/>
              <w:jc w:val="left"/>
              <w:rPr/>
            </w:pPr>
            <w:hyperlink w:anchor="a10k_2025-exhibit321.htm">
              <w:r>
                <w:rPr>
                  <w:rStyle w:val="InternetLink"/>
                  <w:rFonts w:ascii="Times New Roman;serif" w:hAnsi="Times New Roman;serif"/>
                  <w:b w:val="false"/>
                  <w:i w:val="false"/>
                  <w:caps w:val="false"/>
                  <w:smallCaps w:val="false"/>
                  <w:color w:val="0000FF"/>
                  <w:sz w:val="16"/>
                  <w:u w:val="single"/>
                </w:rPr>
                <w:t>Section 906 of the Sarbanes-Oxley Act of 2002.</w:t>
              </w:r>
            </w:hyperlink>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6025" w:type="dxa"/>
            <w:gridSpan w:val="2"/>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Clawback Policy</w:t>
            </w:r>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97.1</w:t>
            </w:r>
          </w:p>
        </w:tc>
        <w:tc>
          <w:tcPr>
            <w:tcW w:w="5319" w:type="dxa"/>
            <w:tcBorders/>
            <w:vAlign w:val="center"/>
          </w:tcPr>
          <w:p>
            <w:pPr>
              <w:pStyle w:val="TableContents"/>
              <w:bidi w:val="0"/>
              <w:spacing w:lineRule="atLeast" w:line="160" w:before="0" w:after="0"/>
              <w:jc w:val="left"/>
              <w:rPr/>
            </w:pPr>
            <w:hyperlink r:id="rId109">
              <w:r>
                <w:rPr>
                  <w:rStyle w:val="InternetLink"/>
                  <w:rFonts w:ascii="Times New Roman;serif" w:hAnsi="Times New Roman;serif"/>
                  <w:b w:val="false"/>
                  <w:i w:val="false"/>
                  <w:caps w:val="false"/>
                  <w:smallCaps w:val="false"/>
                  <w:color w:val="0000FF"/>
                  <w:sz w:val="16"/>
                  <w:u w:val="single"/>
                </w:rPr>
                <w:t>Policy Relating to Recovery of Erroneously Awarded Compensation</w:t>
              </w:r>
            </w:hyperlink>
          </w:p>
        </w:tc>
        <w:tc>
          <w:tcPr>
            <w:tcW w:w="57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10-K</w:t>
            </w:r>
          </w:p>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(Exhibit 97.1)</w:t>
            </w:r>
          </w:p>
        </w:tc>
        <w:tc>
          <w:tcPr>
            <w:tcW w:w="136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February 15, 2024</w:t>
            </w:r>
          </w:p>
        </w:tc>
        <w:tc>
          <w:tcPr>
            <w:tcW w:w="910"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000-19319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bl>
      <w:tblPr>
        <w:tblW w:w="10205" w:type="dxa"/>
        <w:jc w:val="left"/>
        <w:tblInd w:w="0" w:type="dxa"/>
        <w:tblLayout w:type="fixed"/>
        <w:tblCellMar>
          <w:top w:w="28" w:type="dxa"/>
          <w:left w:w="28" w:type="dxa"/>
          <w:bottom w:w="28" w:type="dxa"/>
          <w:right w:w="28" w:type="dxa"/>
        </w:tblCellMar>
      </w:tblPr>
      <w:tblGrid>
        <w:gridCol w:w="764"/>
        <w:gridCol w:w="5456"/>
        <w:gridCol w:w="571"/>
        <w:gridCol w:w="1357"/>
        <w:gridCol w:w="1231"/>
        <w:gridCol w:w="826"/>
      </w:tblGrid>
      <w:tr>
        <w:trPr/>
        <w:tc>
          <w:tcPr>
            <w:tcW w:w="764" w:type="dxa"/>
            <w:tcBorders/>
            <w:vAlign w:val="center"/>
          </w:tcPr>
          <w:p>
            <w:pPr>
              <w:pStyle w:val="TableContents"/>
              <w:bidi w:val="0"/>
              <w:spacing w:before="0" w:after="283"/>
              <w:jc w:val="left"/>
              <w:rPr>
                <w:sz w:val="4"/>
                <w:szCs w:val="4"/>
              </w:rPr>
            </w:pPr>
            <w:r>
              <w:rPr>
                <w:sz w:val="4"/>
                <w:szCs w:val="4"/>
              </w:rPr>
            </w:r>
          </w:p>
        </w:tc>
        <w:tc>
          <w:tcPr>
            <w:tcW w:w="54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54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c>
          <w:tcPr>
            <w:tcW w:w="5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with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this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report</w:t>
            </w:r>
          </w:p>
        </w:tc>
        <w:tc>
          <w:tcPr>
            <w:tcW w:w="135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Incorporated by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Reference herein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from—Form or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Schedule</w:t>
            </w:r>
          </w:p>
        </w:tc>
        <w:tc>
          <w:tcPr>
            <w:tcW w:w="12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Filing Date/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Period Covered</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 File/</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Reg.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101.INS</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Instance</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101.SCH</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Schema</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101.CAL</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Calculation</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101.LAB</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Labels</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101.PRE</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Presentation</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101.DEF</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Definition</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5456"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Cover Page Interactive Data File––the cover page interactive data file does not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appear in the Interactive Data File because its XBRL tags are embedded within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the Inline XBRL document.</w:t>
            </w:r>
          </w:p>
        </w:tc>
        <w:tc>
          <w:tcPr>
            <w:tcW w:w="571"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w:t>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before="0" w:after="283"/>
              <w:jc w:val="left"/>
              <w:rPr>
                <w:sz w:val="4"/>
                <w:szCs w:val="4"/>
              </w:rPr>
            </w:pPr>
            <w:r>
              <w:rPr>
                <w:sz w:val="4"/>
                <w:szCs w:val="4"/>
              </w:rPr>
            </w:r>
          </w:p>
        </w:tc>
        <w:tc>
          <w:tcPr>
            <w:tcW w:w="54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w:t>
            </w:r>
          </w:p>
        </w:tc>
        <w:tc>
          <w:tcPr>
            <w:tcW w:w="9441"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Management contract, compensatory plan or agreement.</w:t>
            </w:r>
          </w:p>
        </w:tc>
      </w:tr>
      <w:tr>
        <w:trPr/>
        <w:tc>
          <w:tcPr>
            <w:tcW w:w="764"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41"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Confidential portions of this document have been redacted according to the applicable rules.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16.FORM 10-K SUMMARY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Section 13 or 15(d) of the Securities Exchange Act of 1934, the registrant has duly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caused this report to be signed on its behalf by the undersigned, thereunto duly authorized.</w:t>
      </w:r>
    </w:p>
    <w:tbl>
      <w:tblPr>
        <w:tblW w:w="4471" w:type="dxa"/>
        <w:jc w:val="left"/>
        <w:tblInd w:w="0" w:type="dxa"/>
        <w:tblLayout w:type="fixed"/>
        <w:tblCellMar>
          <w:top w:w="28" w:type="dxa"/>
          <w:left w:w="28" w:type="dxa"/>
          <w:bottom w:w="28" w:type="dxa"/>
          <w:right w:w="28" w:type="dxa"/>
        </w:tblCellMar>
      </w:tblPr>
      <w:tblGrid>
        <w:gridCol w:w="1441"/>
        <w:gridCol w:w="479"/>
        <w:gridCol w:w="2551"/>
      </w:tblGrid>
      <w:tr>
        <w:trPr/>
        <w:tc>
          <w:tcPr>
            <w:tcW w:w="14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283"/>
              <w:jc w:val="left"/>
              <w:rPr>
                <w:sz w:val="4"/>
                <w:szCs w:val="4"/>
              </w:rPr>
            </w:pPr>
            <w:r>
              <w:rPr>
                <w:sz w:val="4"/>
                <w:szCs w:val="4"/>
              </w:rPr>
            </w:r>
          </w:p>
        </w:tc>
        <w:tc>
          <w:tcPr>
            <w:tcW w:w="3030" w:type="dxa"/>
            <w:gridSpan w:val="2"/>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Vertex Pharmaceuticals Incorporated</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c>
          <w:tcPr>
            <w:tcW w:w="4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By:</w:t>
            </w:r>
          </w:p>
        </w:tc>
        <w:tc>
          <w:tcPr>
            <w:tcW w:w="25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Reshma Kewalramani</w:t>
            </w:r>
          </w:p>
        </w:tc>
      </w:tr>
      <w:tr>
        <w:trPr/>
        <w:tc>
          <w:tcPr>
            <w:tcW w:w="14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5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Reshma Kewalramani</w:t>
            </w:r>
          </w:p>
          <w:p>
            <w:pPr>
              <w:pStyle w:val="TableContents"/>
              <w:bidi w:val="0"/>
              <w:spacing w:lineRule="atLeast" w:line="180" w:before="0" w:after="0"/>
              <w:jc w:val="left"/>
              <w:rPr>
                <w:rFonts w:ascii="Times New Roman;serif" w:hAnsi="Times New Roman;serif"/>
                <w:b w:val="false"/>
                <w:i/>
                <w:sz w:val="18"/>
              </w:rPr>
            </w:pPr>
            <w:r>
              <w:rPr>
                <w:rFonts w:ascii="Times New Roman;serif" w:hAnsi="Times New Roman;serif"/>
                <w:b w:val="false"/>
                <w:i/>
                <w:sz w:val="18"/>
              </w:rPr>
              <w:t>Chief Executive Officer</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this report has been signed below by the following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persons on behalf of the registrant and in the capacities and on the dates indicated.</w:t>
      </w:r>
    </w:p>
    <w:tbl>
      <w:tblPr>
        <w:tblW w:w="8966" w:type="dxa"/>
        <w:jc w:val="left"/>
        <w:tblInd w:w="0" w:type="dxa"/>
        <w:tblLayout w:type="fixed"/>
        <w:tblCellMar>
          <w:top w:w="28" w:type="dxa"/>
          <w:left w:w="28" w:type="dxa"/>
          <w:bottom w:w="28" w:type="dxa"/>
          <w:right w:w="28" w:type="dxa"/>
        </w:tblCellMar>
      </w:tblPr>
      <w:tblGrid>
        <w:gridCol w:w="315"/>
        <w:gridCol w:w="670"/>
        <w:gridCol w:w="670"/>
        <w:gridCol w:w="279"/>
        <w:gridCol w:w="695"/>
        <w:gridCol w:w="695"/>
        <w:gridCol w:w="2784"/>
        <w:gridCol w:w="695"/>
        <w:gridCol w:w="695"/>
        <w:gridCol w:w="223"/>
        <w:gridCol w:w="308"/>
        <w:gridCol w:w="308"/>
        <w:gridCol w:w="310"/>
        <w:gridCol w:w="319"/>
      </w:tblGrid>
      <w:tr>
        <w:trPr/>
        <w:tc>
          <w:tcPr>
            <w:tcW w:w="31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5" w:type="dxa"/>
            <w:tcBorders/>
            <w:vAlign w:val="center"/>
          </w:tcPr>
          <w:p>
            <w:pPr>
              <w:pStyle w:val="TableContents"/>
              <w:bidi w:val="0"/>
              <w:spacing w:before="0" w:after="283"/>
              <w:jc w:val="left"/>
              <w:rPr>
                <w:sz w:val="4"/>
                <w:szCs w:val="4"/>
              </w:rPr>
            </w:pPr>
            <w:r>
              <w:rPr>
                <w:sz w:val="4"/>
                <w:szCs w:val="4"/>
              </w:rPr>
            </w:r>
          </w:p>
        </w:tc>
        <w:tc>
          <w:tcPr>
            <w:tcW w:w="1340" w:type="dxa"/>
            <w:gridSpan w:val="2"/>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w:t>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Title</w:t>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Date</w:t>
            </w:r>
          </w:p>
        </w:tc>
        <w:tc>
          <w:tcPr>
            <w:tcW w:w="319" w:type="dxa"/>
            <w:tcBorders/>
            <w:vAlign w:val="center"/>
          </w:tcPr>
          <w:p>
            <w:pPr>
              <w:pStyle w:val="TableContents"/>
              <w:bidi w:val="0"/>
              <w:spacing w:before="0" w:after="283"/>
              <w:jc w:val="left"/>
              <w:rPr>
                <w:sz w:val="4"/>
                <w:szCs w:val="4"/>
              </w:rPr>
            </w:pPr>
            <w:r>
              <w:rPr>
                <w:sz w:val="4"/>
                <w:szCs w:val="4"/>
              </w:rPr>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Reshma Kewalramani</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Reshma Kewalramani</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President, Chief Executive Officer and Director (Principal Executive Officer)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Charles F. Wagner, Jr.</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Charles F. Wagner, Jr.</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Executive Vice President and Chief Operating &amp; Financial Officer (Principal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Financial Officer)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Kristen C. Ambrose</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Kristen C. Ambrose</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Senior Vice President and Chief Accounting Officer (Principal Accounting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Officer)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/s/Jeffrey M. Leiden</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Jeffrey M. Leiden</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Executive Chairman</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 Sangeeta N. Bhatia</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Sangeeta N. Bhatia</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 Lloyd Carney</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Lloyd Carney</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 Alan Garber</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Alan Garber</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Michel Lagarde</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Michel Lagarde</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Diana McKenzie</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Diana McKenzie</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Nancy A. Thornberry</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Nancy A. Thornberry</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31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Bruce I. Sachs</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Bruce I. Sachs</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31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Jennifer Schneider</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Jennifer Schneider</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r>
        <w:trPr/>
        <w:tc>
          <w:tcPr>
            <w:tcW w:w="1934" w:type="dxa"/>
            <w:gridSpan w:val="4"/>
            <w:tcBorders/>
            <w:vAlign w:val="center"/>
          </w:tcPr>
          <w:p>
            <w:pPr>
              <w:pStyle w:val="TableContents"/>
              <w:bidi w:val="0"/>
              <w:spacing w:before="0" w:after="283"/>
              <w:jc w:val="left"/>
              <w:rPr>
                <w:sz w:val="4"/>
                <w:szCs w:val="4"/>
              </w:rPr>
            </w:pPr>
            <w:r>
              <w:rPr>
                <w:sz w:val="4"/>
                <w:szCs w:val="4"/>
              </w:rPr>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 Suketu Upadhyay</w:t>
            </w:r>
          </w:p>
        </w:tc>
        <w:tc>
          <w:tcPr>
            <w:tcW w:w="5564"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934" w:type="dxa"/>
            <w:gridSpan w:val="4"/>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Suketu Upadhyay</w:t>
            </w:r>
          </w:p>
        </w:tc>
        <w:tc>
          <w:tcPr>
            <w:tcW w:w="5564"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Director</w:t>
            </w:r>
          </w:p>
        </w:tc>
        <w:tc>
          <w:tcPr>
            <w:tcW w:w="1468"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February 13, 2026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Independent Registered Public Accounting Firm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the Shareholders and the Board of Directors of 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Opinion on the Financial Statements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have audited the accompanying consolidated balance sheets of Vertex Pharmaceuticals Incorporated (the Company) as of</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the related consolidated statements of income (loss), comprehensive income (loss),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shareholders’ equity and cash flows for each of the three years in the period ended December 31, 2025, and the related notes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(collectively referred to as the “consolidated financial statements”). In our opinion, the consolidated financial statements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present fairly, in all material respects, the financial position of the Company at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and the results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of its operations and its cash flows for each of the three years in the period ended December 31, 2025, in conformity with</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U.S. generally accepted accounting principles.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also have audited, in accordance with the standards of the Public Company Accounting Oversight Board (United States)</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(PCAOB), the Company’s internal control over financial reporting as of December 31, 2025, based on criteria established in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Internal Control</w:t>
      </w:r>
      <w:r>
        <w:rPr>
          <w:u w:val="single"/>
        </w:rPr>
        <w:t>—</w:t>
      </w:r>
      <w:r>
        <w:rPr>
          <w:rFonts w:ascii="Times New Roman;serif" w:hAnsi="Times New Roman;serif"/>
          <w:b w:val="false"/>
          <w:i w:val="false"/>
          <w:caps w:val="false"/>
          <w:smallCaps w:val="false"/>
          <w:strike w:val="false"/>
          <w:dstrike w:val="false"/>
          <w:sz w:val="20"/>
          <w:u w:val="none"/>
          <w:effect w:val="none"/>
        </w:rPr>
        <w:t>Integrated Framework issued by the Committee of Sponsoring Organizations of the Treadway Commission</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(2013 framework), and our report dated February 13,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expressed an unqualified opinion thereon.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Basis for Opinion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These financial statements are the responsibility of the Company’s management. Our responsibility is to express an opinion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on the Company’s financial statements based on our audits. We are a public accounting firm registered with the PCAOB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are required to be independent with respect to the Company in accordance with the U.S. federal securities laws and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applicable rules and regulations of the Securities and Exchange Commission and the PCAOB.</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conducted our audits in accordance with the standards of the PCAOB. Those standards require that we plan and perform</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audit to obtain reasonable assurance about whether the financial statements are free of material misstatement, whether due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error or fraud. Our audits included performing procedures to assess the risks of material misstatement of the financial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statements, whether due to error or fraud, and performing procedures that respond to those risks. Such procedures included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examining, on a test basis, evidence regarding the amounts and disclosures in the financial statements. Our audits also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included evaluating the accounting principles used and significant estimates made by management, as well as evaluating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overall presentation of the financial statements. We believe that our audits provide a reasonable basis for our opinion.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Audit Matter</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critical audit matter communicated below is a matter arising from the current period audit of the financial statements that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was communicated or required to be communicated to the audit committee and that: (1) relates to accounts or disclosures that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are material to the financial statements and (2) involved our especially challenging, subjective or complex judgments.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communication of the critical audit matter does not alter in any way our opinion on the consolidated financial statements,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taken as a whole, and we are not, by communicating the critical audit matter below, providing a separate opinion on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critical audit matter or on the accounts or disclosures to which it relates.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w:t>
      </w:r>
    </w:p>
    <w:tbl>
      <w:tblPr>
        <w:tblW w:w="10205" w:type="dxa"/>
        <w:jc w:val="left"/>
        <w:tblInd w:w="0" w:type="dxa"/>
        <w:tblLayout w:type="fixed"/>
        <w:tblCellMar>
          <w:top w:w="28" w:type="dxa"/>
          <w:left w:w="28" w:type="dxa"/>
          <w:bottom w:w="28" w:type="dxa"/>
          <w:right w:w="28" w:type="dxa"/>
        </w:tblCellMar>
      </w:tblPr>
      <w:tblGrid>
        <w:gridCol w:w="1335"/>
        <w:gridCol w:w="109"/>
        <w:gridCol w:w="8761"/>
      </w:tblGrid>
      <w:tr>
        <w:trPr/>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before="0" w:after="283"/>
              <w:jc w:val="left"/>
              <w:rPr>
                <w:sz w:val="4"/>
                <w:szCs w:val="4"/>
              </w:rPr>
            </w:pPr>
            <w:r>
              <w:rPr>
                <w:sz w:val="4"/>
                <w:szCs w:val="4"/>
              </w:rPr>
            </w:r>
          </w:p>
        </w:tc>
      </w:tr>
      <w:tr>
        <w:trPr/>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lineRule="atLeast" w:line="200" w:before="0" w:after="0"/>
              <w:jc w:val="left"/>
              <w:rPr>
                <w:rFonts w:ascii="Times New Roman;serif" w:hAnsi="Times New Roman;serif"/>
                <w:b/>
                <w:i/>
                <w:strike w:val="false"/>
                <w:dstrike w:val="false"/>
                <w:color w:val="000000"/>
                <w:sz w:val="20"/>
                <w:u w:val="none"/>
                <w:effect w:val="none"/>
              </w:rPr>
            </w:pPr>
            <w:r>
              <w:rPr>
                <w:rFonts w:ascii="Times New Roman;serif" w:hAnsi="Times New Roman;serif"/>
                <w:b/>
                <w:i/>
                <w:strike w:val="false"/>
                <w:dstrike w:val="false"/>
                <w:color w:val="000000"/>
                <w:sz w:val="20"/>
                <w:u w:val="none"/>
                <w:effect w:val="none"/>
              </w:rPr>
              <w:t>Medicaid Drug Rebate Program in the U.S.</w:t>
            </w:r>
          </w:p>
        </w:tc>
      </w:tr>
      <w:tr>
        <w:trPr/>
        <w:tc>
          <w:tcPr>
            <w:tcW w:w="1335"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Description of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the Matter</w:t>
            </w:r>
          </w:p>
        </w:tc>
        <w:tc>
          <w:tcPr>
            <w:tcW w:w="109"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As discussed in Note A to the Company’s consolidated financial statements, the Company recognizes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revenue from product sales based on amounts due from customers net of allowances for variable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consideration, which include, among others, rebates mandated by law under Medicaid and other</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government pricing programs. The most significant estimates relate to government and private payor</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rebates, chargebacks, discounts and fees, collectively rebates. The Company includes an estimate of</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variable consideration in its transaction price at the time of sale, when control of the product transfers to</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the customer. The Company estimates its Medicaid and other government pricing accruals based on</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monthly sales, historical experience of claims submitted by the various states and jurisdictions, historical</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rebate rates and estimated lag time of the rebate invoices. Rebate accruals inclusive of estimated amounts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due for claims not yet received or processed as part of the Company’s Medicaid program are recorded</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within accrued expenses on the Company’s consolidated balance sheet.</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Auditing the allowances for rebates owed pursuant to the Medicaid Drug Rebate Program in the U.S. was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complex and judgmental due to the significant estimation required in determining certain assumptions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including the levels of expected utilization of these rebates based on the amount of product sold to</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eligible patients, as well as the complexity of the government mandated rebate calculations. The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allowances for rebates owed pursuant to the Medicaid Drug Rebate Program in the U.S. are sensitive to</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these significant assumptions and calculations.</w:t>
            </w:r>
            <w:r>
              <w:rPr>
                <w:caps w:val="false"/>
                <w:smallCaps w:val="false"/>
                <w:u w:val="single"/>
              </w:rPr>
              <w:t xml:space="preserve"> </w:t>
            </w:r>
          </w:p>
        </w:tc>
      </w:tr>
      <w:tr>
        <w:trPr/>
        <w:tc>
          <w:tcPr>
            <w:tcW w:w="1335"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How We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Addressed the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 xml:space="preserve">Matter in Our </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Audit</w:t>
            </w:r>
          </w:p>
        </w:tc>
        <w:tc>
          <w:tcPr>
            <w:tcW w:w="109" w:type="dxa"/>
            <w:tcBorders/>
            <w:vAlign w:val="center"/>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We obtained an understanding, evaluated the design and tested the operating effectiveness of controls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over the Company’s revenue recognition process, including controls over management’s computation</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and review of the allowances for Medicaid rebates. We tested the Company’s controls to assess the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completeness and accuracy of the current and historical data that supports the Medicaid estimate,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significant assumptions related to the inputs utilized as well as management’s review of the application</w:t>
            </w:r>
            <w:r>
              <w:rPr>
                <w:caps w:val="false"/>
                <w:smallCaps w:val="false"/>
                <w:u w:val="single"/>
              </w:rPr>
              <w:t xml:space="preserve"> </w:t>
            </w:r>
          </w:p>
          <w:p>
            <w:pPr>
              <w:pStyle w:val="TableContents"/>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of the government pricing regulations.</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Our audit procedures to test the allowances for rebates owed pursuant to the Medicaid Drug Rebate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Program in the U.S., included the following: we assessed the methodology used to determine the estimate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and tested the significant assumptions as well as the underlying data used by the Company in its analysis.</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We also assessed the historical accuracy of the Company’s estimates of Medicaid rebates by comparing</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assumptions to historical trends and evaluating the change from prior periods. We further tested the</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completeness and accuracy of the underlying data used in the Company’s calculations through</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reconciliation to third-party invoices, claims data and actual cash payments. In addition, we involved our</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government pricing specialists to assist in evaluating management’s methodology and calculations used</w:t>
            </w:r>
            <w:r>
              <w:rPr>
                <w:caps w:val="false"/>
                <w:smallCaps w:val="false"/>
                <w:u w:val="single"/>
              </w:rPr>
              <w:t xml:space="preserve"> </w:t>
            </w:r>
          </w:p>
          <w:p>
            <w:pPr>
              <w:pStyle w:val="TableContents"/>
              <w:bidi w:val="0"/>
              <w:spacing w:lineRule="atLeast" w:line="200" w:before="0" w:after="0"/>
              <w:jc w:val="both"/>
              <w:rPr>
                <w:u w:val="single"/>
              </w:rPr>
            </w:pPr>
            <w:r>
              <w:rPr>
                <w:rFonts w:ascii="Times New Roman;serif" w:hAnsi="Times New Roman;serif"/>
                <w:b w:val="false"/>
                <w:i w:val="false"/>
                <w:caps w:val="false"/>
                <w:smallCaps w:val="false"/>
                <w:sz w:val="20"/>
                <w:u w:val="single"/>
              </w:rPr>
              <w:t>in the measurement of certain estimated rebates.</w:t>
            </w:r>
            <w:r>
              <w:rPr>
                <w:caps w:val="false"/>
                <w:smallCaps w:val="false"/>
                <w:u w:val="single"/>
              </w:rPr>
              <w:t xml:space="preserve"> </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Ernst &amp; Young LLP</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 have served as the Company’s auditor since 2005.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Boston, Massachusetts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February 13, 2026</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Consolidated Statements of Income (Loss)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 except per share amounts)</w:t>
      </w:r>
    </w:p>
    <w:tbl>
      <w:tblPr>
        <w:tblW w:w="7632" w:type="dxa"/>
        <w:jc w:val="left"/>
        <w:tblInd w:w="0" w:type="dxa"/>
        <w:tblLayout w:type="fixed"/>
        <w:tblCellMar>
          <w:top w:w="28" w:type="dxa"/>
          <w:left w:w="28" w:type="dxa"/>
          <w:bottom w:w="28" w:type="dxa"/>
          <w:right w:w="28" w:type="dxa"/>
        </w:tblCellMar>
      </w:tblPr>
      <w:tblGrid>
        <w:gridCol w:w="4681"/>
        <w:gridCol w:w="931"/>
        <w:gridCol w:w="109"/>
        <w:gridCol w:w="931"/>
        <w:gridCol w:w="109"/>
        <w:gridCol w:w="871"/>
      </w:tblGrid>
      <w:tr>
        <w:trPr/>
        <w:tc>
          <w:tcPr>
            <w:tcW w:w="46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95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 December 31,</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$11,970.6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revenues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1,262.2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3,162.9</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527.1</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1,136.6</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costs and expenses</w:t>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11,253.0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6,037.2</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from operations</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3,832.0</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614.7</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(44.1)</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4,379.8</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760.2</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 (loss)</w:t>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$3,619.6</w:t>
            </w:r>
          </w:p>
        </w:tc>
      </w:tr>
      <w:tr>
        <w:trPr/>
        <w:tc>
          <w:tcPr>
            <w:tcW w:w="468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$13.89</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Shares used in per share calculations:</w:t>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257.7</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Consolidated Statements of Comprehensive Income (Loss)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w:t>
      </w:r>
    </w:p>
    <w:tbl>
      <w:tblPr>
        <w:tblW w:w="8562" w:type="dxa"/>
        <w:jc w:val="left"/>
        <w:tblInd w:w="0" w:type="dxa"/>
        <w:tblLayout w:type="fixed"/>
        <w:tblCellMar>
          <w:top w:w="28" w:type="dxa"/>
          <w:left w:w="28" w:type="dxa"/>
          <w:bottom w:w="28" w:type="dxa"/>
          <w:right w:w="28" w:type="dxa"/>
        </w:tblCellMar>
      </w:tblPr>
      <w:tblGrid>
        <w:gridCol w:w="5851"/>
        <w:gridCol w:w="826"/>
        <w:gridCol w:w="109"/>
        <w:gridCol w:w="796"/>
        <w:gridCol w:w="109"/>
        <w:gridCol w:w="871"/>
      </w:tblGrid>
      <w:tr>
        <w:trPr/>
        <w:tc>
          <w:tcPr>
            <w:tcW w:w="58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851" w:type="dxa"/>
            <w:tcBorders/>
            <w:vAlign w:val="center"/>
          </w:tcPr>
          <w:p>
            <w:pPr>
              <w:pStyle w:val="TableContents"/>
              <w:bidi w:val="0"/>
              <w:spacing w:before="0" w:after="283"/>
              <w:jc w:val="left"/>
              <w:rPr>
                <w:sz w:val="4"/>
                <w:szCs w:val="4"/>
              </w:rPr>
            </w:pPr>
            <w:r>
              <w:rPr>
                <w:sz w:val="4"/>
                <w:szCs w:val="4"/>
              </w:rPr>
            </w:r>
          </w:p>
        </w:tc>
        <w:tc>
          <w:tcPr>
            <w:tcW w:w="271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585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585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 (loss)</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$3,619.6</w:t>
            </w:r>
          </w:p>
        </w:tc>
      </w:tr>
      <w:tr>
        <w:trPr/>
        <w:tc>
          <w:tcPr>
            <w:tcW w:w="585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(loss) income</w:t>
            </w:r>
            <w:r>
              <w:rPr>
                <w:rFonts w:ascii="Times New Roman;serif" w:hAnsi="Times New Roman;serif"/>
                <w:b w:val="false"/>
                <w:i w:val="false"/>
                <w:caps w:val="false"/>
                <w:smallCaps w:val="false"/>
                <w:sz w:val="20"/>
              </w:rPr>
              <w:t>:</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585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holding </w:t>
            </w:r>
            <w:r>
              <w:rPr>
                <w:rFonts w:ascii="Times New Roman;serif" w:hAnsi="Times New Roman;serif"/>
                <w:b w:val="false"/>
                <w:i w:val="false"/>
                <w:caps w:val="false"/>
                <w:smallCaps w:val="false"/>
                <w:strike w:val="false"/>
                <w:dstrike w:val="false"/>
                <w:sz w:val="20"/>
                <w:u w:val="none"/>
                <w:effect w:val="none"/>
              </w:rPr>
              <w:t>gains (losses)</w:t>
            </w:r>
            <w:r>
              <w:rPr>
                <w:caps w:val="false"/>
                <w:smallCaps w:val="false"/>
                <w:sz w:val="24"/>
              </w:rPr>
              <w:t xml:space="preserve"> </w:t>
            </w:r>
            <w:r>
              <w:rPr>
                <w:rFonts w:ascii="Times New Roman;serif" w:hAnsi="Times New Roman;serif"/>
                <w:b w:val="false"/>
                <w:i w:val="false"/>
                <w:caps w:val="false"/>
                <w:smallCaps w:val="false"/>
                <w:sz w:val="20"/>
              </w:rPr>
              <w:t xml:space="preserve">on available-for-sale debt securities,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of tax of </w:t>
            </w:r>
            <w:r>
              <w:rPr>
                <w:rFonts w:ascii="Times New Roman;serif" w:hAnsi="Times New Roman;serif"/>
                <w:b w:val="false"/>
                <w:i w:val="false"/>
                <w:caps w:val="false"/>
                <w:smallCaps w:val="false"/>
                <w:strike w:val="false"/>
                <w:dstrike w:val="false"/>
                <w:sz w:val="20"/>
                <w:u w:val="none"/>
                <w:effect w:val="none"/>
              </w:rPr>
              <w:t>$(7.6)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$0.6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$(2.7)</w:t>
            </w:r>
            <w:r>
              <w:rPr>
                <w:rFonts w:ascii="Times New Roman;serif" w:hAnsi="Times New Roman;serif"/>
                <w:b w:val="false"/>
                <w:i w:val="false"/>
                <w:caps w:val="false"/>
                <w:smallCaps w:val="false"/>
                <w:sz w:val="20"/>
              </w:rPr>
              <w:t>, respectively</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r>
      <w:tr>
        <w:trPr/>
        <w:tc>
          <w:tcPr>
            <w:tcW w:w="585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w:t>
            </w:r>
            <w:r>
              <w:rPr>
                <w:rFonts w:ascii="Times New Roman;serif" w:hAnsi="Times New Roman;serif"/>
                <w:b w:val="false"/>
                <w:i w:val="false"/>
                <w:caps w:val="false"/>
                <w:smallCaps w:val="false"/>
                <w:strike w:val="false"/>
                <w:dstrike w:val="false"/>
                <w:sz w:val="20"/>
                <w:u w:val="none"/>
                <w:effect w:val="none"/>
              </w:rPr>
              <w:t>(losses) gains</w:t>
            </w:r>
            <w:r>
              <w:rPr>
                <w:caps w:val="false"/>
                <w:smallCaps w:val="false"/>
                <w:sz w:val="24"/>
              </w:rPr>
              <w:t xml:space="preserve"> </w:t>
            </w:r>
            <w:r>
              <w:rPr>
                <w:rFonts w:ascii="Times New Roman;serif" w:hAnsi="Times New Roman;serif"/>
                <w:b w:val="false"/>
                <w:i w:val="false"/>
                <w:caps w:val="false"/>
                <w:smallCaps w:val="false"/>
                <w:sz w:val="20"/>
              </w:rPr>
              <w:t xml:space="preserve">on foreign currency forward contracts, net of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tax of </w:t>
            </w:r>
            <w:r>
              <w:rPr>
                <w:rFonts w:ascii="Times New Roman;serif" w:hAnsi="Times New Roman;serif"/>
                <w:b w:val="false"/>
                <w:i w:val="false"/>
                <w:caps w:val="false"/>
                <w:smallCaps w:val="false"/>
                <w:strike w:val="false"/>
                <w:dstrike w:val="false"/>
                <w:sz w:val="20"/>
                <w:u w:val="none"/>
                <w:effect w:val="none"/>
              </w:rPr>
              <w:t>$56.0</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$(38.2)</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$14.0</w:t>
            </w:r>
            <w:r>
              <w:rPr>
                <w:rFonts w:ascii="Times New Roman;serif" w:hAnsi="Times New Roman;serif"/>
                <w:b w:val="false"/>
                <w:i w:val="false"/>
                <w:caps w:val="false"/>
                <w:smallCaps w:val="false"/>
                <w:sz w:val="20"/>
              </w:rPr>
              <w:t>, respectively</w:t>
            </w:r>
          </w:p>
        </w:tc>
        <w:tc>
          <w:tcPr>
            <w:tcW w:w="8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(198.1)</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(50.9)</w:t>
            </w:r>
          </w:p>
        </w:tc>
      </w:tr>
      <w:tr>
        <w:trPr/>
        <w:tc>
          <w:tcPr>
            <w:tcW w:w="5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adjustment</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w:t>
            </w:r>
          </w:p>
        </w:tc>
      </w:tr>
      <w:tr>
        <w:trPr/>
        <w:tc>
          <w:tcPr>
            <w:tcW w:w="585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Total other comprehensive </w:t>
            </w:r>
            <w:r>
              <w:rPr>
                <w:rFonts w:ascii="Times New Roman;serif" w:hAnsi="Times New Roman;serif"/>
                <w:b w:val="false"/>
                <w:i w:val="false"/>
                <w:caps w:val="false"/>
                <w:smallCaps w:val="false"/>
                <w:strike w:val="false"/>
                <w:dstrike w:val="false"/>
                <w:sz w:val="20"/>
                <w:u w:val="none"/>
                <w:effect w:val="none"/>
              </w:rPr>
              <w:t>(loss) income</w:t>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r>
      <w:tr>
        <w:trPr/>
        <w:tc>
          <w:tcPr>
            <w:tcW w:w="585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Comprehensive </w:t>
            </w:r>
            <w:r>
              <w:rPr>
                <w:rFonts w:ascii="Times New Roman;serif" w:hAnsi="Times New Roman;serif"/>
                <w:b w:val="false"/>
                <w:i w:val="false"/>
                <w:caps w:val="false"/>
                <w:smallCaps w:val="false"/>
                <w:strike w:val="false"/>
                <w:dstrike w:val="false"/>
                <w:sz w:val="20"/>
                <w:u w:val="none"/>
                <w:effect w:val="none"/>
              </w:rPr>
              <w:t>income (loss)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$3,604.5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pPr>
      <w:r>
        <w:rPr>
          <w:rFonts w:ascii="Times New Roman;serif" w:hAnsi="Times New Roman;serif"/>
          <w:b/>
          <w:i w:val="false"/>
          <w:caps w:val="false"/>
          <w:smallCaps w:val="false"/>
          <w:sz w:val="20"/>
        </w:rPr>
        <w:t>(in millions, exce</w:t>
      </w:r>
      <w:r>
        <w:rPr>
          <w:rFonts w:ascii="Times New Roman;serif" w:hAnsi="Times New Roman;serif"/>
          <w:b/>
          <w:i w:val="false"/>
          <w:caps w:val="false"/>
          <w:smallCaps w:val="false"/>
          <w:strike w:val="false"/>
          <w:dstrike w:val="false"/>
          <w:sz w:val="20"/>
          <w:u w:val="none"/>
          <w:effect w:val="none"/>
          <w:shd w:fill="FFFFFF" w:val="clear"/>
        </w:rPr>
        <w:t>pt share and per share data)</w:t>
      </w:r>
    </w:p>
    <w:tbl>
      <w:tblPr>
        <w:tblW w:w="8797" w:type="dxa"/>
        <w:jc w:val="left"/>
        <w:tblInd w:w="0" w:type="dxa"/>
        <w:tblLayout w:type="fixed"/>
        <w:tblCellMar>
          <w:top w:w="28" w:type="dxa"/>
          <w:left w:w="28" w:type="dxa"/>
          <w:bottom w:w="28" w:type="dxa"/>
          <w:right w:w="28" w:type="dxa"/>
        </w:tblCellMar>
      </w:tblPr>
      <w:tblGrid>
        <w:gridCol w:w="6991"/>
        <w:gridCol w:w="826"/>
        <w:gridCol w:w="109"/>
        <w:gridCol w:w="871"/>
      </w:tblGrid>
      <w:tr>
        <w:trPr/>
        <w:tc>
          <w:tcPr>
            <w:tcW w:w="69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91"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December 31,</w:t>
            </w:r>
          </w:p>
        </w:tc>
      </w:tr>
      <w:tr>
        <w:trPr/>
        <w:tc>
          <w:tcPr>
            <w:tcW w:w="699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Assets</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assets: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and cash equivalents</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$4,569.6</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Marketable securities</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1,546.3</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receivable, net</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1,609.4</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Inventories</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1,686.8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1,205.4</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Prepaid expenses and other current assets</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665.7</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assets</w:t>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11,201.0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9,596.4</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Property and equipment, net</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1,227.8</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Goodwill</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intangible assets, net</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825.9</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Deferred tax assets</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2,897.9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2,331.1</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Operating lease assets</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1,356.8</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marketable securities</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5,107.9</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assets</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999.3</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assets</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$22,533.2</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Liabilities and Shareholders’ Equity</w:t>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$413.0</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2,971.2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2,788.6</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current liabilities</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363.0</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liabilities</w:t>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3,564.6</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operating lease liabilities</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1,544.4</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long-term liabilities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1,269.5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1,014.6</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w:t>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6,977.2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6,123.6</w:t>
            </w:r>
          </w:p>
        </w:tc>
      </w:tr>
      <w:tr>
        <w:trPr/>
        <w:tc>
          <w:tcPr>
            <w:tcW w:w="699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Commitments and contingencies (</w:t>
            </w:r>
            <w:r>
              <w:rPr>
                <w:rFonts w:ascii="Times New Roman;serif" w:hAnsi="Times New Roman;serif"/>
                <w:b w:val="false"/>
                <w:i w:val="false"/>
                <w:caps w:val="false"/>
                <w:smallCaps w:val="false"/>
                <w:strike w:val="false"/>
                <w:dstrike w:val="false"/>
                <w:sz w:val="18"/>
                <w:u w:val="none"/>
                <w:effect w:val="none"/>
              </w:rPr>
              <w:t>Note P</w:t>
            </w:r>
            <w:r>
              <w:rPr>
                <w:rFonts w:ascii="Times New Roman;serif" w:hAnsi="Times New Roman;serif"/>
                <w:b w:val="false"/>
                <w:i w:val="false"/>
                <w:caps w:val="false"/>
                <w:smallCaps w:val="false"/>
                <w:sz w:val="18"/>
              </w:rPr>
              <w:t>)</w:t>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Shareholders’ equity:</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Preferred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1,000,000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none</w:t>
            </w:r>
            <w:r>
              <w:rPr>
                <w:caps w:val="false"/>
                <w:smallCaps w:val="false"/>
                <w:sz w:val="24"/>
              </w:rPr>
              <w:t xml:space="preserve"> </w:t>
            </w:r>
            <w:r>
              <w:rPr>
                <w:rFonts w:ascii="Times New Roman;serif" w:hAnsi="Times New Roman;serif"/>
                <w:b w:val="false"/>
                <w:i w:val="false"/>
                <w:caps w:val="false"/>
                <w:smallCaps w:val="false"/>
                <w:sz w:val="18"/>
              </w:rPr>
              <w:t>issued and outstanding</w:t>
            </w:r>
          </w:p>
        </w:tc>
        <w:tc>
          <w:tcPr>
            <w:tcW w:w="826"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99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Common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500,000,000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253,991,224</w:t>
            </w:r>
            <w:r>
              <w:rPr>
                <w:caps w:val="false"/>
                <w:smallCaps w:val="false"/>
                <w:sz w:val="24"/>
              </w:rPr>
              <w:t xml:space="preserve"> </w:t>
            </w:r>
            <w:r>
              <w:rPr>
                <w:rFonts w:ascii="Times New Roman;serif" w:hAnsi="Times New Roman;serif"/>
                <w:b w:val="false"/>
                <w:i w:val="false"/>
                <w:caps w:val="false"/>
                <w:smallCaps w:val="false"/>
                <w:sz w:val="18"/>
              </w:rPr>
              <w:t xml:space="preserve">and </w:t>
            </w:r>
            <w:r>
              <w:rPr>
                <w:rFonts w:ascii="Times New Roman;serif" w:hAnsi="Times New Roman;serif"/>
                <w:b w:val="false"/>
                <w:i w:val="false"/>
                <w:caps w:val="false"/>
                <w:smallCaps w:val="false"/>
                <w:strike w:val="false"/>
                <w:dstrike w:val="false"/>
                <w:sz w:val="18"/>
                <w:u w:val="none"/>
                <w:effect w:val="none"/>
              </w:rPr>
              <w:t>256,940,382</w:t>
            </w:r>
            <w:r>
              <w:rPr>
                <w:caps w:val="false"/>
                <w:smallCaps w:val="false"/>
                <w:sz w:val="24"/>
              </w:rPr>
              <w:t xml:space="preserve"> </w:t>
            </w:r>
          </w:p>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shares issued and outstanding, respectively</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Additional paid-in capital</w:t>
            </w:r>
          </w:p>
        </w:tc>
        <w:tc>
          <w:tcPr>
            <w:tcW w:w="82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6,672.4</w:t>
            </w:r>
          </w:p>
        </w:tc>
      </w:tr>
      <w:tr>
        <w:trPr/>
        <w:tc>
          <w:tcPr>
            <w:tcW w:w="699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Accumulated other comprehensive </w:t>
            </w:r>
            <w:r>
              <w:rPr>
                <w:rFonts w:ascii="Times New Roman;serif" w:hAnsi="Times New Roman;serif"/>
                <w:b w:val="false"/>
                <w:i w:val="false"/>
                <w:caps w:val="false"/>
                <w:smallCaps w:val="false"/>
                <w:strike w:val="false"/>
                <w:dstrike w:val="false"/>
                <w:sz w:val="18"/>
                <w:u w:val="none"/>
                <w:effect w:val="none"/>
              </w:rPr>
              <w:t>(loss) income</w:t>
            </w:r>
          </w:p>
        </w:tc>
        <w:tc>
          <w:tcPr>
            <w:tcW w:w="82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127.8</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Retained earnings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9,606.8</w:t>
            </w:r>
          </w:p>
        </w:tc>
      </w:tr>
      <w:tr>
        <w:trPr/>
        <w:tc>
          <w:tcPr>
            <w:tcW w:w="69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shareholders’ equity</w:t>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18,665.8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16,409.6</w:t>
            </w:r>
          </w:p>
        </w:tc>
      </w:tr>
      <w:tr>
        <w:trPr/>
        <w:tc>
          <w:tcPr>
            <w:tcW w:w="69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 and shareholders’ equity</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$22,533.2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Consolidated Statements of Shareholders’ Equity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w:t>
      </w:r>
    </w:p>
    <w:tbl>
      <w:tblPr>
        <w:tblW w:w="9882" w:type="dxa"/>
        <w:jc w:val="left"/>
        <w:tblInd w:w="0" w:type="dxa"/>
        <w:tblLayout w:type="fixed"/>
        <w:tblCellMar>
          <w:top w:w="28" w:type="dxa"/>
          <w:left w:w="28" w:type="dxa"/>
          <w:bottom w:w="28" w:type="dxa"/>
          <w:right w:w="28" w:type="dxa"/>
        </w:tblCellMar>
      </w:tblPr>
      <w:tblGrid>
        <w:gridCol w:w="3856"/>
        <w:gridCol w:w="586"/>
        <w:gridCol w:w="109"/>
        <w:gridCol w:w="691"/>
        <w:gridCol w:w="109"/>
        <w:gridCol w:w="916"/>
        <w:gridCol w:w="109"/>
        <w:gridCol w:w="1261"/>
        <w:gridCol w:w="109"/>
        <w:gridCol w:w="826"/>
        <w:gridCol w:w="109"/>
        <w:gridCol w:w="1201"/>
      </w:tblGrid>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sz w:val="4"/>
                <w:szCs w:val="4"/>
              </w:rPr>
            </w:pPr>
            <w:r>
              <w:rPr>
                <w:sz w:val="4"/>
                <w:szCs w:val="4"/>
              </w:rPr>
            </w:r>
          </w:p>
        </w:tc>
        <w:tc>
          <w:tcPr>
            <w:tcW w:w="138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Additional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Paid-in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Accumulated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Other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Retained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Shareholders’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2022</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$7,386.5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$13,912.7</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loss</w:t>
            </w:r>
            <w:r>
              <w:rPr>
                <w:rFonts w:ascii="Times New Roman;serif" w:hAnsi="Times New Roman;serif"/>
                <w:b w:val="false"/>
                <w:i w:val="false"/>
                <w:caps w:val="false"/>
                <w:smallCaps w:val="false"/>
                <w:sz w:val="16"/>
              </w:rPr>
              <w:t>, net of tax</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(15.1)</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3,619.6</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(427.6)</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Common stock withheld for employee tax obligations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(226.1)</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Issuance of common stock under benefit plans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133.4</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583.5</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2023</w:t>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$7,449.7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$10,142.4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$17,580.4</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income</w:t>
            </w:r>
            <w:r>
              <w:rPr>
                <w:rFonts w:ascii="Times New Roman;serif" w:hAnsi="Times New Roman;serif"/>
                <w:b w:val="false"/>
                <w:i w:val="false"/>
                <w:caps w:val="false"/>
                <w:smallCaps w:val="false"/>
                <w:sz w:val="16"/>
              </w:rPr>
              <w:t>, net of tax</w:t>
            </w:r>
          </w:p>
        </w:tc>
        <w:tc>
          <w:tcPr>
            <w:tcW w:w="58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142.1</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loss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(535.6)</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(1,194.9)</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Common stock withheld for employee tax obligations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(405.0)</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113.5</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709.1</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2024</w:t>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$9,606.8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$16,409.6</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loss</w:t>
            </w:r>
            <w:r>
              <w:rPr>
                <w:rFonts w:ascii="Times New Roman;serif" w:hAnsi="Times New Roman;serif"/>
                <w:b w:val="false"/>
                <w:i w:val="false"/>
                <w:caps w:val="false"/>
                <w:smallCaps w:val="false"/>
                <w:sz w:val="16"/>
              </w:rPr>
              <w:t>, net of tax</w:t>
            </w:r>
          </w:p>
        </w:tc>
        <w:tc>
          <w:tcPr>
            <w:tcW w:w="58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(143.7)</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3,953.2</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(2,011.5)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(2,011.6)</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Common stock withheld for employee tax obligations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(369.9)</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127.9</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expense</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700.3</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2025</w:t>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$18,665.8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Consolidated Statements of Cash Flows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tbl>
      <w:tblPr>
        <w:tblW w:w="8802" w:type="dxa"/>
        <w:jc w:val="left"/>
        <w:tblInd w:w="0" w:type="dxa"/>
        <w:tblLayout w:type="fixed"/>
        <w:tblCellMar>
          <w:top w:w="28" w:type="dxa"/>
          <w:left w:w="28" w:type="dxa"/>
          <w:bottom w:w="28" w:type="dxa"/>
          <w:right w:w="28" w:type="dxa"/>
        </w:tblCellMar>
      </w:tblPr>
      <w:tblGrid>
        <w:gridCol w:w="6181"/>
        <w:gridCol w:w="766"/>
        <w:gridCol w:w="109"/>
        <w:gridCol w:w="766"/>
        <w:gridCol w:w="109"/>
        <w:gridCol w:w="871"/>
      </w:tblGrid>
      <w:tr>
        <w:trPr/>
        <w:tc>
          <w:tcPr>
            <w:tcW w:w="6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181" w:type="dxa"/>
            <w:tcBorders/>
            <w:vAlign w:val="center"/>
          </w:tcPr>
          <w:p>
            <w:pPr>
              <w:pStyle w:val="TableContents"/>
              <w:bidi w:val="0"/>
              <w:spacing w:before="0" w:after="283"/>
              <w:jc w:val="left"/>
              <w:rPr>
                <w:sz w:val="4"/>
                <w:szCs w:val="4"/>
              </w:rPr>
            </w:pPr>
            <w:r>
              <w:rPr>
                <w:sz w:val="4"/>
                <w:szCs w:val="4"/>
              </w:rPr>
            </w:r>
          </w:p>
        </w:tc>
        <w:tc>
          <w:tcPr>
            <w:tcW w:w="262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Year Ended December 31,</w:t>
            </w:r>
          </w:p>
        </w:tc>
      </w:tr>
      <w:tr>
        <w:trPr/>
        <w:tc>
          <w:tcPr>
            <w:tcW w:w="6181"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flows from operating activities:</w:t>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 (loss)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$3,953.2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$3,619.6</w:t>
            </w:r>
          </w:p>
        </w:tc>
      </w:tr>
      <w:tr>
        <w:trPr/>
        <w:tc>
          <w:tcPr>
            <w:tcW w:w="618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Adjustments to reconcile net </w:t>
            </w:r>
            <w:r>
              <w:rPr>
                <w:rFonts w:ascii="Times New Roman;serif" w:hAnsi="Times New Roman;serif"/>
                <w:b w:val="false"/>
                <w:i w:val="false"/>
                <w:caps w:val="false"/>
                <w:smallCaps w:val="false"/>
                <w:strike w:val="false"/>
                <w:dstrike w:val="false"/>
                <w:sz w:val="16"/>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16"/>
              </w:rPr>
              <w:t xml:space="preserve">to net cash </w:t>
            </w:r>
            <w:r>
              <w:rPr>
                <w:rFonts w:ascii="Times New Roman;serif" w:hAnsi="Times New Roman;serif"/>
                <w:b w:val="false"/>
                <w:i w:val="false"/>
                <w:caps w:val="false"/>
                <w:smallCaps w:val="false"/>
                <w:strike w:val="false"/>
                <w:dstrike w:val="false"/>
                <w:sz w:val="16"/>
                <w:u w:val="none"/>
                <w:effect w:val="none"/>
              </w:rPr>
              <w:t>provided by (used in)</w:t>
            </w:r>
            <w:r>
              <w:rPr>
                <w:caps w:val="false"/>
                <w:smallCaps w:val="false"/>
                <w:sz w:val="24"/>
              </w:rPr>
              <w:t xml:space="preserve"> </w:t>
            </w:r>
            <w:r>
              <w:rPr>
                <w:rFonts w:ascii="Times New Roman;serif" w:hAnsi="Times New Roman;serif"/>
                <w:b w:val="false"/>
                <w:i w:val="false"/>
                <w:caps w:val="false"/>
                <w:smallCaps w:val="false"/>
                <w:sz w:val="16"/>
              </w:rPr>
              <w:t xml:space="preserve">operating </w:t>
            </w:r>
          </w:p>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activities:</w:t>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Stock-based compensation expense</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581.2</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Depreciation and amortization expense</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181.3</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asset impairment charges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income taxes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(536.5)</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non-cash items, net</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(42.6)</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operating assets and liabilities:</w:t>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Accounts receivable, net</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(84.1)</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Inventories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(322.9)</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 and other assets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(545.7)</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Accounts payable</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48.7</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Accrued expenses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429.4</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liabilities</w:t>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208.9</w:t>
            </w:r>
          </w:p>
        </w:tc>
      </w:tr>
      <w:tr>
        <w:trPr/>
        <w:tc>
          <w:tcPr>
            <w:tcW w:w="618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cash </w:t>
            </w:r>
            <w:r>
              <w:rPr>
                <w:rFonts w:ascii="Times New Roman;serif" w:hAnsi="Times New Roman;serif"/>
                <w:b w:val="false"/>
                <w:i w:val="false"/>
                <w:caps w:val="false"/>
                <w:smallCaps w:val="false"/>
                <w:strike w:val="false"/>
                <w:dstrike w:val="false"/>
                <w:sz w:val="16"/>
                <w:u w:val="none"/>
                <w:effect w:val="none"/>
              </w:rPr>
              <w:t>provided by (used in)</w:t>
            </w:r>
            <w:r>
              <w:rPr>
                <w:caps w:val="false"/>
                <w:smallCaps w:val="false"/>
                <w:sz w:val="24"/>
              </w:rPr>
              <w:t xml:space="preserve"> </w:t>
            </w:r>
            <w:r>
              <w:rPr>
                <w:rFonts w:ascii="Times New Roman;serif" w:hAnsi="Times New Roman;serif"/>
                <w:b w:val="false"/>
                <w:i w:val="false"/>
                <w:caps w:val="false"/>
                <w:smallCaps w:val="false"/>
                <w:sz w:val="16"/>
              </w:rPr>
              <w:t>operating activities</w:t>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3,631.4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3,537.3</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flows from investing activities:</w:t>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available-for-sale debt securities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(6,396.5)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(7,438.2)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(3,786.5)</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Sales and maturities of available-for-sale debt securities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839.1</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property and equipment</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(200.4)</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Proceeds related to equity securities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95.1</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payments related to finite-lived intangible assets</w:t>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(58.0)</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Acquisition of available-for-sale debt securities from Alpine Immune Sciences, Inc.</w:t>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investing activities</w:t>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(31.0)</w:t>
            </w:r>
          </w:p>
        </w:tc>
      </w:tr>
      <w:tr>
        <w:trPr/>
        <w:tc>
          <w:tcPr>
            <w:tcW w:w="618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cash </w:t>
            </w:r>
            <w:r>
              <w:rPr>
                <w:rFonts w:ascii="Times New Roman;serif" w:hAnsi="Times New Roman;serif"/>
                <w:b w:val="false"/>
                <w:i w:val="false"/>
                <w:caps w:val="false"/>
                <w:smallCaps w:val="false"/>
                <w:strike w:val="false"/>
                <w:dstrike w:val="false"/>
                <w:sz w:val="16"/>
                <w:u w:val="none"/>
                <w:effect w:val="none"/>
              </w:rPr>
              <w:t>used in</w:t>
            </w:r>
            <w:r>
              <w:rPr>
                <w:caps w:val="false"/>
                <w:smallCaps w:val="false"/>
                <w:sz w:val="24"/>
              </w:rPr>
              <w:t xml:space="preserve"> </w:t>
            </w:r>
            <w:r>
              <w:rPr>
                <w:rFonts w:ascii="Times New Roman;serif" w:hAnsi="Times New Roman;serif"/>
                <w:b w:val="false"/>
                <w:i w:val="false"/>
                <w:caps w:val="false"/>
                <w:smallCaps w:val="false"/>
                <w:sz w:val="16"/>
              </w:rPr>
              <w:t>investing activities</w:t>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(3,141.7)</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flows from financing activities:</w:t>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Issuances of common stock under benefit plans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134.6</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(2,017.4)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(427.6)</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Payments in connection with common stock withheld for employee tax obligations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(226.1)</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Payments on finance leases</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(44.9)</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financing activities</w:t>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r>
      <w:tr>
        <w:trPr/>
        <w:tc>
          <w:tcPr>
            <w:tcW w:w="618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cash </w:t>
            </w:r>
            <w:r>
              <w:rPr>
                <w:rFonts w:ascii="Times New Roman;serif" w:hAnsi="Times New Roman;serif"/>
                <w:b w:val="false"/>
                <w:i w:val="false"/>
                <w:caps w:val="false"/>
                <w:smallCaps w:val="false"/>
                <w:strike w:val="false"/>
                <w:dstrike w:val="false"/>
                <w:sz w:val="16"/>
                <w:u w:val="none"/>
                <w:effect w:val="none"/>
              </w:rPr>
              <w:t>used in</w:t>
            </w:r>
            <w:r>
              <w:rPr>
                <w:caps w:val="false"/>
                <w:smallCaps w:val="false"/>
                <w:sz w:val="24"/>
              </w:rPr>
              <w:t xml:space="preserve"> </w:t>
            </w:r>
            <w:r>
              <w:rPr>
                <w:rFonts w:ascii="Times New Roman;serif" w:hAnsi="Times New Roman;serif"/>
                <w:b w:val="false"/>
                <w:i w:val="false"/>
                <w:caps w:val="false"/>
                <w:smallCaps w:val="false"/>
                <w:sz w:val="16"/>
              </w:rPr>
              <w:t>financing activities</w:t>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(2,261.3)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(562.2)</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Effect of changes in exchange rates on cash</w:t>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26.9</w:t>
            </w:r>
          </w:p>
        </w:tc>
      </w:tr>
      <w:tr>
        <w:trPr/>
        <w:tc>
          <w:tcPr>
            <w:tcW w:w="618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increase (decrease)</w:t>
            </w:r>
            <w:r>
              <w:rPr>
                <w:caps w:val="false"/>
                <w:smallCaps w:val="false"/>
                <w:sz w:val="24"/>
              </w:rPr>
              <w:t xml:space="preserve"> </w:t>
            </w:r>
            <w:r>
              <w:rPr>
                <w:rFonts w:ascii="Times New Roman;serif" w:hAnsi="Times New Roman;serif"/>
                <w:b w:val="false"/>
                <w:i w:val="false"/>
                <w:caps w:val="false"/>
                <w:smallCaps w:val="false"/>
                <w:sz w:val="16"/>
              </w:rPr>
              <w:t>in cash, cash equivalents and restricted cash</w:t>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(5,800.1)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(139.7)</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cash equivalents and restricted cash—beginning of period</w:t>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10,512.0</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cash equivalents and restricted cash—end of period</w:t>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$5,087.8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$4,572.2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$10,372.3</w:t>
            </w:r>
          </w:p>
        </w:tc>
      </w:tr>
      <w:tr>
        <w:trPr/>
        <w:tc>
          <w:tcPr>
            <w:tcW w:w="6181"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Supplemental disclosure of cash flow information:</w:t>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paid for income taxes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$1,677.3</w:t>
            </w:r>
          </w:p>
        </w:tc>
      </w:tr>
      <w:tr>
        <w:trPr/>
        <w:tc>
          <w:tcPr>
            <w:tcW w:w="61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paid for interest</w:t>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$43.1</w:t>
            </w:r>
          </w:p>
        </w:tc>
      </w:tr>
      <w:tr>
        <w:trPr/>
        <w:tc>
          <w:tcPr>
            <w:tcW w:w="61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payments due to CRISPR Therapeutics AG related to finite-lived intangible assets</w:t>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$180.0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F-8</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A.Nature of Business and Accounting Policies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Business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Vertex Pharmaceuticals Incorporated (“Vertex,” “we,” “us” or “our”) is a global biotechnology company that invests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scientific innovation to create transformative medicines for people with serious diseases, with a focus on specialty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approved medicines for cystic fibrosis (“CF”), sickle cell disease (“SCD”), transfusion dependent beta thalassemia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(“TDT”), and acute pain, and we continue to serially innovate and advance next-generation clinical and research programs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areas. Our mid- and late-stage clinical pipeline includes programs across a range of modalities in additional serious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diseases, including IgA nephropathy (“IgAN”), APOL1-mediated kidney disease, neuropathic pain, type 1 diabetes (“T1D”),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primary membranous nephropathy (“pMN”), autosomal dominant polycystic kidney disease, and myotonic dystrophy type 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(“DM1”).</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marketed CF medicines are ALYFTREK (vanzacaftor/tezacaftor/deutivacaftor), which was approved by the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Food and Drug Administration (“FDA”) in December 2024, TRIKAFTA/KAFTRIO (elexacaftor/tezacaftor/ivacaftor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ivacaftor), SYMDEKO/SYMKEVI (tezacaftor/ivacaftor and ivacaftor), ORKAMBI (lumacaftor/ivacaftor) and KALYDECO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(ivacaftor).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CASGEVY (exagamglogene autotemcel), our ex-vivo, non-viral CRISPR/Cas9-based gene-editing therapy for severe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SCD and TDT, is approved in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United States (“U.S.”) and across multiple geographies including Europe, Canada,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Middle East. CASGEVY was initially approved by the FDA in December 2023.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January 2025, the FDA approved JOURNAVX (suzetrigine), our first-in-class, oral pain signal inhibitor that is highly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selective for voltage-gated sodium channel NaV1.8, for the treatment of moderate-to-severe acute pain in adults.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Basis of Presentation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consolidated financial statements, which have been prepared in accordance with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principles generally accepted in the U.S. (“U.S. GAAP”), reflect the operations of Vertex and our wholly owned subsidiaries.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All material intercompany balances and transactions have been eliminated. We operate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segment, pharmaceuticals.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Q, “Segment Information,”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enterprise-wide disclosures regarding our revenues, major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segment expenses, and long-lived assets by geographic area.</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consolidated financial statements in accordance with U.S. GAAP requires us to make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estimates and assumptions that affect the reported amounts of assets and liabilities and disclosure of contingent assets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at the date of our consolidated financial statements, and the amounts of revenues and expenses during the reported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We base our estimates on historical experience and various other assumptions, including in certain circumstances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future projections that we believe to be reasonable under the circumstances. Actual results could differ from those estimates.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estimates are reflected in reported results in the period in which they become known.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 Recognition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recognize revenue when a customer obtains control of promised goods or services. We record the amount of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that reflects the consideration that we expect to receive in exchange for those goods or services. We apply the following five-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step model to determine this amount: (i) identification of the promised goods or services in the contract; (ii) determination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whether the promised goods or services are performance obligations, including whether they are distinct in the context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(iii) measurement of the transaction price, including the constraint on variable consideration; (iv) allocation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 price to the performance obligations; and (v) recognition of revenue when (or as) we satisfy each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only apply the five-step model to contracts when it is probable that we will collect the consideration to which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entitled in exchange for the goods or services that we transfer to the customer. Once a contract is determined to be within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F-9</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scope of Accounting Standards Codification (“ASC”) 606, </w:t>
      </w:r>
      <w:r>
        <w:rPr>
          <w:rFonts w:ascii="Times New Roman;serif" w:hAnsi="Times New Roman;serif"/>
          <w:b w:val="false"/>
          <w:i/>
          <w:strike w:val="false"/>
          <w:dstrike w:val="false"/>
          <w:sz w:val="20"/>
          <w:u w:val="none"/>
          <w:effect w:val="none"/>
        </w:rPr>
        <w:t xml:space="preserve">Revenue from Contracts with Customers </w:t>
      </w:r>
      <w:r>
        <w:rPr>
          <w:rFonts w:ascii="Times New Roman;serif" w:hAnsi="Times New Roman;serif"/>
          <w:b w:val="false"/>
          <w:i w:val="false"/>
          <w:caps w:val="false"/>
          <w:smallCaps w:val="false"/>
          <w:strike w:val="false"/>
          <w:dstrike w:val="false"/>
          <w:sz w:val="20"/>
          <w:u w:val="none"/>
          <w:effect w:val="none"/>
        </w:rPr>
        <w:t xml:space="preserve">at contract inception,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review the contract to determine which performance obligations we must deliver and which of these performance obligations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distinct. We recognize as revenue the amount of the transaction price that is allocated to each performance obligation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that performance obligation is satisfied or as it is satisfied. Generally, our performance obligations are transferred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at a point in time, typically upon delivery.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Product Revenues,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sell our products primarily to a limited number of specialty pharmacy and specialty distributors globally,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certain major wholesalers in the U.S. and to retail pharmacies, hospitals and clinics internationally. Many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hospitals and clinics are government-owned or supported. Our customers in the U.S. subsequently resell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to patients, health care providers, retail pharmacies, hospitals, or authorized treatment centers (“ATCs”). In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markets, we may sell CASGEVY directly to ATCs. Revenue recognition typically occurs upon delivery of our small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molecule products, including our CF medicines and JOURNAVX, and upon infusion of our gene-therapy products,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CASGEVY.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from product sales are recorded at the net sales price, or “transaction price,” which includes estimates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variable consideration that result from (a) invoice discounts for prompt payment and distribution fees, (b) government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private payor rebates, chargebacks, discounts and fees, (c) product returns, and (d) other adjustments for certain indirect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including costs of co-pay assistance programs for patients. Reserves are established for the estimates of variable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consideration based on the amounts earned or to be claimed on the related sales. The reserves are classified as reductions to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Accounts receivable,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if payable to a customer or “Accrued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if payable to a third-party. Where appropriate,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utilize the expected value method to determine the appropriate amount for estimates of variable consideration based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factors such as our historical experience, current contractual and statutory requirements, specific known market events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trends, industry data and forecasted customer buying and payment patterns. The amount of variable consideration that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the transaction price may be constrained and is included in our net product revenues only to the extent that it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probable that a significant reversal in the amount of the cumulative revenue recognized will not occur in a future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Actual amounts of consideration ultimately received may differ from our estimates. If actual results vary from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estimates, we adjust these estimates, which would affect net product revenue and earnings in the period such variances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become known.</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Invoice Discounts and Distribution Fees: </w:t>
      </w:r>
      <w:r>
        <w:rPr>
          <w:rFonts w:ascii="Times New Roman;serif" w:hAnsi="Times New Roman;serif"/>
          <w:b w:val="false"/>
          <w:i w:val="false"/>
          <w:caps w:val="false"/>
          <w:smallCaps w:val="false"/>
          <w:strike w:val="false"/>
          <w:dstrike w:val="false"/>
          <w:sz w:val="20"/>
          <w:u w:val="none"/>
          <w:effect w:val="none"/>
        </w:rPr>
        <w:t xml:space="preserve">In the U.S., we may provide invoice discounts on product sales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customers for prompt payment and pay distribution and administrative fees, such as fees for certain data that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 to us. These fees are based on a fixed percentage of sales. We estimate that, based on our experience, our customers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will earn these discounts and fees, and deduct the full amount of these discounts and fees from our gross product revenues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accounts receivable at the time such revenues are recognized.</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Rebates, Chargebacks, Discounts and Fees: </w:t>
      </w:r>
      <w:r>
        <w:rPr>
          <w:rFonts w:ascii="Times New Roman;serif" w:hAnsi="Times New Roman;serif"/>
          <w:b w:val="false"/>
          <w:i w:val="false"/>
          <w:caps w:val="false"/>
          <w:smallCaps w:val="false"/>
          <w:strike w:val="false"/>
          <w:dstrike w:val="false"/>
          <w:sz w:val="20"/>
          <w:u w:val="none"/>
          <w:effect w:val="none"/>
        </w:rPr>
        <w:t>We contract with government agencies and commercial payors (our “Third-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party Payors”) so that products will be eligible for purchase by, or partial or full reimbursement from, such Third-party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Payors. We estimate the rebates, chargebacks, discounts and fees we will provide to Third-party Payors and deduct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estimated amounts from our gross product revenues at the time the revenues are recognized. For each product, we estimate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aggregate rebates, chargebacks and discounts that we will provide to Third-party Payors based upon (i) our contracts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Third-party Payors, (ii) the government-mandated discounts and fees applicable to government-funded programs,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(iii) information obtained from our customers and other third-party data regarding the payor mix for such product and (iv)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historical experience.</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Product Returns: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Return policies vary by product and market. We typically permit returns if our product is damaged,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defective, or otherwise cannot be used by our customer. In specific</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cases, we will allow returns for expired product as defined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within specific customer agreements. We record deductions from our gross product revenues for estimated sales returns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the related revenue is recognized and base our estimate for returns on historical experience and known or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changes in the marketplace specific to each product.</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Other Adjustments: </w:t>
      </w:r>
      <w:r>
        <w:rPr>
          <w:rFonts w:ascii="Times New Roman;serif" w:hAnsi="Times New Roman;serif"/>
          <w:b w:val="false"/>
          <w:i w:val="false"/>
          <w:caps w:val="false"/>
          <w:smallCaps w:val="false"/>
          <w:strike w:val="false"/>
          <w:dstrike w:val="false"/>
          <w:sz w:val="20"/>
          <w:u w:val="none"/>
          <w:effect w:val="none"/>
        </w:rPr>
        <w:t xml:space="preserve">We offer patient support programs to eligible patients, such as co-pay assistance programs,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require us to establish accruals based on an estimated cost per claim that we expect to receive.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F-10</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make significant estimates and judgments that materially affect our recognition of net product revenues. Our most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estimate relates to determining amounts due pursuant to the Medicaid Drug Rebate Program, including estimating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level of expected utilization of the rebates based on the amount of product sold to eligible patients. We adjust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estimated rebates, chargebacks and discounts based on new information, including information regarding actual rebates,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chargebacks and discounts for our products, as it becomes available. Claims by Third-party Payors for rebates, chargebacks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discounts frequently are submitted to us significantly after the related sales, potentially resulting in adjustments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in which the new information becomes known. Our credits to product revenue related to prior period sales have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been significant and primarily related to rebates and discounts.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payment terms, which typically range from 30 to 150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days depending on the product and market, are consistent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prevailing market practice. We do not adjust our net product revenues for the effects of a significant financing component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where we expect, at contract inception, the period between our customer obtaining control of our product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when we receive payment to be one year or less.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exclude taxes collected from customers relating to product sales and remitted to governmental authorities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Contract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had contract liabilities</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of $171.8 million</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rPr>
        <w:t>and $206.8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related to annual contracts with government-owned and supported customers in international markets that limit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 of annual reimbursement we can receive for our CF products. Upon exceeding the annual reimbursement amount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provided by the customer’s contract with us, our CF products are provided free of charge, which is a material right.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contracts include upfront payments and fees. If we estimate that we will exceed the annual reimbursement amount under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we defer a portion of the consideration received for shipments made up to the annual reimbursement limit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portion of “Other current liabilities.” Once the reimbursement limit has been reached, we recognize the deferred amount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when we deliver the free products. Our CF product revenue contracts include performance obligations that are 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year or less.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contract liabilities at the end of each fiscal year relate to contracts with CF annual reimbursement limits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markets in which the annual period associated with the contract is not the same as our fiscal year. In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markets we recognize revenues related to performance obligations satisfied in previous years; however, these revenues do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 to any performance obligations that were satisfied more than 12 months prior to the beginning of the current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years ended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 we recorded $206.8 million, $170.3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$159.6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 of CF product revenues that were recorded as contract liabilities at the beginning of the year.</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Revenues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not recognized significant revenues other than our product revenues during the three years ended December 31,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In 2025, our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 primarily related to $20.6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associated with upfront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for licenses that we concluded were distinct, received from our agreements with Ono Pharmaceuticals Co., Ltd.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(“Ono”) and Zai Lab Limited (“Zai”), respectively. Please refer to Note B, “Collaboration, License and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 about these agreements.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future periods, we may recognize additional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generated through collaborative research, development and/or commercialization agreements related to one or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following: nonrefundable upfront license fees; development and commercial milestones; funding of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activities; and royalties on net sales of licensed products. Revenue is recognized upon satisfaction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obligation by transferring control of a good or service to our collaborator.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each agreement that results in revenue, we identify all material performance obligations and determine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 price by estimating the amount of variable consideration at the outset of the contract. We constrain (reduce)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 of variable consideration such that it is probable that a significant reversal of previously recognized revenue will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occur throughout the life of the contract. We utilize the sales- and usage-based royalty exception in arrangements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resulted from the license of intellectual property, recognizing revenues generated from royalties as the underlying sales occur.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F-11</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Once the estimated transaction price is established, amounts are allocated to each separate performance obligation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has been identified on a relative standalone selling price basis. The consideration allocated to each distinct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 is recognized as revenue when control of the related goods or services is transferred.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Cost of Sales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cost of sales primarily includes royalty expenses, cost of product sales, intangible asset amortization expenses,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items related to our manufacturing processes, adjusted by CRISPR Therapeutics AG’s (“CRISPR”) share of the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commercial profits or losses for CASGEVY. Please refer to Note B, “Collaboration, License and Other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further information on our royalties related to our CF products and our agreements with CRISPR related to the treatment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net commercial profits or losses for CASGEVY.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Shipping and handling costs incurred for inventory purchases are capitalized and recorded upon sale in “Cost of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consolidated statements of income (loss). Shipping and handling costs incurred for product shipments are recorded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incurred in “Cost of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our consolidated statements of income (loss).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and Development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Research and development expenses are comprised of costs we incur in performing research and development activities,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salary and benefits; stock-based compensation expense; outsourced services and other direct expenses,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clinical trial, pharmaceutical development and drug supply costs; and infrastructure costs, including facilities costs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depreciation expense. We recognize research and development expenses as incurred. We capitalize nonrefundable advance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we make for research and development activities and expense the payments as the related goods are delivered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related services are performed.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research and development activities include upfront, contingent milestone, and other payments pursuant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business development transactions, including collaborations, licenses of third-party technologies, and asset acquisitions. In-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process research and development that is acquired in a transaction that does not qualify as a business combination under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GAAP and that does not have an alternative future use is recorded to “Acquired in-process research and development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(“AIPR&amp;D”) in our consolidated 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period in which it is acquired.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transactions that do not qualify as a business combination, we present the cost to acquire AIPR&amp;D within our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flows from operating activities" in our consolidated statements of cash flows.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Stock-based Compensation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expense the fair value of employee restricted stock units and other forms of stock-based employee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the associated employee service period on a straight-line basis. Stock-based compensation expense is determined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the fair value of the award at the grant date and is adjusted each period to reflect actual forfeitures and the outcomes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performance conditions.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awards with performance conditions in which the award does not vest unless the performance condition is met,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 expense if, and to the extent that, we estimate that achievement of the performance condition is probable. If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conclude that vesting is probable, we recognize expense from the date we reach this conclusion through the estimated vesting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provide to employees who have rendered a certain number of years of service to Vertex and meet certain age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requirements, partial or full acceleration of vesting of these equity awards, subject to certain conditions including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notification period, upon a termination of employment other than for cause. A low percentage of our employees were eligible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partial or full acceleration of any of their equity awards as of December 31, 2025. We recognize stock-based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compensation expense related to these awards over a service period reflecting qualified employees’ eligibility for partial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full acceleration of vesting.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F-12</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N, “Stock-based Compensation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tables displaying our stock-based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 by type of award and by line item within our consolidated statements of income (loss).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Advertising Costs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Advertising costs, including promotional expenses were $202.8 million, $85.7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2023, respectively. Our advertising costs are expensed as incurred and recorded to “Selling, general and administrative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expenses,” in our consolidated statements of income (loss).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Contingent Consideration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base our estimates of the probability of achieving the milestones relevant to the fair value of contingent payments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industry data and our knowledge of the programs and viability of the programs. Estimates included in the discounted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flow models pertaining to contingent payments also include: (i) estimates regarding the timing of the relevant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commercial milestones and royalties, and (ii) and appropriate discount rates. We record any increases or decreases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fair value of our contingent payments to “Change in fair value of contingent consideration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our consolidated statements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(loss). We record our contingent consideration liabilities at fair value on our consolidated balance sheets as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“Other long-term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depending on when we estimate we will pay them. Please refer to Note 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Fair Value Measurements,”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provision for income taxes is accounted for under the asset and liability method and includes federal, state, local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foreign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Deferred tax assets and liabilities are recognized for the estimated future tax consequences of temporary differences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between the financial statement carrying amounts and the income tax bases of assets and liabilities. Deferred tax assets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are measured using enacted tax rates expected to apply to taxable income in the year in which the temporary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differences are expected to be recovered or settled. A valuation allowance is applied against any net deferred tax asset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the available evidence, it is more likely than not that some or all of the deferred tax assets will not be realized.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periodic basis, we reassess the valuation allowance on our deferred income tax assets weighing positive and negative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evidence to assess the recoverability of our deferred tax assets. We include, among other things, our recent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and our future projections in this periodic assessment.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liabilities related to uncertain tax positions by prescribing a minimum recognition threshold and measurement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attribute for the financial statement recognition and measurement of a tax position taken or expected to be taken in a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return. We evaluate our uncertain tax positions on a quarterly basis and consider various factors, including, but not limited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changes in tax law, the measurement of tax positions taken or expected to be taken in our tax returns, and changes in facts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circumstances related to a tax position. We adjust our liabilities to reflect any subsequent changes in the relevant facts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circumstances surrounding the uncertain positions. We accrue interest and penalties related to unrecognized tax benefits as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component of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part of the U.S. Tax Cut and Jobs Act of 2017, we are subject to a territorial tax system, under which we must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establish an accounting policy to provide for tax on Net Controlled Foreign Corporation Tested Income (“NCTI”) (formerly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Global Intangible Low Taxed Income) earned by certain foreign subsidiaries. We have elected to treat the impact of NCTI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current tax expense in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Net Income (Loss)</w:t>
      </w:r>
      <w:r>
        <w:rPr>
          <w:strike w:val="false"/>
          <w:dstrike w:val="false"/>
          <w:sz w:val="24"/>
          <w:u w:val="none"/>
          <w:effect w:val="none"/>
        </w:rPr>
        <w:t xml:space="preserve"> </w:t>
      </w:r>
      <w:r>
        <w:rPr>
          <w:rFonts w:ascii="Times New Roman;serif" w:hAnsi="Times New Roman;serif"/>
          <w:b w:val="false"/>
          <w:i/>
          <w:strike w:val="false"/>
          <w:dstrike w:val="false"/>
          <w:sz w:val="20"/>
          <w:u w:val="none"/>
          <w:effect w:val="none"/>
        </w:rPr>
        <w:t>Per Common Share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Basic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common share is based upon the weighted-average number of common shares outstanding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period. Diluted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common share utilizing the treasury-stock method is based upon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weighted-average number of common shares outstanding during the period plus additional weighted-average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equivalent shares outstanding during the period when the effect is dilutive. Potentially dilutive shares result from the assumed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 vesting of restricted stock units (“RSUs”) and performance-based restricted stock units (“PSUs”), and (ii) exercise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stock options. The proceeds of such vestings or exercises are assumed to have been used to repurchase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outstanding stock using the treasury-stock method.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Comprehensive Income (Loss)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Comprehensive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consists of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other comprehensive (loss) income, which includes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currency translation adjustments and unrealized gains and losses on foreign currency forward contracts and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available-for-sale debt securities. For purposes of comprehensive income disclosures, we record provisions for or benefits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income taxes related to the unrealized gains and losses on foreign currency forward contracts and our available-for-sale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debt securities. We record provisions for or benefits from income taxes related to our cumulative translation adjustment only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those undistributed earnings in our foreign subsidiaries that we do not intend to permanently reinvest.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Cash and Cash Equivalents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consider all highly liquid investments with original maturities of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or less at the date of purchase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equivalents.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Marketable Securities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our marketable securities consisted of investments in available-for-sale debt securities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corporate equity securities with readily determinable fair values. We classify marketable securities with current maturities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less than one year as current assets on our consolidated balance sheets. The remainder of our marketable securities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classified as long-term assets within “Long-term marketable securities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consolidated balance sheets. The fair value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securities is based on quoted prices for identical or similar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unrealized gains (losses) on available-for-sale debt securities as a component of “Accumulated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comprehensive (loss) income,” which is a separate component of shareholders’ equity on our consolidated balance sheets,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until such gains and losses are realized. Realized gains and losses, if any, are determined using the specific identification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method.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available-for-sale debt securities in unrealized loss positions, we are required to assess whether to record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allowance for credit losses using an expected loss model. A credit loss is limited to the amount by which the amortized cost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an investment exceeds its fair value. A previously recognized credit loss may be decreased in subsequent periods if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 of fair value for the investment increases. To determine whether to record a credit loss, we consider issuer specific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ratings and historical losses as well as current economic conditions and our expectations for future economic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conditions.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changes in the fair value of our investments in corporate equity securities to “Other expense, net”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income (loss). Realized gains and losses, which are also included in “Other expense, net,”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determined on an original weighted-average cost basis.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Accounts Receivable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deduct invoice discounts for prompt payment and fees for distribution services from our accounts receivable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our experience that our customers will earn these discounts and fees. Our estimates for our allowance for credit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has not been significant to date, is determined based on existing contractual payment terms, historical payment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patterns, current economic conditions and our expectation for future economic conditions.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Concentration of Credit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instruments that potentially subject us to concentration of credit risk consist principally of cash equivalents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marketable securities. We place these investments with highly rated financial institutions, and, by policy, limit the amount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exposure to any one financial institution. We also maintain a foreign currency hedging program that includes 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currency forward contracts with several counterparties. We have not experienced any credit losses related to these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instruments and do not believe we are exposed to any significant credit risk related to these instruments.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also subject to credit risk from our accounts receivable related to our product sales and collaborators.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evaluate the creditworthiness of each of our customers and have determined that all our material customers are creditworthy.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date, we have not experienced significant losses with respect to the collection of our accounts receivable. We believe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F-14</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allowances, which are not significant to our consolidated financial statements, are adequate at December 31, 2025. Please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refer to Note Q, “Segment Information,”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Inventories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value our inventories at the lower-of-cost or net realizable value. We determine the cost of our inventories,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 amounts related to materials and manufacturing overhead, on a first-in, first-out basis. We perform an assessment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recoverability of our capitalized inventory during each reporting period and write down any excess and obsolete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inventories to their net realizable value in the period in which the impairment is first identified.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capitalize inventories prior to regulatory approval when we consider the related product candidate to have a high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likelihood of regulatory approval and expect to recover the related costs. In making this determination, we evaluate, among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factors, the status of regulatory submissions and communications with regulatory authorities, information regarding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 candidate’s safety and efficacy, and the outlook for commercial sales, including the existence of any competition.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Property and Equipment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Property and equipment are recorded at cost, net of accumulated depreciation. Depreciation expense is recorded using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straight-line method over the estimated useful life of the related asset generally as follows:</w:t>
      </w:r>
    </w:p>
    <w:tbl>
      <w:tblPr>
        <w:tblW w:w="9396" w:type="dxa"/>
        <w:jc w:val="left"/>
        <w:tblInd w:w="0" w:type="dxa"/>
        <w:tblLayout w:type="fixed"/>
        <w:tblCellMar>
          <w:top w:w="28" w:type="dxa"/>
          <w:left w:w="28" w:type="dxa"/>
          <w:bottom w:w="28" w:type="dxa"/>
          <w:right w:w="28" w:type="dxa"/>
        </w:tblCellMar>
      </w:tblPr>
      <w:tblGrid>
        <w:gridCol w:w="4456"/>
        <w:gridCol w:w="109"/>
        <w:gridCol w:w="4831"/>
      </w:tblGrid>
      <w:tr>
        <w:trPr/>
        <w:tc>
          <w:tcPr>
            <w:tcW w:w="4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Description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Estimated Useful Life</w:t>
            </w:r>
          </w:p>
        </w:tc>
      </w:tr>
      <w:tr>
        <w:trPr/>
        <w:tc>
          <w:tcPr>
            <w:tcW w:w="44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Buildings and improvements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15</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40</w:t>
            </w:r>
            <w:r>
              <w:rPr>
                <w:caps w:val="false"/>
                <w:smallCaps w:val="false"/>
                <w:sz w:val="24"/>
              </w:rPr>
              <w:t xml:space="preserve"> </w:t>
            </w:r>
            <w:r>
              <w:rPr>
                <w:rFonts w:ascii="Times New Roman;serif" w:hAnsi="Times New Roman;serif"/>
                <w:b w:val="false"/>
                <w:i w:val="false"/>
                <w:caps w:val="false"/>
                <w:smallCaps w:val="false"/>
                <w:sz w:val="20"/>
              </w:rPr>
              <w:t>years</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Laboratory equipment, other equipment and furniture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3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7</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10</w:t>
            </w:r>
            <w:r>
              <w:rPr>
                <w:caps w:val="false"/>
                <w:smallCaps w:val="false"/>
                <w:sz w:val="24"/>
              </w:rPr>
              <w:t xml:space="preserve"> </w:t>
            </w:r>
            <w:r>
              <w:rPr>
                <w:rFonts w:ascii="Times New Roman;serif" w:hAnsi="Times New Roman;serif"/>
                <w:b w:val="false"/>
                <w:i w:val="false"/>
                <w:caps w:val="false"/>
                <w:smallCaps w:val="false"/>
                <w:sz w:val="20"/>
              </w:rPr>
              <w:t>years</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Leasehold improvements; assets under finance 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The shorter of the useful life of the assets or the estimated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remaining term of the associated lease</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Computers and software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3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erif" w:hAnsi="Times New Roman;serif"/>
                <w:b w:val="false"/>
                <w:i w:val="false"/>
                <w:caps w:val="false"/>
                <w:smallCaps w:val="false"/>
                <w:sz w:val="20"/>
              </w:rPr>
              <w:t>years</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Maintenance and repairs to an asset that do not improve or extend its life are expensed as incurred. When assets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retired or otherwise disposed of, the assets and related accumulated depreciation are eliminated from the accounts and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resulting gain or loss is reflected in our consolidated statements of income (loss). We perform an assessment of the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assets if indicators of impairment are identified during a reporting period and record the assets at the lower of the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book value or the fair value of the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capitalize costs incurred to develop software for internal use during the application development stage, which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depreciated over the useful life of the related asset.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Goodwill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difference between the purchase price and the fair value of assets acquired and liabilities assumed in a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combination is allocated to goodwill. Goodwill is evaluated for impairment by reporting unit on an annual basis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October 1, and more frequently if indicators are present or changes in circumstances suggest that impairment may exist.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noted in </w:t>
      </w:r>
      <w:r>
        <w:rPr>
          <w:rFonts w:ascii="Times New Roman;serif" w:hAnsi="Times New Roman;serif"/>
          <w:b w:val="false"/>
          <w:i/>
          <w:strike w:val="false"/>
          <w:dstrike w:val="false"/>
          <w:sz w:val="20"/>
          <w:u w:val="none"/>
          <w:effect w:val="none"/>
        </w:rPr>
        <w:t>Basis of Presentation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above, we have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operating segment, pharmaceuticals, which is our only reporting unit.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In-process Research and Development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the fair value of in-process research and development assets as of the transaction date of a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combination on our consolidated balance sheets as “Other intangible assets, net.” These assets are used in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activities but have not yet reached technological feasibility, which occurs when we complete the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efforts by obtaining regulatory approval to market an underlying product candidate. We characterize in-process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research and development assets on our consolidated balance sheets as indefinite-lived intangible assets until either they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achieve regulatory approval and become finite-lived intangible assets, or the assets are impaired. Upon completion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associated research and development efforts, we will determine the remaining estimated life of the marketed product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begin amortizing the carrying value of the assets over this period. If the assets become impaired or are abandoned,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carrying value is written down to fair value, and we record an impairment charge in the period in which the impairment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F-15</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occurs. We test in-process research and development assets for impairment on an annual basis as of October 1, and more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frequently if indicators are present or changes in circumstances suggest that impairment may exist.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our in-process research and development assets is determined using either the multi-period excess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earnings or the relief from royalty methods of the income approach. Each method requires us to make: (i) assumptions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regarding the probability of obtaining marketing approval for a product candidate; (ii) estimates of future cash flows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potential product sales with respect to a product candidate; and (iii) appropriate discount and tax rates. The multi-period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excess earnings method also requires us to estimate the timing of and the expected costs to develop and commercialize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 candidate. The relief from royalty method also requires us to estimate the after-tax royalty savings expected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ownership of a product candidate that we acquired.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Finite-lived Intangible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finite-lived intangible assets at cost, net of accumulated amortization, on our consolidated balance sheets as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Other intangible assets, net.” Most of these assets relate to our marketed products and may include, among other things,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completed research and development projects that were previously reflected on our consolidated balance sheets as in-process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research and development assets, or rights to developed technology associated with in-licenses, regulatory approval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milestones due to our collaborators, or other payments. We amortize our finite-lived intangible assets related to our marketed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products using the straight-line method within “Cost of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over the remaining estimated life of the assets beginning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in which regulatory approval is achieved or the assets are acquired and continuing through the period that we no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longer have either exclusive rights to market the products associated with the assets or in-license rights to the intellectual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property underlying the assets.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test our finite-lived intangible assets for impairment if indicators are present or changes in circumstances suggest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value of the assets may not be recoverable. If we determine that the carrying value of a finite-lived intangible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may not be recoverable, we compare the carrying value of the asset’s group to the undiscounted cash flows that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 the asset group to generate. When we determine that a finite-lived intangible asset has become impaired, we write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down the carrying value of the asset to its fair value and record an impairment charge in the period in which the impairment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occurs.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determine whether an arrangement contains a lease at inception. If a lease is identified in an arrangement,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 a right-of-use asset and liability on our consolidated balance sheet and determine whether the lease should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classified as a finance or operating lease. We do not recognize assets or liabilities for leases with lease terms of less than 12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months.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lease qualifies as a finance lease if any of the following criteria are met at the inception of the lease: (i) there is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transfer of ownership of the leased asset to Vertex by the end of the lease term, (ii) we hold an option to purchase the leased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that we are reasonably certain to exercise, (iii) the lease term is for a major part of the remaining economic life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leased asset, (iv) the present value of the sum of lease payments equals or exceeds substantially all of the fair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leased asset, or (v) the nature of the leased asset is specialized to the point that it is expected to provide the lessor no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alternative use at the end of the lease term. All other leases are recorded as operating 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Finance and operating lease assets and liabilities are recognized at the lease commencement date based on the present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the lease payments over the lease term using the discount rate implicit in the lease. If the rate implicit is not readily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determinable, we utilize our incremental borrowing rate at the lease commencement date. Operating lease assets are further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adjusted for prepaid or accrued lease payments. Operating lease payments are expensed using the straight-line method as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operating expense over the lease term. Finance lease assets are amortized to depreciation expense using the straight-line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method over the shorter of the useful life of the related asset or the lease term. Finance lease payments are bifurcated into (i)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portion that is recorded as imputed interest expense and (ii) a portion that reduces the finance liability associated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lease.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our real estate leases, we account for lease and fixed non-lease components together as a single lease component.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embedded leases with contract manufacturing organizations, we account for the lease component separately from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F-16</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non-lease components. Variable lease payments are expensed as incurred. If a lease includes an option to extend or terminate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lease, we reflect the option in the lease term if it is reasonably certain we will exercise the option.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Finance leases are recorded in “Property and equipment, net,”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“Other long-term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liabilities,” and operating leases are recorded in “Operating lease assets,”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“Long-term operating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our consolidated balance sheets.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Cloud Computing Service Contracts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classify costs incurred to implement cloud computing service contracts as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consolidated balance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sheets. Amortization is recorded over the noncancellable term of the cloud computing service contract, plus any optional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renewal periods that are reasonably certain to be exercised.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Hedging Activities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recognize the fair value of our foreign currency forward contracts that are designated and qualify as hedging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instruments pursuant to U.S. GAAP as either assets or liabilities on our consolidated balance sheets. Changes in the fair value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these instruments are recorded each period in “Accumulated other comprehensive (loss)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unrealized gains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until the forecasted underlying transaction occurs. Unrealized gains and losses on these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contracts are included in “Prepaid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“Other assets,” and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Other long-term liabilities,” respectively, on our consolidated balance sheets depending on the remaining period until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contractual maturity. Realized gains and losses for the effective portion of such contracts are recognized in “Product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our consolidated statement of income in the same period that we recognize the product revenues that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impacted by the hedged foreign exchange rate changes. We classify the cash flows from hedging instruments in the same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category as the cash flows from the hedged items.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of our hedging instruments are subject to master netting arrangements to reduce the risk arising from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with our counterparties. We present unrealized gains and losses on our foreign currency forward contracts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gross basis within our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also enter into foreign currency forward contracts designed to mitigate the effect of changes in foreign exchange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on monetary assets and liabilities. Realized gains and losses for these contracts are recognized in “Other expense,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our consolidated 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period because they are not designated as hedge instruments pursuant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 GAAP.</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Legal Matters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are and may become subject to claims and legal proceedings in the ordinary course of our business activities. If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determine that it is probable that future expenditures will be made for a particular matter and such expenditures can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reasonably estimated, we accrue a loss contingency based on our best estimate of the probable range of loss. We accrue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minimum amount within the probable range of loss if no amount within the range is more likely than another. If we determine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future expenditures are not probable, or probable but not reasonably estimated, we do not accrue a loss contingency.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determine that a material loss is reasonably possible and the range of loss can be estimated, we disclose the possible range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loss.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Translation and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majority of our operations occur in entities that have the U.S. dollar denominated as their functional currency.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and liabilities of our entities with functional currencies other than the U.S. dollar are translated into U.S. dollars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exchange rates in effect at the end of the year. Revenue and expense amounts for these entities are translated using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average exchange rates for the period. Changes resulting from foreign currency translation are included in “Accumulated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comprehensive (loss)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Net foreign currency exchange transaction losses, which are included in “Other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on our consolidated statements of income (loss), were $13.7 million, $27.3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$24.6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2023, respectively. These net foreign currency exchange losses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presented net of the impact of the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forward contracts designed to mitigate their effect on our consolidated statements of income (loss).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F-17</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 Repurchase Programs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Repurchases of our common stock are recorded as reductions to “Common Stock” and “Additional paid-in capital</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our established accounting policy. Repurchases in excess of the par value will be recorded as reductions to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Retained earnings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event that “Additional paid-in capital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reduced to zero.</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Recently Adopted Accounting Standards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Segment Reporting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the Financial Accounting Standards Board (“FASB”) issued Accounting Standards Update (“ASU”) 2023-07,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Segment Reporting (Topic 280): Improvements to Reportable Segment Disclosures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(“ASU 2023-07”), which requires public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entities to disclose significant segment expenses and other segment items. ASU 2023-07 also requires public entities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 in interim periods all disclosures about a reportable segment’s profit or loss and assets that are currently required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annually. ASU 2023-07 became effective for the annual period starting on January 1, 2024, and for the interim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starting on January 1, 2025. We have disclosed significant segment expenses, other segment items, and our measure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segment profit or loss in Note Q, “Segment Information.”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Income Tax Disclosures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2023, the FASB issued ASU 2023-09, </w:t>
      </w:r>
      <w:r>
        <w:rPr>
          <w:rFonts w:ascii="Times New Roman;serif" w:hAnsi="Times New Roman;serif"/>
          <w:b w:val="false"/>
          <w:i/>
          <w:strike w:val="false"/>
          <w:dstrike w:val="false"/>
          <w:sz w:val="20"/>
          <w:u w:val="none"/>
          <w:effect w:val="none"/>
        </w:rPr>
        <w:t>Income Taxes (Topic 740): Improvements to Income Tax Disclosures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(“ASU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2023-09”), which requires public entities to disclose in their rate reconciliation table additional categories of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about federal, state and foreign income taxes and to provide more details about the reconciling items in some categories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items meet a quantitative threshold. ASU 2023-09 became effective for the annual period starting on January 1, 2025.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adoption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ASU 2023-09,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a prospective basis, resulted in expansion of our income tax footnote disclosures in Note O,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Income Taxes,”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including a more detailed effective tax rate reconciliation.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Recently Issued Accounting Standards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Disaggregation of Income Statement Expenses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2024, the FASB issued ASU 2024-03, </w:t>
      </w:r>
      <w:r>
        <w:rPr>
          <w:rFonts w:ascii="Times New Roman;serif" w:hAnsi="Times New Roman;serif"/>
          <w:b w:val="false"/>
          <w:i/>
          <w:strike w:val="false"/>
          <w:dstrike w:val="false"/>
          <w:sz w:val="20"/>
          <w:u w:val="none"/>
          <w:effect w:val="none"/>
        </w:rPr>
        <w:t xml:space="preserve">Income Statement—Reporting Comprehensive Income—Expense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Disaggregation Disclosures (Subtopic 220-40): Disaggregation of Income Statement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(“ASU 2024-03”),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requires public entities, among other items, to disclose in a tabular format, on an annual and interim basis, purchases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inventory, employee compensation, depreciation, intangible asset amortization and depletion for each income statement line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item that contains those expenses. ASU 2024-03 becomes effective for the annual period starting on January 1, 2027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periods starting on January 1, 2028. We are in the process of analyzing the impact that the adoption of ASU 2024-03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will have on our disclosures.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Internal-Use Software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2025, the FASB issued ASU 2025-06, </w:t>
      </w:r>
      <w:r>
        <w:rPr>
          <w:rFonts w:ascii="Times New Roman;serif" w:hAnsi="Times New Roman;serif"/>
          <w:b w:val="false"/>
          <w:i/>
          <w:strike w:val="false"/>
          <w:dstrike w:val="false"/>
          <w:sz w:val="20"/>
          <w:u w:val="none"/>
          <w:effect w:val="none"/>
        </w:rPr>
        <w:t xml:space="preserve">Intangibles—Goodwill and Other—Internal-Use Software (Subtopic 350-40):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Targeted Improvements to the Accounting for Internal-Use Software </w:t>
      </w:r>
      <w:r>
        <w:rPr>
          <w:rFonts w:ascii="Times New Roman;serif" w:hAnsi="Times New Roman;serif"/>
          <w:b w:val="false"/>
          <w:i w:val="false"/>
          <w:caps w:val="false"/>
          <w:smallCaps w:val="false"/>
          <w:strike w:val="false"/>
          <w:dstrike w:val="false"/>
          <w:sz w:val="20"/>
          <w:u w:val="none"/>
          <w:effect w:val="none"/>
        </w:rPr>
        <w:t xml:space="preserve">(“ASU 2025-06”), which eliminates consideration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software project development stages and replaces them with modernized recognition and measurement guidance designed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reflect current internal-use software development practices. ASU 2025-06 becomes effective for the annual and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starting on January 1, 2028. We are in the process of analyzing the impact that the adoption of ASU 2025-06 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B.Collaboration, License and Other Arrangements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entered into numerous business development agreements with third parties to collaborate on research,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and commercialization programs, license technologies, or acquire assets. Our AIPR&amp;D included $133.0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$527.1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respectively, related to upfront, contingent milestone,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F-18</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payments pursuant to our business development transactions. In 2024, our AIPR&amp;D included $4.4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associated with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acquisition of Alpine Immune Sciences, Inc. (“Alpine”) as discussed below.</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Asset Acquisitions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Alpine Immune Sciences, Inc. - povetacicept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May 20, 2024, we acquired all of the issued and outstanding shares of common stock of Alpine, a publicly traded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biotechnology company focused on discovering and developing innovative, protein-based immunotherapies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approximately $5.0 billion. We funded the Alpine acquisition with our cash and cash equivalents.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Alpine’s lead molecule, povetacicept, is a dual inhibitor of B cell activating factor (“BAFF”) and a proliferation-inducing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ligand (“APRIL”) pathways. As of the acquisition date, povetacicept was in Phase 2 development and had shown potential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best-in-class efficacy in IgAN, a serious progressive, life-threatening kidney disease that often progresses to end-stage-renal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disease. Due to its mechanism of action as a dual BAFF/APRIL inhibitor, povetacicept also holds the potential to benefit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patients with multiple diseases, such as pMN and generalized myasthenia gravis. We accounted for the Alpine transaction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 asset acquisition because povetacicept represented substantially all of the fair value of the gross assets that we acquired.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a result, $4.4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fair value attributed to povetacicept was expensed to AIPR&amp;D in 2024.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paid total cash of $5.0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the acquisition date, which included $4.8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acquire Alpine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$197.6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cash-settled unvested Alpine equity awards. The $197.6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represented post-acquisition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which was recorded as $165.0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“Research and development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$32.6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“Selling, general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administrative expenses.”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total cash paid to acquire Alpine, allocation of consideration to the assets acquired and liabilities assumed and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AIPR&amp;D was as follows:</w:t>
      </w:r>
    </w:p>
    <w:tbl>
      <w:tblPr>
        <w:tblW w:w="6831" w:type="dxa"/>
        <w:jc w:val="left"/>
        <w:tblInd w:w="0" w:type="dxa"/>
        <w:tblLayout w:type="fixed"/>
        <w:tblCellMar>
          <w:top w:w="28" w:type="dxa"/>
          <w:left w:w="28" w:type="dxa"/>
          <w:bottom w:w="28" w:type="dxa"/>
          <w:right w:w="28" w:type="dxa"/>
        </w:tblCellMar>
      </w:tblPr>
      <w:tblGrid>
        <w:gridCol w:w="5551"/>
        <w:gridCol w:w="109"/>
        <w:gridCol w:w="1171"/>
      </w:tblGrid>
      <w:tr>
        <w:trPr/>
        <w:tc>
          <w:tcPr>
            <w:tcW w:w="5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5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consideration to acquire Alpine’s outstanding 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$4,536.9</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consideration for Alpine’s vested and unvested equity awards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420.6</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cash consideration paid to Alpine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4,957.5</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Less: Expense related to unvested equity awards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(197.6)</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40.7</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consideration allocated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$4,800.6</w:t>
            </w:r>
          </w:p>
        </w:tc>
      </w:tr>
      <w:tr>
        <w:trPr/>
        <w:tc>
          <w:tcPr>
            <w:tcW w:w="5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$31.9</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marketable securities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209.5</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48.5</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asset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105.5</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(37.5)</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identifiable assets acquired,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377.4</w:t>
            </w:r>
          </w:p>
        </w:tc>
      </w:tr>
      <w:tr>
        <w:trPr/>
        <w:tc>
          <w:tcPr>
            <w:tcW w:w="55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4,423.2</w:t>
            </w:r>
          </w:p>
        </w:tc>
      </w:tr>
      <w:tr>
        <w:trPr/>
        <w:tc>
          <w:tcPr>
            <w:tcW w:w="55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consideration allocated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$4,800.6</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In-license Agreements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entered into several in-license agreements to advance and obtain access to technologies and services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research and early-development activities. We are generally required to make an upfront payment upon execution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license agreements; development, regulatory and commercialization milestones payments upon the achievement of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F-19</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 research, development and commercialization objectives; and royalty payments on future sales, if any, of commercial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products resulting from our collaborations.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the terms of our in-license agreements, our collaborators typically lead the discovery efforts and we lead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preclinical, development and commercialization activities associated with the advancement of any product candidates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fund all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typically can terminate our in-license agreements by providing advance notice to our collaborators. Our license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agreements may be terminated by either party for a material breach by the other, subject to notice and cure provisions. Unless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earlier terminated, these license agreements generally remain in effect until the date on which the royalty term and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payment obligations with respect to all products in all countries have expired.</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CRISPR Therapeutics AG</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CRISPR-Cas9 Gene-editing Therapies Agreements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2015, we entered into a strategic collaboration, option and license agreement (the “CRISPR Agreement”)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CRISPR and its affiliates to collaborate on the discovery and development of potential new treatments aimed at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underlying genetic causes of human diseases using CRISPR-Cas9 gene-editing technology. We had the exclusive right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license certain targets. In 2019, we elected to exclusively license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targets, including CF, pursuant to the CRISPR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Agreement. For each of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targets that we elected to license, CRISPR has the potential to receive up to an 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development, regulatory and commercial milestones as well as royalties on resulting net product sales.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2017, we entered into a joint development and commercialization agreement with CRISPR (the “CRISPR JDCA”),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we amended and restated in 2021, pursuant to the terms of the CRISPR Agreement. Under the CRISPR JDCA, we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CRISPR were co-developing and preparing to co-commercialize CASGEVY for the treatment of hemoglobinopathies,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including treatments for SCD and TDT.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the CRISPR JDCA, we lead global development, manufacturing and commercialization of CASGEVY,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support from CRISPR. We also conduct all research, development, manufacturing and commercialization activities relating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other product candidates and products under the CRISPR JDCA throughout the world subject to CRISPR’s reserved right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conduct certain activities.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CASGEVY was approved by the FDA in December 2023 for the treatment of SCD. In connection with this approval,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made a $200.0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milestone payment to CRISPR in January 2024. Please refer to Note J, “Goodwill and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Intangible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further information. Subsequent to receiving marketing approval for CASGEVY, we continue to lead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research and development activities under the CRISPR JDCA, subject to CRISPR’s reserved right to conduct certain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activities. We are reimbursed by CRISPR for its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of these research and development activities, subject to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adjustments, and we record this reimbursement from CRISPR as a credit within “Research and development expenses.”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also share with CRISPR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net commercial profits or losses incurred with respect to CASGEVY, subject to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adjustments, which is recorded to “Cost of sales.” The net commercial profits or losses equal the sum of the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cost of sales and selling, general and administrative expenses that we have recognized related to the CRISPR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JDCA.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we recognized net reimbursements from CRISPR pursuant to the CRISPR JDCA as credits to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Cost of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$146.8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$73.5 million, respectively, related to CRISPR’s share of the CRISPR JDCA’s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commercial loss, and to “Research and development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$62.2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$31.6 million, respectively,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CRISPR’s share of the CRISPR JDCA’s research and development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2025, we received $12.5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CRISPR, pursuant to the CRISPR JDCA, for its share of our upfront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payment paid to Orna Therapeutics in December 2024, which we recorded as a credit to AIPR&amp;D in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Prior to receiving marketing approval from the FDA for CASGEVY in December 2023, we accounted for the CRISPR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JDCA as a cost-sharing arrangement, with costs incurred related to CASGEVY allocated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us and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CRISPR,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certain adjustments. In 2023, we recognized net reimbursements from CRISPR as credits to “Research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development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$61.9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“Selling, general and administrative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$32.0 million,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CRISPR’s share of the CRISPR JDCA’s operating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F-20</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CRISPR-Cas9 Gene-editing Hypoimmune Cell Therapies Agreement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we entered into a non-exclusive license agreement (the “CRISPR T1D Agreement”) for the use of CRISPR’s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CRISPR-Cas9 gene-editing technology to accelerate the development of our hypoimmune cell therapies for T1D. Pursuant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CRISPR T1D Agreement, we made a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upfront payment to CRISPR, and we determined that substantially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the fair value of our upfront payment was attributable to in-process research and development, for which there is no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alternative future use, and that no substantive processes were acquired that would constitute a business. In the second quarter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2023, we achieved a research milestone that resulted in a $70.0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payment to CRISPR. We recorded the upfront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 and the research milestone, totaling $170.0 million, to AIPR&amp;D in 2023. In 2024, we achieved additional research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milestones totaling $35.0 million, which were recorded to AIPR&amp;D. CRISPR is eligible to receive up to an 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$125.0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research, development, regulatory and commercial milestones, as well as royalties on resulting net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sales.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Entrada Therapeutics, Inc.</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we entered into a strategic collaboration and license agreement (the “Entrada Agreement”) with Entrada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Therapeutics, Inc. (“Entrada”) focused on discovering and developing intracellular therapeutics for DM1. Upon closing,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made an upfront payment of $225.1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Entrada, and purchased $24.9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Entrada’s common stock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connection with the Entrada Agreement. We determined that substantially all the fair value of our upfront payment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in-process research and development, for which there was no alternative future use, and that no substantive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processes were acquired that would constitute a business. In 2024 and 2023, Entrada also earned milestones of $75.0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$17.5 million, respectively. As a result, we recorded $75.0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$242.6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total to AIPR&amp;D in 2024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2023, respectively. We recorded the investment in Entrada’s common stock at fair value on our consolidated balance sheet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within “Marketable securities.” Entrada is eligible to receive up to an additional $335.0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development, regulatory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commercial milestones for any products that may result from the Entrada Agreement, as well as royalties on resulting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 sales.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Moderna, Inc.</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2016, we entered into a strategic collaboration and licensing agreement with Moderna, Inc. (“Moderna”), pursuant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the parties are seeking to identify and develop messenger ribonucleic acid (“mRNA”) therapeutics encoding cystic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fibrosis transmembrane conductance regulator for the treatment of CF. Moderna is eligible to receive up to $270.0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development and regulatory milestones as well as royalties on net product sales related to this agreement.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Additional In-License Agreements and Other Arrangements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the agreements described above, we recorded upfront, option and milestone payments totaling $145.5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$95.2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$114.5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AIPR&amp;D related to additional in-license agreements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business development transactions that we do not consider to be individually significant to our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For each of these transactions, we determined that substantially all the fair value of the consideration for each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individual agreement was attributable to in-process research and development, for which we did not have any alternative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future use, and no substantive processes were acquired that would constitute a business.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D, “Fair Value Measurements,”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Note E, “Marketable Securities and Equity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further information regarding our investments in our collaborators.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Out-license Agreements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entered into licensing agreements pursuant to which we have out-licensed rights to certain product candidates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third-party collaborators. Pursuant to these out-license agreements, our collaborators may become responsible for all costs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related to the continued development of such product candidates and obtain development and commercialization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product candidates, either globally or within certain geographic regions. Depending on the terms of the agreements,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collaborators may be required to make upfront payments, milestone payments upon the achievement of certain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research, development and regulatory objectives and may also be required to pay royalties on future sales, if any,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F-21</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 products resulting from the collaboration. The termination provisions associated with these collaborations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generally the same as those described above related to our in-license agreements.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Zai Lab Limited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January 2025, we entered into an agreement with Zai for the development and commercialization of povetacicept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mainland China, Hong Kong SAR, Macau SAR, Taiwan region, and Singapore. Under the agreement, Zai will help advance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povetacicept clinical trials and will be responsible for obtaining marketing authorizations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licensed territories. Zai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will also be responsible for commercialization activities in the licensed territories, if povetacicept becomes an approved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product. Under the terms of the agreement, we received a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upfront payment in the first quarter of 2025,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recorded as “Other revenues.” We are eligible to receive from Zai certain milestone payments and tiered royalties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future net sales of povetacicept in the region of focus.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Ono Pharmaceuticals Co., Ltd.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June 2025, we entered into an agreement with Ono for the development and commercialization of povetacicept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Japan and South Korea. Under the agreement, Ono will help advance the povetacicept clinical trials and will be responsible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obtaining marketing authorizations in Japan and South Korea. Ono will also be responsible for commercialization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in Japan and South Korea, if povetacicept becomes an approved product. Under the terms of the agreement,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received a $20.6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upfront payment in the second quarter of 2025, which was recorded as “Other revenues.”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eligible to receive from Ono certain milestone payments and tiered royalties on future net sales of povetacicept in Japan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South Korea.</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Cystic Fibrosis Foundation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2004, we entered into an agreement (the “CFF Agreement”) with the Cystic Fibrosis Foundation (the “CFF”),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successor in interest to the Cystic Fibrosis Foundation Therapeutics, Inc., to support research and development activities.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the CFF Agreement, as amended, we have agreed to pay tiered royalties ranging from single digits to sub-teens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covered compounds first synthesized and/or tested during a research term on or before February 28, 2014,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ivacaftor, lumacaftor and tezacaftor, and royalties ranging from low-single digits to mid-single digits on net sales of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compounds first synthesized and/or tested between March 1, 2014 and August 31, 2016, including elexacaftor. We do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any royalty obligations on compounds first synthesized and tested on or after September 1, 2016. For combination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such as ORKAMBI, SYMDEKO/SYMKEVI, TRIKAFTA/KAFTRIO, and ALYFTREK, sales are allocated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equally to each of the active pharmaceutical ingredients in the combination product, and royalties are then paid for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royalty-bearing components included in the combination. We record expenses related to these royalty obligations to “Cost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sales.”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F-22</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C.Earnings Per Share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sets forth the computation of basic and diluted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common share for the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ended:</w:t>
      </w:r>
    </w:p>
    <w:tbl>
      <w:tblPr>
        <w:tblW w:w="7934" w:type="dxa"/>
        <w:jc w:val="left"/>
        <w:tblInd w:w="0" w:type="dxa"/>
        <w:tblLayout w:type="fixed"/>
        <w:tblCellMar>
          <w:top w:w="28" w:type="dxa"/>
          <w:left w:w="28" w:type="dxa"/>
          <w:bottom w:w="28" w:type="dxa"/>
          <w:right w:w="28" w:type="dxa"/>
        </w:tblCellMar>
      </w:tblPr>
      <w:tblGrid>
        <w:gridCol w:w="4531"/>
        <w:gridCol w:w="1037"/>
        <w:gridCol w:w="136"/>
        <w:gridCol w:w="1000"/>
        <w:gridCol w:w="136"/>
        <w:gridCol w:w="1094"/>
      </w:tblGrid>
      <w:tr>
        <w:trPr/>
        <w:tc>
          <w:tcPr>
            <w:tcW w:w="45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3403"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3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3403"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 share amounts)</w:t>
            </w:r>
          </w:p>
        </w:tc>
      </w:tr>
      <w:tr>
        <w:trPr/>
        <w:tc>
          <w:tcPr>
            <w:tcW w:w="45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 (loss)</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$3,953.2</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$(535.6)</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$3,619.6</w:t>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weighted-average common shares outstanding</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255.7</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257.9</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257.7</w:t>
            </w:r>
          </w:p>
        </w:tc>
      </w:tr>
      <w:tr>
        <w:trPr/>
        <w:tc>
          <w:tcPr>
            <w:tcW w:w="45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potentially dilutive securities:</w:t>
            </w:r>
          </w:p>
        </w:tc>
        <w:tc>
          <w:tcPr>
            <w:tcW w:w="1037"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stock units (including PSUs)</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45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10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weighted-average common shares outstanding</w:t>
            </w:r>
          </w:p>
        </w:tc>
        <w:tc>
          <w:tcPr>
            <w:tcW w:w="10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258.0</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257.9</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260.5</w:t>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Basic net </w:t>
            </w: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10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$15.46</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$14.05</w:t>
            </w:r>
          </w:p>
        </w:tc>
      </w:tr>
      <w:tr>
        <w:trPr/>
        <w:tc>
          <w:tcPr>
            <w:tcW w:w="453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Diluted net </w:t>
            </w: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103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$15.32</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three years ended December 31, 2025, the number of anti-dilutive securities that were excluded from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computation of our diluted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common share were as follows:</w:t>
      </w:r>
    </w:p>
    <w:tbl>
      <w:tblPr>
        <w:tblW w:w="6344" w:type="dxa"/>
        <w:jc w:val="left"/>
        <w:tblInd w:w="0" w:type="dxa"/>
        <w:tblLayout w:type="fixed"/>
        <w:tblCellMar>
          <w:top w:w="28" w:type="dxa"/>
          <w:left w:w="28" w:type="dxa"/>
          <w:bottom w:w="28" w:type="dxa"/>
          <w:right w:w="28" w:type="dxa"/>
        </w:tblCellMar>
      </w:tblPr>
      <w:tblGrid>
        <w:gridCol w:w="4036"/>
        <w:gridCol w:w="660"/>
        <w:gridCol w:w="136"/>
        <w:gridCol w:w="660"/>
        <w:gridCol w:w="136"/>
        <w:gridCol w:w="716"/>
      </w:tblGrid>
      <w:tr>
        <w:trPr/>
        <w:tc>
          <w:tcPr>
            <w:tcW w:w="403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2308"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restricted stock units (including PSUs)</w:t>
            </w:r>
          </w:p>
        </w:tc>
        <w:tc>
          <w:tcPr>
            <w:tcW w:w="6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6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4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66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fair value hierarchy is used to classify assets and liabilities based on observable inputs and unobservable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inputs used to determine the fair value of our financial assets and liabilities:</w:t>
      </w:r>
    </w:p>
    <w:tbl>
      <w:tblPr>
        <w:tblW w:w="9917" w:type="dxa"/>
        <w:jc w:val="left"/>
        <w:tblInd w:w="0" w:type="dxa"/>
        <w:tblLayout w:type="fixed"/>
        <w:tblCellMar>
          <w:top w:w="28" w:type="dxa"/>
          <w:left w:w="28" w:type="dxa"/>
          <w:bottom w:w="28" w:type="dxa"/>
          <w:right w:w="28" w:type="dxa"/>
        </w:tblCellMar>
      </w:tblPr>
      <w:tblGrid>
        <w:gridCol w:w="796"/>
        <w:gridCol w:w="9121"/>
      </w:tblGrid>
      <w:tr>
        <w:trPr/>
        <w:tc>
          <w:tcPr>
            <w:tcW w:w="79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7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1:</w:t>
            </w:r>
          </w:p>
        </w:tc>
        <w:tc>
          <w:tcPr>
            <w:tcW w:w="9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Quoted prices in active markets for identical assets or liabilities. An active market for an asset or liability is a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market in which transactions for the asset or liability occur with sufficient frequency and volume to provide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pricing information on an ongoing basis.</w:t>
            </w:r>
          </w:p>
        </w:tc>
      </w:tr>
      <w:tr>
        <w:trPr/>
        <w:tc>
          <w:tcPr>
            <w:tcW w:w="7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2:</w:t>
            </w:r>
          </w:p>
        </w:tc>
        <w:tc>
          <w:tcPr>
            <w:tcW w:w="9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Observable inputs other than Level 1 inputs. Examples of Level 2 inputs include quoted prices in active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markets for similar assets or liabilities and quoted prices for identical assets or liabilities in markets that are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not active.</w:t>
            </w:r>
          </w:p>
        </w:tc>
      </w:tr>
      <w:tr>
        <w:trPr/>
        <w:tc>
          <w:tcPr>
            <w:tcW w:w="7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3:</w:t>
            </w:r>
          </w:p>
        </w:tc>
        <w:tc>
          <w:tcPr>
            <w:tcW w:w="912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Unobservable inputs based on our assessment of the assumptions that market participants would use in pricing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asset or liability.</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sets forth our financial assets and liabilities subject to fair value measurements by level within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fair value hierarchy:</w:t>
      </w:r>
    </w:p>
    <w:tbl>
      <w:tblPr>
        <w:tblW w:w="9592" w:type="dxa"/>
        <w:jc w:val="left"/>
        <w:tblInd w:w="0" w:type="dxa"/>
        <w:tblLayout w:type="fixed"/>
        <w:tblCellMar>
          <w:top w:w="28" w:type="dxa"/>
          <w:left w:w="28" w:type="dxa"/>
          <w:bottom w:w="28" w:type="dxa"/>
          <w:right w:w="28" w:type="dxa"/>
        </w:tblCellMar>
      </w:tblPr>
      <w:tblGrid>
        <w:gridCol w:w="3016"/>
        <w:gridCol w:w="826"/>
        <w:gridCol w:w="109"/>
        <w:gridCol w:w="736"/>
        <w:gridCol w:w="109"/>
        <w:gridCol w:w="736"/>
        <w:gridCol w:w="109"/>
        <w:gridCol w:w="631"/>
        <w:gridCol w:w="109"/>
        <w:gridCol w:w="736"/>
        <w:gridCol w:w="109"/>
        <w:gridCol w:w="736"/>
        <w:gridCol w:w="109"/>
        <w:gridCol w:w="736"/>
        <w:gridCol w:w="109"/>
        <w:gridCol w:w="676"/>
      </w:tblGrid>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325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1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2024</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6576"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4687" w:type="dxa"/>
            <w:gridSpan w:val="4"/>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instruments carried at fair value (asset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equivalents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$1,770.7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equity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debt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 paper</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 and other current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financial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$6,267.1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4"/>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Financial instruments carried at fair value (liability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current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long-term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Contingent consideration</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(76.9)</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financial liabilities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Equity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carrying amount and related unrealized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gains (losses) by type of investment. Our cash equivalents primarily include money market funds and time deposits.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Corporate Equity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classify our investments in publicly traded corporate equity securities as “Marketable securities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sheets. Generally, our investments in the common stock of publicly traded companies are valued based on Level 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inputs because they have readily determinable fair values.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Equity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 on these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Contingent Consideration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Level 3 contingent consideration liabilities are related to $678.3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development and regulatory milestones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potentially payable to former equity holders of Exonics Therapeutics, Inc., a privately-held company we acquired in 2019.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base our estimates of the probability of achieving the milestones relevant to the fair value of contingent payments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industry data attributable to gene therapies and our knowledge of the progress and viability of the associated Duchenne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muscular dystrophy programs. The discount rates used in the valuation model for contingent payments, which were between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2025, represent a measure of credit risk and market risk associated with settling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liabilities. Significant judgment is used in determining the appropriateness of these assumptions at each reporting period.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F-24</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represents a rollforward of the fair value of our contingent consideration liabilities:</w:t>
      </w:r>
    </w:p>
    <w:tbl>
      <w:tblPr>
        <w:tblW w:w="5552" w:type="dxa"/>
        <w:jc w:val="left"/>
        <w:tblInd w:w="0" w:type="dxa"/>
        <w:tblLayout w:type="fixed"/>
        <w:tblCellMar>
          <w:top w:w="28" w:type="dxa"/>
          <w:left w:w="28" w:type="dxa"/>
          <w:bottom w:w="28" w:type="dxa"/>
          <w:right w:w="28" w:type="dxa"/>
        </w:tblCellMar>
      </w:tblPr>
      <w:tblGrid>
        <w:gridCol w:w="3781"/>
        <w:gridCol w:w="1771"/>
      </w:tblGrid>
      <w:tr>
        <w:trPr/>
        <w:tc>
          <w:tcPr>
            <w:tcW w:w="378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Year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December 31, 2025</w:t>
            </w:r>
          </w:p>
        </w:tc>
      </w:tr>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7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2024</w:t>
            </w:r>
          </w:p>
        </w:tc>
        <w:tc>
          <w:tcPr>
            <w:tcW w:w="1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w:t>
            </w:r>
          </w:p>
        </w:tc>
      </w:tr>
      <w:tr>
        <w:trPr/>
        <w:tc>
          <w:tcPr>
            <w:tcW w:w="37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in fair value of contingent payments</w:t>
            </w:r>
          </w:p>
        </w:tc>
        <w:tc>
          <w:tcPr>
            <w:tcW w:w="17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r>
        <w:trPr/>
        <w:tc>
          <w:tcPr>
            <w:tcW w:w="37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at December 31, </w:t>
            </w:r>
            <w:r>
              <w:rPr>
                <w:rFonts w:ascii="Times New Roman;serif" w:hAnsi="Times New Roman;serif"/>
                <w:b w:val="false"/>
                <w:i w:val="false"/>
                <w:caps w:val="false"/>
                <w:smallCaps w:val="false"/>
                <w:strike w:val="false"/>
                <w:dstrike w:val="false"/>
                <w:sz w:val="20"/>
                <w:u w:val="none"/>
                <w:effect w:val="none"/>
              </w:rPr>
              <w:t>2025</w:t>
            </w:r>
          </w:p>
        </w:tc>
        <w:tc>
          <w:tcPr>
            <w:tcW w:w="17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E.Marketable Securities and Equity 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summary of our cash equivalents and marketable debt and equity securities, which are recorded at fair value, is shown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below:</w:t>
      </w:r>
    </w:p>
    <w:tbl>
      <w:tblPr>
        <w:tblW w:w="10205" w:type="dxa"/>
        <w:jc w:val="left"/>
        <w:tblInd w:w="0" w:type="dxa"/>
        <w:tblLayout w:type="fixed"/>
        <w:tblCellMar>
          <w:top w:w="28" w:type="dxa"/>
          <w:left w:w="28" w:type="dxa"/>
          <w:bottom w:w="28" w:type="dxa"/>
          <w:right w:w="28" w:type="dxa"/>
        </w:tblCellMar>
      </w:tblPr>
      <w:tblGrid>
        <w:gridCol w:w="2215"/>
        <w:gridCol w:w="906"/>
        <w:gridCol w:w="109"/>
        <w:gridCol w:w="921"/>
        <w:gridCol w:w="109"/>
        <w:gridCol w:w="921"/>
        <w:gridCol w:w="109"/>
        <w:gridCol w:w="826"/>
        <w:gridCol w:w="109"/>
        <w:gridCol w:w="906"/>
        <w:gridCol w:w="109"/>
        <w:gridCol w:w="921"/>
        <w:gridCol w:w="109"/>
        <w:gridCol w:w="921"/>
        <w:gridCol w:w="109"/>
        <w:gridCol w:w="905"/>
      </w:tblGrid>
      <w:tr>
        <w:trPr/>
        <w:tc>
          <w:tcPr>
            <w:tcW w:w="221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215" w:type="dxa"/>
            <w:tcBorders/>
            <w:vAlign w:val="center"/>
          </w:tcPr>
          <w:p>
            <w:pPr>
              <w:pStyle w:val="TableContents"/>
              <w:bidi w:val="0"/>
              <w:spacing w:before="0" w:after="283"/>
              <w:jc w:val="left"/>
              <w:rPr>
                <w:sz w:val="4"/>
                <w:szCs w:val="4"/>
              </w:rPr>
            </w:pPr>
            <w:r>
              <w:rPr>
                <w:sz w:val="4"/>
                <w:szCs w:val="4"/>
              </w:rPr>
            </w:r>
          </w:p>
        </w:tc>
        <w:tc>
          <w:tcPr>
            <w:tcW w:w="390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980"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2024</w:t>
            </w:r>
          </w:p>
        </w:tc>
      </w:tr>
      <w:tr>
        <w:trPr/>
        <w:tc>
          <w:tcPr>
            <w:tcW w:w="2215" w:type="dxa"/>
            <w:tcBorders/>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Fair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Value</w:t>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215" w:type="dxa"/>
            <w:tcBorders/>
            <w:vAlign w:val="center"/>
          </w:tcPr>
          <w:p>
            <w:pPr>
              <w:pStyle w:val="TableContents"/>
              <w:bidi w:val="0"/>
              <w:spacing w:before="0" w:after="283"/>
              <w:jc w:val="left"/>
              <w:rPr>
                <w:sz w:val="4"/>
                <w:szCs w:val="4"/>
              </w:rPr>
            </w:pPr>
            <w:r>
              <w:rPr>
                <w:sz w:val="4"/>
                <w:szCs w:val="4"/>
              </w:rPr>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tcBorders/>
            <w:vAlign w:val="center"/>
          </w:tcPr>
          <w:p>
            <w:pPr>
              <w:pStyle w:val="TableContents"/>
              <w:bidi w:val="0"/>
              <w:spacing w:before="0" w:after="283"/>
              <w:jc w:val="left"/>
              <w:rPr>
                <w:sz w:val="4"/>
                <w:szCs w:val="4"/>
              </w:rPr>
            </w:pPr>
            <w:r>
              <w:rPr>
                <w:sz w:val="4"/>
                <w:szCs w:val="4"/>
              </w:rPr>
            </w:r>
          </w:p>
        </w:tc>
        <w:tc>
          <w:tcPr>
            <w:tcW w:w="7990"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equivalents</w:t>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$1,687.1</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$1,602.0</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9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240.5</w:t>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1,244.2</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90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debt securities</w:t>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3,525.9</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Commercial paper</w:t>
            </w:r>
          </w:p>
        </w:tc>
        <w:tc>
          <w:tcPr>
            <w:tcW w:w="9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marketable available-for-</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sale debt securities</w:t>
            </w:r>
          </w:p>
        </w:tc>
        <w:tc>
          <w:tcPr>
            <w:tcW w:w="9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7,219.0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6,617.6</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Corporate equity securities</w:t>
            </w:r>
          </w:p>
        </w:tc>
        <w:tc>
          <w:tcPr>
            <w:tcW w:w="9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w:t>
            </w:r>
          </w:p>
        </w:tc>
      </w:tr>
      <w:tr>
        <w:trPr/>
        <w:tc>
          <w:tcPr>
            <w:tcW w:w="2215"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Total marketable securities</w:t>
            </w:r>
          </w:p>
        </w:tc>
        <w:tc>
          <w:tcPr>
            <w:tcW w:w="90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6,680.5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6,654.2</w:t>
            </w:r>
          </w:p>
        </w:tc>
      </w:tr>
      <w:tr>
        <w:trPr/>
        <w:tc>
          <w:tcPr>
            <w:tcW w:w="221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cash equivalents and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$9,979.4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$8,367.6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$8,341.3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in the table above at fair value were classified on our consolidated balance sheets as follows:</w:t>
      </w:r>
    </w:p>
    <w:tbl>
      <w:tblPr>
        <w:tblW w:w="4642" w:type="dxa"/>
        <w:jc w:val="left"/>
        <w:tblInd w:w="0" w:type="dxa"/>
        <w:tblLayout w:type="fixed"/>
        <w:tblCellMar>
          <w:top w:w="28" w:type="dxa"/>
          <w:left w:w="28" w:type="dxa"/>
          <w:bottom w:w="28" w:type="dxa"/>
          <w:right w:w="28" w:type="dxa"/>
        </w:tblCellMar>
      </w:tblPr>
      <w:tblGrid>
        <w:gridCol w:w="2731"/>
        <w:gridCol w:w="931"/>
        <w:gridCol w:w="109"/>
        <w:gridCol w:w="871"/>
      </w:tblGrid>
      <w:tr>
        <w:trPr/>
        <w:tc>
          <w:tcPr>
            <w:tcW w:w="27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191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$1,687.1</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Marketable securities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1,546.3</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5,107.9</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$8,341.3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F-25</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Marketable available-for-sale debt securities by contractual maturity were as follows:</w:t>
      </w:r>
    </w:p>
    <w:tbl>
      <w:tblPr>
        <w:tblW w:w="5242" w:type="dxa"/>
        <w:jc w:val="left"/>
        <w:tblInd w:w="0" w:type="dxa"/>
        <w:tblLayout w:type="fixed"/>
        <w:tblCellMar>
          <w:top w:w="28" w:type="dxa"/>
          <w:left w:w="28" w:type="dxa"/>
          <w:bottom w:w="28" w:type="dxa"/>
          <w:right w:w="28" w:type="dxa"/>
        </w:tblCellMar>
      </w:tblPr>
      <w:tblGrid>
        <w:gridCol w:w="3436"/>
        <w:gridCol w:w="826"/>
        <w:gridCol w:w="109"/>
        <w:gridCol w:w="871"/>
      </w:tblGrid>
      <w:tr>
        <w:trPr/>
        <w:tc>
          <w:tcPr>
            <w:tcW w:w="34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w:t>
            </w:r>
          </w:p>
        </w:tc>
      </w:tr>
      <w:tr>
        <w:trPr/>
        <w:tc>
          <w:tcPr>
            <w:tcW w:w="343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343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Matures within one year</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$1,509.7</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Matures after one year through five years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5,595.8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5,034.4</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Matures after five years</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73.5</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$7,219.0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$6,617.6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record any allowances for credit losses to adjust the fair value of our marketable available-for-sale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2023. Additionally, we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record any realized gains or losses that were material to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2023. As of December 31, 2025, we held marketable available-for-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sale debt securities with a total fair value of $631.9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were in unrealized loss positions totaling $0.6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in this amount were marketable available-for sale debt securities with a total fair value of $9.7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total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unrealized loss of $0.1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had been in unrealized loss positions for greater than twelve months. We intend to hold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these investments until maturity and do not expect to incur realized losses on these investments when they mature.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changes in the fair value of our investments in corporate equity securities to “Other expense, net” in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income (loss). During the three years ended December 31, 2025, our net unrealized losses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corporate equity securities with readily determinable fair values held at the conclusion of each period were as follows:</w:t>
      </w:r>
    </w:p>
    <w:tbl>
      <w:tblPr>
        <w:tblW w:w="4139" w:type="dxa"/>
        <w:jc w:val="left"/>
        <w:tblInd w:w="0" w:type="dxa"/>
        <w:tblLayout w:type="fixed"/>
        <w:tblCellMar>
          <w:top w:w="28" w:type="dxa"/>
          <w:left w:w="28" w:type="dxa"/>
          <w:bottom w:w="28" w:type="dxa"/>
          <w:right w:w="28" w:type="dxa"/>
        </w:tblCellMar>
      </w:tblPr>
      <w:tblGrid>
        <w:gridCol w:w="1831"/>
        <w:gridCol w:w="751"/>
        <w:gridCol w:w="118"/>
        <w:gridCol w:w="636"/>
        <w:gridCol w:w="118"/>
        <w:gridCol w:w="685"/>
      </w:tblGrid>
      <w:tr>
        <w:trPr/>
        <w:tc>
          <w:tcPr>
            <w:tcW w:w="18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2308"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183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unrealized </w:t>
            </w:r>
            <w:r>
              <w:rPr>
                <w:rFonts w:ascii="Times New Roman;serif" w:hAnsi="Times New Roman;serif"/>
                <w:b w:val="false"/>
                <w:i w:val="false"/>
                <w:caps w:val="false"/>
                <w:smallCaps w:val="false"/>
                <w:strike w:val="false"/>
                <w:dstrike w:val="false"/>
                <w:sz w:val="20"/>
                <w:u w:val="none"/>
                <w:effect w:val="none"/>
              </w:rPr>
              <w:t>losses</w:t>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6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68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2023, we received proceeds of $95.1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sale of the common stock of a publicly traded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which had a total original cost basis of $57.3 million.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the carrying value of our equity investments without readily determinable fair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values, which were recorded in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our consolidated balance sheets, were $81.5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$64.8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During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reduced the carrying value of our equity investments without readily determinable fair values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by $48.2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based 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observable changes in price.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F-26</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F.Accumulated Other Comprehensive Income (Loss)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changes in accumulated other comprehensive income (loss) (“AOCI”)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component:</w:t>
      </w:r>
    </w:p>
    <w:tbl>
      <w:tblPr>
        <w:tblW w:w="9122" w:type="dxa"/>
        <w:jc w:val="left"/>
        <w:tblInd w:w="0" w:type="dxa"/>
        <w:tblLayout w:type="fixed"/>
        <w:tblCellMar>
          <w:top w:w="28" w:type="dxa"/>
          <w:left w:w="28" w:type="dxa"/>
          <w:bottom w:w="28" w:type="dxa"/>
          <w:right w:w="28" w:type="dxa"/>
        </w:tblCellMar>
      </w:tblPr>
      <w:tblGrid>
        <w:gridCol w:w="4456"/>
        <w:gridCol w:w="1156"/>
        <w:gridCol w:w="109"/>
        <w:gridCol w:w="1321"/>
        <w:gridCol w:w="109"/>
        <w:gridCol w:w="1126"/>
        <w:gridCol w:w="109"/>
        <w:gridCol w:w="736"/>
      </w:tblGrid>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Unrealized Holding Gains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 Net of Tax</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Translation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On Available-</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For-Sale Debt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On 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Forward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r>
      <w:tr>
        <w:trPr/>
        <w:tc>
          <w:tcPr>
            <w:tcW w:w="4456" w:type="dxa"/>
            <w:tcBorders/>
            <w:vAlign w:val="center"/>
          </w:tcPr>
          <w:p>
            <w:pPr>
              <w:pStyle w:val="TableContents"/>
              <w:bidi w:val="0"/>
              <w:spacing w:before="0" w:after="283"/>
              <w:jc w:val="left"/>
              <w:rPr>
                <w:sz w:val="4"/>
                <w:szCs w:val="4"/>
              </w:rPr>
            </w:pPr>
            <w:r>
              <w:rPr>
                <w:sz w:val="4"/>
                <w:szCs w:val="4"/>
              </w:rPr>
            </w:r>
          </w:p>
        </w:tc>
        <w:tc>
          <w:tcPr>
            <w:tcW w:w="4666" w:type="dxa"/>
            <w:gridSpan w:val="7"/>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45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Balance at December 31, </w:t>
            </w:r>
            <w:r>
              <w:rPr>
                <w:rFonts w:ascii="Times New Roman;serif" w:hAnsi="Times New Roman;serif"/>
                <w:b/>
                <w:i w:val="false"/>
                <w:caps w:val="false"/>
                <w:smallCaps w:val="false"/>
                <w:strike w:val="false"/>
                <w:dstrike w:val="false"/>
                <w:sz w:val="20"/>
                <w:u w:val="none"/>
                <w:effect w:val="none"/>
              </w:rPr>
              <w:t>2022</w:t>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comprehensive income (loss) before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reclassifications</w:t>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current period other comprehensive income (loss)</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r>
      <w:tr>
        <w:trPr/>
        <w:tc>
          <w:tcPr>
            <w:tcW w:w="445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Balance at December 31, </w:t>
            </w:r>
            <w:r>
              <w:rPr>
                <w:rFonts w:ascii="Times New Roman;serif" w:hAnsi="Times New Roman;serif"/>
                <w:b/>
                <w:i w:val="false"/>
                <w:caps w:val="false"/>
                <w:smallCaps w:val="false"/>
                <w:strike w:val="false"/>
                <w:dstrike w:val="false"/>
                <w:sz w:val="20"/>
                <w:u w:val="none"/>
                <w:effect w:val="none"/>
              </w:rPr>
              <w:t>2023</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Other comprehensive income (loss) before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reclassifications</w:t>
            </w:r>
          </w:p>
        </w:tc>
        <w:tc>
          <w:tcPr>
            <w:tcW w:w="115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168.0</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current period other comprehensive income (loss)</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142.1</w:t>
            </w:r>
          </w:p>
        </w:tc>
      </w:tr>
      <w:tr>
        <w:trPr/>
        <w:tc>
          <w:tcPr>
            <w:tcW w:w="445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Balance at December 31, </w:t>
            </w:r>
            <w:r>
              <w:rPr>
                <w:rFonts w:ascii="Times New Roman;serif" w:hAnsi="Times New Roman;serif"/>
                <w:b/>
                <w:i w:val="false"/>
                <w:caps w:val="false"/>
                <w:smallCaps w:val="false"/>
                <w:strike w:val="false"/>
                <w:dstrike w:val="false"/>
                <w:sz w:val="20"/>
                <w:u w:val="none"/>
                <w:effect w:val="none"/>
              </w:rPr>
              <w:t>2024</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$127.8</w:t>
            </w:r>
          </w:p>
        </w:tc>
      </w:tr>
      <w:tr>
        <w:trPr/>
        <w:tc>
          <w:tcPr>
            <w:tcW w:w="445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 xml:space="preserve">before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reclassifications</w:t>
            </w:r>
          </w:p>
        </w:tc>
        <w:tc>
          <w:tcPr>
            <w:tcW w:w="115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(193.3)</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w:t>
            </w:r>
          </w:p>
        </w:tc>
      </w:tr>
      <w:tr>
        <w:trPr/>
        <w:tc>
          <w:tcPr>
            <w:tcW w:w="445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current period other comprehensive </w:t>
            </w:r>
            <w:r>
              <w:rPr>
                <w:rFonts w:ascii="Times New Roman;serif" w:hAnsi="Times New Roman;serif"/>
                <w:b w:val="false"/>
                <w:i w:val="false"/>
                <w:caps w:val="false"/>
                <w:smallCaps w:val="false"/>
                <w:strike w:val="false"/>
                <w:dstrike w:val="false"/>
                <w:sz w:val="20"/>
                <w:u w:val="none"/>
                <w:effect w:val="none"/>
              </w:rPr>
              <w:t>income (loss)</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(143.7)</w:t>
            </w:r>
          </w:p>
        </w:tc>
      </w:tr>
      <w:tr>
        <w:trPr/>
        <w:tc>
          <w:tcPr>
            <w:tcW w:w="445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Balance at December 31, </w:t>
            </w:r>
            <w:r>
              <w:rPr>
                <w:rFonts w:ascii="Times New Roman;serif" w:hAnsi="Times New Roman;serif"/>
                <w:b/>
                <w:i w:val="false"/>
                <w:caps w:val="false"/>
                <w:smallCaps w:val="false"/>
                <w:strike w:val="false"/>
                <w:dstrike w:val="false"/>
                <w:sz w:val="20"/>
                <w:u w:val="none"/>
                <w:effect w:val="none"/>
              </w:rPr>
              <w:t>2025</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G.Hedging</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maintain a hedging program intended to mitigate the effect of changes in foreign exchange rates for a portion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product revenues denominated in certain foreign currencies. The program includes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contracts that are designated as cash flow hedges under U.S. GAAP having contractual durations from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36 months.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recognize realized gains and losses for the effective portion of such contracts in “Product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our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same period that we recognize the product revenues that were impacted by the hedged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exchange rate changes.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formally document the relationship between foreign currency forward contracts (hedging instruments) and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 revenues (hedged items), as well as our risk management objective and strategy for undertaking various hedging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which includes matching all foreign currency forward contracts that are designated as cash flow hedges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transactions. Using regression analysis, we assess, both at the hedge’s inception and on an ongoing basis, whether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foreign currency forward contracts are highly effective in offsetting changes in cash flows of hedged items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prospective and retrospective basis. As of December 31, 2025, all hedges were determined to be highly effective.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F-27</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consider the impact of our counterparties’ credit risk on the fair value of the foreign currency forward contracts.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December 31, 2025</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 xml:space="preserve">and December 31, 2024, credit risk did not change the fair value of our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notional amount in U.S. dollars of our outstanding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 designated as cash flow hedges under U.S. GAAP:</w:t>
      </w:r>
    </w:p>
    <w:tbl>
      <w:tblPr>
        <w:tblW w:w="5182" w:type="dxa"/>
        <w:jc w:val="left"/>
        <w:tblInd w:w="0" w:type="dxa"/>
        <w:tblLayout w:type="fixed"/>
        <w:tblCellMar>
          <w:top w:w="28" w:type="dxa"/>
          <w:left w:w="28" w:type="dxa"/>
          <w:bottom w:w="28" w:type="dxa"/>
          <w:right w:w="28" w:type="dxa"/>
        </w:tblCellMar>
      </w:tblPr>
      <w:tblGrid>
        <w:gridCol w:w="3376"/>
        <w:gridCol w:w="826"/>
        <w:gridCol w:w="109"/>
        <w:gridCol w:w="871"/>
      </w:tblGrid>
      <w:tr>
        <w:trPr/>
        <w:tc>
          <w:tcPr>
            <w:tcW w:w="33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337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337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w:t>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$1,977.4</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Canadian dollar</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322.0</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British pound sterling</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301.7</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179.2</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Swiss franc</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79.7</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foreign currency forward contracts</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$6,080.1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$2,860.0</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Not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enter into foreign currency forward contracts, typically with contractual maturities of approximately one month,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are designed to mitigate the effect of changes in foreign exchange rates on monetary assets and liabilities,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intercompany balances. These contracts are not designated as hedging instruments under U.S. GAAP. We recognize 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gains and losses for such contracts in “Other expense, net” in our consolidated 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each period.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the notional amount of our outstanding foreign currency forward contracts where hedge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accounting under U.S. GAAP was not applied was $612.6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$367.0 million,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three years ended December 31, 2025, we recognized the following related to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 in our consolidated statements of income (loss):</w:t>
      </w:r>
    </w:p>
    <w:tbl>
      <w:tblPr>
        <w:tblW w:w="8217" w:type="dxa"/>
        <w:jc w:val="left"/>
        <w:tblInd w:w="0" w:type="dxa"/>
        <w:tblLayout w:type="fixed"/>
        <w:tblCellMar>
          <w:top w:w="28" w:type="dxa"/>
          <w:left w:w="28" w:type="dxa"/>
          <w:bottom w:w="28" w:type="dxa"/>
          <w:right w:w="28" w:type="dxa"/>
        </w:tblCellMar>
      </w:tblPr>
      <w:tblGrid>
        <w:gridCol w:w="5266"/>
        <w:gridCol w:w="931"/>
        <w:gridCol w:w="109"/>
        <w:gridCol w:w="931"/>
        <w:gridCol w:w="109"/>
        <w:gridCol w:w="871"/>
      </w:tblGrid>
      <w:tr>
        <w:trPr/>
        <w:tc>
          <w:tcPr>
            <w:tcW w:w="5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95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5266"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5266"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951"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266" w:type="dxa"/>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Designated as hedging instruments - Reclassified from AOCI</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$30.2</w:t>
            </w:r>
          </w:p>
        </w:tc>
      </w:tr>
      <w:tr>
        <w:trPr/>
        <w:tc>
          <w:tcPr>
            <w:tcW w:w="5266" w:type="dxa"/>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Not designated as hedging instruments</w:t>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r>
      <w:tr>
        <w:trPr/>
        <w:tc>
          <w:tcPr>
            <w:tcW w:w="5266"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sz w:val="20"/>
              </w:rPr>
              <w:t xml:space="preserve">Total reported in the Consolidated Statements of </w:t>
            </w:r>
            <w:r>
              <w:rPr>
                <w:rFonts w:ascii="Times New Roman;serif" w:hAnsi="Times New Roman;serif"/>
                <w:b w:val="false"/>
                <w:i/>
                <w:strike w:val="false"/>
                <w:dstrike w:val="false"/>
                <w:sz w:val="20"/>
                <w:u w:val="none"/>
                <w:effect w:val="none"/>
              </w:rPr>
              <w:t>Income (Loss)</w:t>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526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expense</w:t>
            </w:r>
            <w:r>
              <w:rPr>
                <w:rFonts w:ascii="Times New Roman;serif" w:hAnsi="Times New Roman;serif"/>
                <w:b w:val="false"/>
                <w:i w:val="false"/>
                <w:caps w:val="false"/>
                <w:smallCaps w:val="false"/>
                <w:sz w:val="20"/>
              </w:rPr>
              <w:t>, net</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F-28</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fair value of our outstanding foreign currency forward contracts designated as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flow hedges under U.S. GAAP included on our consolidated balance sheets:</w:t>
      </w:r>
    </w:p>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$(79.4)</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r>
    </w:tbl>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2024</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we expect the amounts that are related to foreign currency forward contracts designated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cash flow hedges under U.S. GAAP recorded in “Prepaid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 reclassified to earnings within twelve months.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discussed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present the fair value of our 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currency forward contracts on a gross basis within our consolidated balance sheets. The following table summarizes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potential effect of offsetting derivatives by type of financial instrument designated as cash flow hedges under U.S. GAAP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consolidated balance sheets: </w:t>
      </w:r>
    </w:p>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(111.5)</w:t>
            </w:r>
          </w:p>
        </w:tc>
      </w:tr>
    </w:tbl>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2024</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$142.5</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F-29</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H.Inventories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Inventories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3262" w:type="dxa"/>
        <w:jc w:val="left"/>
        <w:tblInd w:w="0" w:type="dxa"/>
        <w:tblLayout w:type="fixed"/>
        <w:tblCellMar>
          <w:top w:w="28" w:type="dxa"/>
          <w:left w:w="28" w:type="dxa"/>
          <w:bottom w:w="28" w:type="dxa"/>
          <w:right w:w="28" w:type="dxa"/>
        </w:tblCellMar>
      </w:tblPr>
      <w:tblGrid>
        <w:gridCol w:w="1456"/>
        <w:gridCol w:w="826"/>
        <w:gridCol w:w="109"/>
        <w:gridCol w:w="871"/>
      </w:tblGrid>
      <w:tr>
        <w:trPr/>
        <w:tc>
          <w:tcPr>
            <w:tcW w:w="14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Raw materials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$252.0</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Work-in-process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768.8</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184.6</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I.Property and Equipment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Property and equipment,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6292" w:type="dxa"/>
        <w:jc w:val="left"/>
        <w:tblInd w:w="0" w:type="dxa"/>
        <w:tblLayout w:type="fixed"/>
        <w:tblCellMar>
          <w:top w:w="28" w:type="dxa"/>
          <w:left w:w="28" w:type="dxa"/>
          <w:bottom w:w="28" w:type="dxa"/>
          <w:right w:w="28" w:type="dxa"/>
        </w:tblCellMar>
      </w:tblPr>
      <w:tblGrid>
        <w:gridCol w:w="4456"/>
        <w:gridCol w:w="841"/>
        <w:gridCol w:w="109"/>
        <w:gridCol w:w="886"/>
      </w:tblGrid>
      <w:tr>
        <w:trPr/>
        <w:tc>
          <w:tcPr>
            <w:tcW w:w="44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4456" w:type="dxa"/>
            <w:tcBorders/>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4456" w:type="dxa"/>
            <w:tcBorders/>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Buildings and improvements</w:t>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$461.2</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Laboratory equipment, other equipment and furniture</w:t>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684.5</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Leasehold improvements</w:t>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737.6</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Computers and software</w:t>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376.2</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Land</w:t>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33.1</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property and equipment, gross</w:t>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2,292.6</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accumulated depreciation</w:t>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(1,064.8)</w:t>
            </w:r>
          </w:p>
        </w:tc>
      </w:tr>
      <w:tr>
        <w:trPr/>
        <w:tc>
          <w:tcPr>
            <w:tcW w:w="4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property and equipment, net</w:t>
            </w:r>
          </w:p>
        </w:tc>
        <w:tc>
          <w:tcPr>
            <w:tcW w:w="8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$1,227.8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recorded depreciation expense of $155.8 million, $160.4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 which includes our finance lease amortization.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F-30</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J.Goodwill and Other Intangible Assets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Intangible Assets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intangible assets,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9887" w:type="dxa"/>
        <w:jc w:val="left"/>
        <w:tblInd w:w="0" w:type="dxa"/>
        <w:tblLayout w:type="fixed"/>
        <w:tblCellMar>
          <w:top w:w="28" w:type="dxa"/>
          <w:left w:w="28" w:type="dxa"/>
          <w:bottom w:w="28" w:type="dxa"/>
          <w:right w:w="28" w:type="dxa"/>
        </w:tblCellMar>
      </w:tblPr>
      <w:tblGrid>
        <w:gridCol w:w="2281"/>
        <w:gridCol w:w="1141"/>
        <w:gridCol w:w="109"/>
        <w:gridCol w:w="856"/>
        <w:gridCol w:w="109"/>
        <w:gridCol w:w="1171"/>
        <w:gridCol w:w="109"/>
        <w:gridCol w:w="856"/>
        <w:gridCol w:w="109"/>
        <w:gridCol w:w="856"/>
        <w:gridCol w:w="109"/>
        <w:gridCol w:w="1171"/>
        <w:gridCol w:w="109"/>
        <w:gridCol w:w="901"/>
      </w:tblGrid>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sz w:val="24"/>
              </w:rPr>
            </w:pPr>
            <w:r>
              <w:rPr>
                <w:rFonts w:ascii="Times New Roman;serif" w:hAnsi="Times New Roman;serif"/>
                <w:b/>
                <w:i w:val="false"/>
                <w:caps w:val="false"/>
                <w:smallCaps w:val="false"/>
                <w:sz w:val="18"/>
              </w:rPr>
              <w:t xml:space="preserve">As of December 31, </w:t>
            </w:r>
            <w:r>
              <w:rPr>
                <w:rFonts w:ascii="Times New Roman;serif" w:hAnsi="Times New Roman;serif"/>
                <w:b/>
                <w:i w:val="false"/>
                <w:caps w:val="false"/>
                <w:smallCaps w:val="false"/>
                <w:strike w:val="false"/>
                <w:dstrike w:val="false"/>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3146"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sz w:val="24"/>
              </w:rPr>
            </w:pPr>
            <w:r>
              <w:rPr>
                <w:rFonts w:ascii="Times New Roman;serif" w:hAnsi="Times New Roman;serif"/>
                <w:b/>
                <w:i w:val="false"/>
                <w:caps w:val="false"/>
                <w:smallCaps w:val="false"/>
                <w:sz w:val="18"/>
              </w:rPr>
              <w:t xml:space="preserve">As of December 31, </w:t>
            </w:r>
            <w:r>
              <w:rPr>
                <w:rFonts w:ascii="Times New Roman;serif" w:hAnsi="Times New Roman;serif"/>
                <w:b/>
                <w:i w:val="false"/>
                <w:caps w:val="false"/>
                <w:smallCaps w:val="false"/>
                <w:strike w:val="false"/>
                <w:dstrike w:val="false"/>
                <w:sz w:val="18"/>
                <w:u w:val="none"/>
                <w:effect w:val="none"/>
              </w:rPr>
              <w:t>2024</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Estimated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Useful lives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6" w:type="dxa"/>
            <w:gridSpan w:val="11"/>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 millions, except useful lives)</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In-process research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development</w:t>
            </w:r>
          </w:p>
        </w:tc>
        <w:tc>
          <w:tcPr>
            <w:tcW w:w="114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Indefinite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$603.6</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marketed products</w:t>
            </w:r>
          </w:p>
        </w:tc>
        <w:tc>
          <w:tcPr>
            <w:tcW w:w="114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10</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12</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195.9</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216.1</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assembled workforce</w:t>
            </w:r>
          </w:p>
        </w:tc>
        <w:tc>
          <w:tcPr>
            <w:tcW w:w="114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Total other intangible assets,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$849.3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$825.9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March 2025, based on results from a Phase 1/2 clinical trial evaluating our VX-264 clinical program in patients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T1D, we concluded that VX-264 will not be advancing further in clinical development. Based on this event, we performed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impairment test on the fair value of our VX-264 indefinite-lived in-process research and development asset that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acquired from Semma Therapeutics, Inc. in 2019. As a result, using the multi period earnings method of the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approach, we recorded a full intangible asset impairment charge of $379.0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first quarter of 2025.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our remaining indefinite-lived in-process research and development assets were associated with our T1D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2023, we recorded a total of $238.0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finite-lived intangible assets following the regulatory approval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CASGEVY in several markets, which we are amortizing on a straight-line basis over the longer of the last underlying patents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expire or the period that we have exclusive rights to market CASGEVY. We recorded intangible asset amortization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 of $20.2 million, $20.2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“Cost of sales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related to these assets in 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 December 31, 2025, the estimated future amortization of our finite-lived intangible assets was as follows:</w:t>
      </w:r>
    </w:p>
    <w:tbl>
      <w:tblPr>
        <w:tblW w:w="3591" w:type="dxa"/>
        <w:jc w:val="left"/>
        <w:tblInd w:w="0" w:type="dxa"/>
        <w:tblLayout w:type="fixed"/>
        <w:tblCellMar>
          <w:top w:w="28" w:type="dxa"/>
          <w:left w:w="28" w:type="dxa"/>
          <w:bottom w:w="28" w:type="dxa"/>
          <w:right w:w="28" w:type="dxa"/>
        </w:tblCellMar>
      </w:tblPr>
      <w:tblGrid>
        <w:gridCol w:w="541"/>
        <w:gridCol w:w="109"/>
        <w:gridCol w:w="2941"/>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Estimated Amortization Expense</w:t>
            </w:r>
          </w:p>
        </w:tc>
      </w:tr>
      <w:tr>
        <w:trPr/>
        <w:tc>
          <w:tcPr>
            <w:tcW w:w="5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tc>
      </w:tr>
      <w:tr>
        <w:trPr/>
        <w:tc>
          <w:tcPr>
            <w:tcW w:w="5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w:t>
            </w:r>
          </w:p>
        </w:tc>
      </w:tr>
      <w:tr>
        <w:trPr/>
        <w:tc>
          <w:tcPr>
            <w:tcW w:w="5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w:t>
            </w:r>
          </w:p>
        </w:tc>
      </w:tr>
      <w:tr>
        <w:trPr/>
        <w:tc>
          <w:tcPr>
            <w:tcW w:w="5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r>
      <w:tr>
        <w:trPr/>
        <w:tc>
          <w:tcPr>
            <w:tcW w:w="5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r>
      <w:tr>
        <w:trPr/>
        <w:tc>
          <w:tcPr>
            <w:tcW w:w="5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Goodwill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we had goodwill of $1.1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our consolidated balance sheets.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F-31</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K.Additional Balance Sheet &amp; Cash Flow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Cash, Cash Equivalents and Restricted Cash Presented in Consolidated Statements of Cash Flows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cash, cash equivalents and restricted cash balances at the beginning and ending of each period presented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cash flows consisted of the following:</w:t>
      </w:r>
    </w:p>
    <w:tbl>
      <w:tblPr>
        <w:tblW w:w="7742" w:type="dxa"/>
        <w:jc w:val="left"/>
        <w:tblInd w:w="0" w:type="dxa"/>
        <w:tblLayout w:type="fixed"/>
        <w:tblCellMar>
          <w:top w:w="28" w:type="dxa"/>
          <w:left w:w="28" w:type="dxa"/>
          <w:bottom w:w="28" w:type="dxa"/>
          <w:right w:w="28" w:type="dxa"/>
        </w:tblCellMar>
      </w:tblPr>
      <w:tblGrid>
        <w:gridCol w:w="3856"/>
        <w:gridCol w:w="826"/>
        <w:gridCol w:w="109"/>
        <w:gridCol w:w="826"/>
        <w:gridCol w:w="109"/>
        <w:gridCol w:w="931"/>
        <w:gridCol w:w="109"/>
        <w:gridCol w:w="976"/>
      </w:tblGrid>
      <w:tr>
        <w:trPr/>
        <w:tc>
          <w:tcPr>
            <w:tcW w:w="38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sz w:val="4"/>
                <w:szCs w:val="4"/>
              </w:rPr>
            </w:pPr>
            <w:r>
              <w:rPr>
                <w:sz w:val="4"/>
                <w:szCs w:val="4"/>
              </w:rPr>
            </w:r>
          </w:p>
        </w:tc>
        <w:tc>
          <w:tcPr>
            <w:tcW w:w="38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2022</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3886" w:type="dxa"/>
            <w:gridSpan w:val="7"/>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$10,504.0</w:t>
            </w:r>
          </w:p>
        </w:tc>
      </w:tr>
      <w:tr>
        <w:trPr/>
        <w:tc>
          <w:tcPr>
            <w:tcW w:w="3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r>
      <w:tr>
        <w:trPr/>
        <w:tc>
          <w:tcPr>
            <w:tcW w:w="3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Cash, cash equivalents and restricted cash per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statements of cash flows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$10,512.0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restricted cash, if any, is included in “Prepaid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Additional Balance Sheet Information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4785" w:type="dxa"/>
        <w:jc w:val="left"/>
        <w:tblInd w:w="0" w:type="dxa"/>
        <w:tblLayout w:type="fixed"/>
        <w:tblCellMar>
          <w:top w:w="28" w:type="dxa"/>
          <w:left w:w="28" w:type="dxa"/>
          <w:bottom w:w="28" w:type="dxa"/>
          <w:right w:w="28" w:type="dxa"/>
        </w:tblCellMar>
      </w:tblPr>
      <w:tblGrid>
        <w:gridCol w:w="3016"/>
        <w:gridCol w:w="794"/>
        <w:gridCol w:w="128"/>
        <w:gridCol w:w="847"/>
      </w:tblGrid>
      <w:tr>
        <w:trPr/>
        <w:tc>
          <w:tcPr>
            <w:tcW w:w="301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tc>
      </w:tr>
      <w:tr>
        <w:trPr/>
        <w:tc>
          <w:tcPr>
            <w:tcW w:w="3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Tax-related prepaid and receivables</w:t>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$634.5</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$357.0</w:t>
            </w:r>
          </w:p>
        </w:tc>
      </w:tr>
      <w:tr>
        <w:trPr/>
        <w:tc>
          <w:tcPr>
            <w:tcW w:w="3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w:t>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101.7</w:t>
            </w:r>
          </w:p>
        </w:tc>
        <w:tc>
          <w:tcPr>
            <w:tcW w:w="128"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102.2</w:t>
            </w:r>
          </w:p>
        </w:tc>
      </w:tr>
      <w:tr>
        <w:trPr/>
        <w:tc>
          <w:tcPr>
            <w:tcW w:w="3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Fair value of cash flow hedges</w:t>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130.1</w:t>
            </w:r>
          </w:p>
        </w:tc>
      </w:tr>
      <w:tr>
        <w:trPr/>
        <w:tc>
          <w:tcPr>
            <w:tcW w:w="3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7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110.9</w:t>
            </w:r>
          </w:p>
        </w:tc>
        <w:tc>
          <w:tcPr>
            <w:tcW w:w="128"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76.4</w:t>
            </w:r>
          </w:p>
        </w:tc>
      </w:tr>
      <w:tr>
        <w:trPr/>
        <w:tc>
          <w:tcPr>
            <w:tcW w:w="3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7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$853.3</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$665.7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included $66.6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$62.6 million, respectively,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costs incurred to implement cloud computing service contracts. We recorded amortization associated with cloud computing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service contracts of $31.2 million, $25.2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respectively.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Accrued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6307" w:type="dxa"/>
        <w:jc w:val="left"/>
        <w:tblInd w:w="0" w:type="dxa"/>
        <w:tblLayout w:type="fixed"/>
        <w:tblCellMar>
          <w:top w:w="28" w:type="dxa"/>
          <w:left w:w="28" w:type="dxa"/>
          <w:bottom w:w="28" w:type="dxa"/>
          <w:right w:w="28" w:type="dxa"/>
        </w:tblCellMar>
      </w:tblPr>
      <w:tblGrid>
        <w:gridCol w:w="4501"/>
        <w:gridCol w:w="826"/>
        <w:gridCol w:w="109"/>
        <w:gridCol w:w="871"/>
      </w:tblGrid>
      <w:tr>
        <w:trPr/>
        <w:tc>
          <w:tcPr>
            <w:tcW w:w="450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450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4501"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 accruals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$1,618.9</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Payroll and benefits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352.1</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development and commercial contract costs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272.7</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Royalty payable</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271.0</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related accruals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161.1</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Capital related accruals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43.5</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69.3</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$2,971.2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$2,788.6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F-32</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4710" w:type="dxa"/>
        <w:jc w:val="left"/>
        <w:tblInd w:w="0" w:type="dxa"/>
        <w:tblLayout w:type="fixed"/>
        <w:tblCellMar>
          <w:top w:w="28" w:type="dxa"/>
          <w:left w:w="28" w:type="dxa"/>
          <w:bottom w:w="28" w:type="dxa"/>
          <w:right w:w="28" w:type="dxa"/>
        </w:tblCellMar>
      </w:tblPr>
      <w:tblGrid>
        <w:gridCol w:w="2941"/>
        <w:gridCol w:w="794"/>
        <w:gridCol w:w="128"/>
        <w:gridCol w:w="847"/>
      </w:tblGrid>
      <w:tr>
        <w:trPr/>
        <w:tc>
          <w:tcPr>
            <w:tcW w:w="29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Contract liabilities</w:t>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$171.8</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$206.8</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liabilities</w:t>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w:t>
            </w:r>
          </w:p>
        </w:tc>
        <w:tc>
          <w:tcPr>
            <w:tcW w:w="128"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87.1</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forward contracts</w:t>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79.4</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Upfront and milestones payable</w:t>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w:t>
            </w:r>
          </w:p>
        </w:tc>
        <w:tc>
          <w:tcPr>
            <w:tcW w:w="128"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32.5</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7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36.6</w:t>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79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$428.3</w:t>
            </w:r>
          </w:p>
        </w:tc>
        <w:tc>
          <w:tcPr>
            <w:tcW w:w="128"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$363.0</w:t>
            </w:r>
          </w:p>
        </w:tc>
      </w:tr>
    </w:tbl>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long-term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4012" w:type="dxa"/>
        <w:jc w:val="left"/>
        <w:tblInd w:w="0" w:type="dxa"/>
        <w:tblLayout w:type="fixed"/>
        <w:tblCellMar>
          <w:top w:w="28" w:type="dxa"/>
          <w:left w:w="28" w:type="dxa"/>
          <w:bottom w:w="28" w:type="dxa"/>
          <w:right w:w="28" w:type="dxa"/>
        </w:tblCellMar>
      </w:tblPr>
      <w:tblGrid>
        <w:gridCol w:w="2206"/>
        <w:gridCol w:w="826"/>
        <w:gridCol w:w="109"/>
        <w:gridCol w:w="871"/>
      </w:tblGrid>
      <w:tr>
        <w:trPr/>
        <w:tc>
          <w:tcPr>
            <w:tcW w:w="220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2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Tax-related liabilities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$698.6</w:t>
            </w:r>
          </w:p>
        </w:tc>
      </w:tr>
      <w:tr>
        <w:trPr/>
        <w:tc>
          <w:tcPr>
            <w:tcW w:w="22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Finance lease liabilities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112.8</w:t>
            </w:r>
          </w:p>
        </w:tc>
      </w:tr>
      <w:tr>
        <w:trPr/>
        <w:tc>
          <w:tcPr>
            <w:tcW w:w="22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Contingent consideration</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w:t>
            </w:r>
          </w:p>
        </w:tc>
      </w:tr>
      <w:tr>
        <w:trPr/>
        <w:tc>
          <w:tcPr>
            <w:tcW w:w="22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126.3</w:t>
            </w:r>
          </w:p>
        </w:tc>
      </w:tr>
      <w:tr>
        <w:trPr/>
        <w:tc>
          <w:tcPr>
            <w:tcW w:w="22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summary of our most significant leases, including real estate and embedded leases with contract manufacturing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organizations, is as follows: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Corporate Headquarters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2011, we entered into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lease agreements, pursuant to which we lease approximately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feet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office and laboratory space in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buildings in Boston, Massachusetts for a term of 15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“Corporate Headquarters”).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August 2024, we amended the existing lease agreements to, among other terms, extend the lease termination dates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2028 to June 2044 (the “Amendments”). We have the option to extend the amended leases for up to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ten-year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Amendments did not grant us any additional rights of use not contemplated in the existing lease agreements.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 we accounted for the Amendments as modifications that extended the terms of the existing leases and reassessed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classification of the leases as of their effective dates. We remeasured the lease liabilities using our incremental borrowing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the effective date of the Amendments and classified the leases associated with our Corporate Headquarters as operating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leases. As a result, we obtained right-of-use operating lease assets of $847.9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exchange for operating 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obligations of $1.0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reduced our finance lease liabilities and property and equipment by $275.3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$107.5 million, respectively.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Jeffrey Leiden Center for Biologics, Cell and Genetic Therapies Campus (“Leiden Campus”)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2019, we entered into an agreement to lease approximately 269,000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feet of office and laboratory space at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Leiden Campus near our corporate headquarters in Boston, Massachusetts for a term of 16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(“Leiden I”), which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classified as an operating lease. Base rent payments commenced in 2021 and will continue through November 2036.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utilize the initial period as our lease term. We have an option to extend the lease term for up to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additional ten-year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2024, we entered into a lease agreement for a second building (“Leiden II”) at our Leiden Campus. The Leiden II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which commenced in 2025, includes approximately 348,000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feet of office and laboratory space for a term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approximately 16 years. Upon lease commencement, we recorded a right-of-use asset and corresponding lease liability, net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tenant allowances, of $296.7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within each of “Operating lease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“Long-term operating lease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consolidated balance sheet. We anticipate that base rent payments will commence in the first quarter of 2027 and expect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them to continue through the first quarter of 2042. We have an option to extend the Leiden II term for up to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ten-year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periods. We utilize the initial period as our lease term.</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Lonza Portsmouth - T1D Facility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we entered into a strategic agreement with Lonza to support the manufacture of T1D cell therapy product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candidates, pursuant to which we have partnered with Lonza to build a 130,000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foot dedicated new facility operated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Lonza in New Hampshire. The lease commencement for the facility occurred in the first quarter of 2026. Lease payments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will continue through the tenth anniversary of the facility’s regulatory approval for commercial production. We will complete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lease accounting analysis for this facility in the first quarter of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Please refer to our accounting policy, </w:t>
      </w:r>
      <w:r>
        <w:rPr>
          <w:rFonts w:ascii="Times New Roman;serif" w:hAnsi="Times New Roman;serif"/>
          <w:b w:val="false"/>
          <w:i/>
          <w:strike w:val="false"/>
          <w:dstrike w:val="false"/>
          <w:sz w:val="20"/>
          <w:u w:val="none"/>
          <w:effect w:val="none"/>
        </w:rPr>
        <w:t>Leases</w:t>
      </w:r>
      <w:r>
        <w:rPr>
          <w:rFonts w:ascii="Times New Roman;serif" w:hAnsi="Times New Roman;serif"/>
          <w:b w:val="false"/>
          <w:i w:val="false"/>
          <w:caps w:val="false"/>
          <w:smallCaps w:val="false"/>
          <w:strike w:val="false"/>
          <w:dstrike w:val="false"/>
          <w:sz w:val="20"/>
          <w:u w:val="none"/>
          <w:effect w:val="none"/>
        </w:rPr>
        <w:t>,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further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information on the accounting treatment for our leases.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Aggregate Lease Information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components of lease cost recorded in our consolidated statements of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as follows: </w:t>
      </w:r>
    </w:p>
    <w:tbl>
      <w:tblPr>
        <w:tblW w:w="4783" w:type="dxa"/>
        <w:jc w:val="left"/>
        <w:tblInd w:w="0" w:type="dxa"/>
        <w:tblLayout w:type="fixed"/>
        <w:tblCellMar>
          <w:top w:w="28" w:type="dxa"/>
          <w:left w:w="28" w:type="dxa"/>
          <w:bottom w:w="28" w:type="dxa"/>
          <w:right w:w="28" w:type="dxa"/>
        </w:tblCellMar>
      </w:tblPr>
      <w:tblGrid>
        <w:gridCol w:w="2476"/>
        <w:gridCol w:w="681"/>
        <w:gridCol w:w="109"/>
        <w:gridCol w:w="681"/>
        <w:gridCol w:w="109"/>
        <w:gridCol w:w="727"/>
      </w:tblGrid>
      <w:tr>
        <w:trPr/>
        <w:tc>
          <w:tcPr>
            <w:tcW w:w="24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2307"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2476" w:type="dxa"/>
            <w:tcBorders/>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476" w:type="dxa"/>
            <w:tcBorders/>
            <w:vAlign w:val="center"/>
          </w:tcPr>
          <w:p>
            <w:pPr>
              <w:pStyle w:val="TableContents"/>
              <w:bidi w:val="0"/>
              <w:spacing w:before="0" w:after="283"/>
              <w:jc w:val="left"/>
              <w:rPr>
                <w:sz w:val="4"/>
                <w:szCs w:val="4"/>
              </w:rPr>
            </w:pPr>
            <w:r>
              <w:rPr>
                <w:sz w:val="4"/>
                <w:szCs w:val="4"/>
              </w:rPr>
            </w:r>
          </w:p>
        </w:tc>
        <w:tc>
          <w:tcPr>
            <w:tcW w:w="2307"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4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cost</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r>
      <w:tr>
        <w:trPr/>
        <w:tc>
          <w:tcPr>
            <w:tcW w:w="24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Finance lease cost</w:t>
            </w:r>
          </w:p>
        </w:tc>
        <w:tc>
          <w:tcPr>
            <w:tcW w:w="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Amortization of leased assets</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42.7</w:t>
            </w:r>
          </w:p>
        </w:tc>
      </w:tr>
      <w:tr>
        <w:trPr/>
        <w:tc>
          <w:tcPr>
            <w:tcW w:w="24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on lease liabilities</w:t>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w:t>
            </w:r>
          </w:p>
        </w:tc>
      </w:tr>
      <w:tr>
        <w:trPr/>
        <w:tc>
          <w:tcPr>
            <w:tcW w:w="24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Variable lease cost</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w:t>
            </w:r>
          </w:p>
        </w:tc>
      </w:tr>
      <w:tr>
        <w:trPr/>
        <w:tc>
          <w:tcPr>
            <w:tcW w:w="24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Sublease income</w:t>
            </w:r>
          </w:p>
        </w:tc>
        <w:tc>
          <w:tcPr>
            <w:tcW w:w="6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r>
      <w:tr>
        <w:trPr/>
        <w:tc>
          <w:tcPr>
            <w:tcW w:w="24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lease cost</w:t>
            </w:r>
          </w:p>
        </w:tc>
        <w:tc>
          <w:tcPr>
            <w:tcW w:w="6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variable lease cost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related to operating expenses, taxes and insurance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associated with our real estate leases.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F-34</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leases are included on our consolidated balance sheets as follows:</w:t>
      </w:r>
    </w:p>
    <w:tbl>
      <w:tblPr>
        <w:tblW w:w="4882" w:type="dxa"/>
        <w:jc w:val="left"/>
        <w:tblInd w:w="0" w:type="dxa"/>
        <w:tblLayout w:type="fixed"/>
        <w:tblCellMar>
          <w:top w:w="28" w:type="dxa"/>
          <w:left w:w="28" w:type="dxa"/>
          <w:bottom w:w="28" w:type="dxa"/>
          <w:right w:w="28" w:type="dxa"/>
        </w:tblCellMar>
      </w:tblPr>
      <w:tblGrid>
        <w:gridCol w:w="3076"/>
        <w:gridCol w:w="826"/>
        <w:gridCol w:w="109"/>
        <w:gridCol w:w="871"/>
      </w:tblGrid>
      <w:tr>
        <w:trPr/>
        <w:tc>
          <w:tcPr>
            <w:tcW w:w="30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w:t>
            </w:r>
          </w:p>
        </w:tc>
      </w:tr>
      <w:tr>
        <w:trPr/>
        <w:tc>
          <w:tcPr>
            <w:tcW w:w="307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307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leases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assets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$1,356.8</w:t>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operating lease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$1,356.8</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$87.1</w:t>
            </w:r>
          </w:p>
        </w:tc>
      </w:tr>
      <w:tr>
        <w:trPr/>
        <w:tc>
          <w:tcPr>
            <w:tcW w:w="30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operating lease liabilities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1,544.4</w:t>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operating lease liabilities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$1,631.5</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Finance leases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Property and equipment, net</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$57.9</w:t>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finance lease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$57.9</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r>
      <w:tr>
        <w:trPr/>
        <w:tc>
          <w:tcPr>
            <w:tcW w:w="30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long-term liabilities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112.8</w:t>
            </w:r>
          </w:p>
        </w:tc>
      </w:tr>
      <w:tr>
        <w:trPr/>
        <w:tc>
          <w:tcPr>
            <w:tcW w:w="30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finance lease liabilities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Maturities of our finance and operating lease liabilities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as follows: </w:t>
      </w:r>
    </w:p>
    <w:tbl>
      <w:tblPr>
        <w:tblW w:w="7096" w:type="dxa"/>
        <w:jc w:val="left"/>
        <w:tblInd w:w="0" w:type="dxa"/>
        <w:tblLayout w:type="fixed"/>
        <w:tblCellMar>
          <w:top w:w="28" w:type="dxa"/>
          <w:left w:w="28" w:type="dxa"/>
          <w:bottom w:w="28" w:type="dxa"/>
          <w:right w:w="28" w:type="dxa"/>
        </w:tblCellMar>
      </w:tblPr>
      <w:tblGrid>
        <w:gridCol w:w="2896"/>
        <w:gridCol w:w="109"/>
        <w:gridCol w:w="1591"/>
        <w:gridCol w:w="109"/>
        <w:gridCol w:w="1396"/>
        <w:gridCol w:w="109"/>
        <w:gridCol w:w="886"/>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8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1"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$165.7</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196.9</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208.7</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205.5</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152.4</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210.6</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2,434.7</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3,199.5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3,377.6</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tenant allowance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(220.8)</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amount representing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(1,120.8)</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 value of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$2,036.0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F-35</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weighted-average remaining lease terms and discount rates related to our leases were as follows: </w:t>
      </w:r>
    </w:p>
    <w:tbl>
      <w:tblPr>
        <w:tblW w:w="5896" w:type="dxa"/>
        <w:jc w:val="left"/>
        <w:tblInd w:w="0" w:type="dxa"/>
        <w:tblLayout w:type="fixed"/>
        <w:tblCellMar>
          <w:top w:w="28" w:type="dxa"/>
          <w:left w:w="28" w:type="dxa"/>
          <w:bottom w:w="28" w:type="dxa"/>
          <w:right w:w="28" w:type="dxa"/>
        </w:tblCellMar>
      </w:tblPr>
      <w:tblGrid>
        <w:gridCol w:w="4126"/>
        <w:gridCol w:w="789"/>
        <w:gridCol w:w="136"/>
        <w:gridCol w:w="845"/>
      </w:tblGrid>
      <w:tr>
        <w:trPr/>
        <w:tc>
          <w:tcPr>
            <w:tcW w:w="4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w:t>
            </w:r>
          </w:p>
        </w:tc>
      </w:tr>
      <w:tr>
        <w:trPr/>
        <w:tc>
          <w:tcPr>
            <w:tcW w:w="4126" w:type="dxa"/>
            <w:tcBorders/>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Weighted-average remaining lease term (in years)</w:t>
            </w:r>
          </w:p>
        </w:tc>
        <w:tc>
          <w:tcPr>
            <w:tcW w:w="78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leases</w:t>
            </w:r>
          </w:p>
        </w:tc>
        <w:tc>
          <w:tcPr>
            <w:tcW w:w="78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15.17</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15.58</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Finance leases</w:t>
            </w:r>
          </w:p>
        </w:tc>
        <w:tc>
          <w:tcPr>
            <w:tcW w:w="78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21.94</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22.17</w:t>
            </w:r>
          </w:p>
        </w:tc>
      </w:tr>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789"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Weighted-average discount rate</w:t>
            </w:r>
          </w:p>
        </w:tc>
        <w:tc>
          <w:tcPr>
            <w:tcW w:w="789"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leases</w:t>
            </w:r>
          </w:p>
        </w:tc>
        <w:tc>
          <w:tcPr>
            <w:tcW w:w="78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4.61%</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leases</w:t>
            </w:r>
          </w:p>
        </w:tc>
        <w:tc>
          <w:tcPr>
            <w:tcW w:w="78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4.51%</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4.58%</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Supplemental cash flow information related to our leases was as follows:</w:t>
      </w:r>
    </w:p>
    <w:tbl>
      <w:tblPr>
        <w:tblW w:w="8142" w:type="dxa"/>
        <w:jc w:val="left"/>
        <w:tblInd w:w="0" w:type="dxa"/>
        <w:tblLayout w:type="fixed"/>
        <w:tblCellMar>
          <w:top w:w="28" w:type="dxa"/>
          <w:left w:w="28" w:type="dxa"/>
          <w:bottom w:w="28" w:type="dxa"/>
          <w:right w:w="28" w:type="dxa"/>
        </w:tblCellMar>
      </w:tblPr>
      <w:tblGrid>
        <w:gridCol w:w="5806"/>
        <w:gridCol w:w="676"/>
        <w:gridCol w:w="109"/>
        <w:gridCol w:w="826"/>
        <w:gridCol w:w="109"/>
        <w:gridCol w:w="616"/>
      </w:tblGrid>
      <w:tr>
        <w:trPr/>
        <w:tc>
          <w:tcPr>
            <w:tcW w:w="58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806" w:type="dxa"/>
            <w:tcBorders/>
            <w:vAlign w:val="center"/>
          </w:tcPr>
          <w:p>
            <w:pPr>
              <w:pStyle w:val="TableContents"/>
              <w:bidi w:val="0"/>
              <w:spacing w:before="0" w:after="283"/>
              <w:jc w:val="left"/>
              <w:rPr>
                <w:sz w:val="4"/>
                <w:szCs w:val="4"/>
              </w:rPr>
            </w:pPr>
            <w:r>
              <w:rPr>
                <w:sz w:val="4"/>
                <w:szCs w:val="4"/>
              </w:rPr>
            </w:r>
          </w:p>
        </w:tc>
        <w:tc>
          <w:tcPr>
            <w:tcW w:w="2336"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580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5806" w:type="dxa"/>
            <w:tcBorders/>
            <w:vAlign w:val="center"/>
          </w:tcPr>
          <w:p>
            <w:pPr>
              <w:pStyle w:val="TableContents"/>
              <w:bidi w:val="0"/>
              <w:spacing w:before="0" w:after="283"/>
              <w:jc w:val="left"/>
              <w:rPr>
                <w:sz w:val="4"/>
                <w:szCs w:val="4"/>
              </w:rPr>
            </w:pPr>
            <w:r>
              <w:rPr>
                <w:sz w:val="4"/>
                <w:szCs w:val="4"/>
              </w:rPr>
            </w:r>
          </w:p>
        </w:tc>
        <w:tc>
          <w:tcPr>
            <w:tcW w:w="2336"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8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paid for amounts included in the measurement of lease liabilities</w:t>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cash flows from operating leases</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$62.8</w:t>
            </w:r>
          </w:p>
        </w:tc>
      </w:tr>
      <w:tr>
        <w:trPr/>
        <w:tc>
          <w:tcPr>
            <w:tcW w:w="58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cash flows from finance leases</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$38.4</w:t>
            </w:r>
          </w:p>
        </w:tc>
      </w:tr>
      <w:tr>
        <w:trPr/>
        <w:tc>
          <w:tcPr>
            <w:tcW w:w="58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Financing cash flows from finance leases</w:t>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$44.9</w:t>
            </w:r>
          </w:p>
        </w:tc>
      </w:tr>
      <w:tr>
        <w:trPr/>
        <w:tc>
          <w:tcPr>
            <w:tcW w:w="5806"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Right-of-use assets obtained in exchange for lease obligations</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58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leases </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majority of right-of-use assets obtained in exchange for lease obligations in 2025 and 2024 are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M.Common Stock, Preferred Stock and Equity Plans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Common Stock and Preferred Stock</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authorized to issue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common stock. Holders of common stock are entitled to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vote per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 Holders of common stock are entitled to receive dividends, if and when declared by our Board of Directors, and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 ratably in our assets legally available for distribution to our shareholders in the event of liquidation. Holders of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have no preemptive, subscription, redemption or conversion rights. The holders of common stock do not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cumulative voting rights.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authorized to issue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preferred stock in one or more series and to fix the powers, designations,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preferences and relative participating, option or other rights thereof, including dividend rights, conversion rights, voting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rights, redemption terms, liquidation preferences and the number of shares constituting any series, without any further vote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action by our shareholders.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we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preferred stock issued or outstanding.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 Repurchase Programs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February 2023, our Board of Directors approved a share repurchase program (the “2023 Share Repurchase Program”),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pursuant to which we were authorized to repurchase up to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As of December 31, 2025,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had repurchased the full amount authorized under the 2023 Share Repurchase Program. In May 2025, our Board of Directors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approved an additional share repurchase program (the “2025 Share Repurchase Program”), pursuant to which we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authorized to repurchase up to $4.0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common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F-36</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 we repurchased 4.8 million, 2.7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our common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under these programs for an aggregate of $2.0 billion, $1.2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$427.6 million, respectively.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 we had $3.4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remaining authorization under the 2025 Share Repurchase Program, which does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an expiration date and can be discontinued at any time.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 and Option Plans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purpose of each of our stock and option plans is to attract, retain and motivate our employees, consultants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directors. Awards granted under these plans can be nonstatutory stock options (“NSOs”), incentive stock options (“ISOs”),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RSUs including PSUs, restricted stock (“RSs”), or other equity-based awards, as specified in the individual plans.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Shares issued under all of our plans are funded through the issuance of new shares. The following table contains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information about our equity plans:</w:t>
      </w:r>
    </w:p>
    <w:tbl>
      <w:tblPr>
        <w:tblW w:w="9236" w:type="dxa"/>
        <w:jc w:val="left"/>
        <w:tblInd w:w="0" w:type="dxa"/>
        <w:tblLayout w:type="fixed"/>
        <w:tblCellMar>
          <w:top w:w="28" w:type="dxa"/>
          <w:left w:w="28" w:type="dxa"/>
          <w:bottom w:w="28" w:type="dxa"/>
          <w:right w:w="28" w:type="dxa"/>
        </w:tblCellMar>
      </w:tblPr>
      <w:tblGrid>
        <w:gridCol w:w="2416"/>
        <w:gridCol w:w="109"/>
        <w:gridCol w:w="4441"/>
        <w:gridCol w:w="109"/>
        <w:gridCol w:w="2161"/>
      </w:tblGrid>
      <w:tr>
        <w:trPr/>
        <w:tc>
          <w:tcPr>
            <w:tcW w:w="2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Title of Plan</w:t>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Group Eligible</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Type of Award Granted</w:t>
            </w:r>
          </w:p>
        </w:tc>
      </w:tr>
      <w:tr>
        <w:trPr/>
        <w:tc>
          <w:tcPr>
            <w:tcW w:w="24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2013 Stock and Option Plan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Employees, Non-employee Directors and Consultants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NSO, RS, RSU and PSU</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2006 Stock and Option Plan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Employees, Non-employee Directors and Consultants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NSO, RS and RSU</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we are authorized to grant 10.9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additional awards under our 2013 Stock and Option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Plan and have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awards outstanding. We are no longer authorized to grant additional awards under our 2006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Option Plan.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Restricted Stock Units (excluding PSUs)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our restricted stock unit activity during the year ended December 31, 2025: </w:t>
      </w:r>
    </w:p>
    <w:tbl>
      <w:tblPr>
        <w:tblW w:w="6757" w:type="dxa"/>
        <w:jc w:val="left"/>
        <w:tblInd w:w="0" w:type="dxa"/>
        <w:tblLayout w:type="fixed"/>
        <w:tblCellMar>
          <w:top w:w="28" w:type="dxa"/>
          <w:left w:w="28" w:type="dxa"/>
          <w:bottom w:w="28" w:type="dxa"/>
          <w:right w:w="28" w:type="dxa"/>
        </w:tblCellMar>
      </w:tblPr>
      <w:tblGrid>
        <w:gridCol w:w="2701"/>
        <w:gridCol w:w="1621"/>
        <w:gridCol w:w="109"/>
        <w:gridCol w:w="2326"/>
      </w:tblGrid>
      <w:tr>
        <w:trPr/>
        <w:tc>
          <w:tcPr>
            <w:tcW w:w="27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283"/>
              <w:jc w:val="left"/>
              <w:rPr>
                <w:sz w:val="4"/>
                <w:szCs w:val="4"/>
              </w:rPr>
            </w:pPr>
            <w:r>
              <w:rPr>
                <w:sz w:val="4"/>
                <w:szCs w:val="4"/>
              </w:rPr>
            </w:r>
          </w:p>
        </w:tc>
        <w:tc>
          <w:tcPr>
            <w:tcW w:w="405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 Units (excluding PSUs)</w:t>
            </w:r>
          </w:p>
        </w:tc>
      </w:tr>
      <w:tr>
        <w:trPr/>
        <w:tc>
          <w:tcPr>
            <w:tcW w:w="2701" w:type="dxa"/>
            <w:tcBorders/>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Weighted-average Grant-</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date Fair Value</w:t>
            </w:r>
          </w:p>
        </w:tc>
      </w:tr>
      <w:tr>
        <w:trPr/>
        <w:tc>
          <w:tcPr>
            <w:tcW w:w="2701" w:type="dxa"/>
            <w:tcBorders/>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 share)</w:t>
            </w:r>
          </w:p>
        </w:tc>
      </w:tr>
      <w:tr>
        <w:trPr/>
        <w:tc>
          <w:tcPr>
            <w:tcW w:w="27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at December 31, 2024</w:t>
            </w:r>
          </w:p>
        </w:tc>
        <w:tc>
          <w:tcPr>
            <w:tcW w:w="16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$372.54</w:t>
            </w:r>
          </w:p>
        </w:tc>
      </w:tr>
      <w:tr>
        <w:trPr/>
        <w:tc>
          <w:tcPr>
            <w:tcW w:w="27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6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$456.01</w:t>
            </w:r>
          </w:p>
        </w:tc>
      </w:tr>
      <w:tr>
        <w:trPr/>
        <w:tc>
          <w:tcPr>
            <w:tcW w:w="27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Vested</w:t>
            </w:r>
          </w:p>
        </w:tc>
        <w:tc>
          <w:tcPr>
            <w:tcW w:w="16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$345.20</w:t>
            </w:r>
          </w:p>
        </w:tc>
      </w:tr>
      <w:tr>
        <w:trPr/>
        <w:tc>
          <w:tcPr>
            <w:tcW w:w="27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Cancelled</w:t>
            </w:r>
          </w:p>
        </w:tc>
        <w:tc>
          <w:tcPr>
            <w:tcW w:w="16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$425.63</w:t>
            </w:r>
          </w:p>
        </w:tc>
      </w:tr>
      <w:tr>
        <w:trPr/>
        <w:tc>
          <w:tcPr>
            <w:tcW w:w="27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at December 31, 2025</w:t>
            </w:r>
          </w:p>
        </w:tc>
        <w:tc>
          <w:tcPr>
            <w:tcW w:w="16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$431.34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total fair value of restricted stock units that vested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(measured based on the market price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our common stock on the date of vesting) was $654.6 million, $666.0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$433.4 million, respectively.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Performance-based RSUs (PSUs)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Certain members of senior management receive approximately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their annual equity compensation in the form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PSUs. 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number of PSUs are eligible to vest based on the achievement of one-year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financial goals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remaining PSUs are eligible to vest based on the achievement of non-financial goals, such as clinical development, regulatory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and/or manufacturing-related milestones. The financial PSUs, if earned, vest in annual installments over a three-year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measured from the date of grant, and the non-financial PSUs, if earned, cliff vest at the conclusion of the performance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potential shares earned pursuant to these PSU awards range from 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200%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target number of shares,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number of shares issued determined by the achievement of the financial and non-financial performance goals.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F-37</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our PSU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4393"/>
        <w:gridCol w:w="2201"/>
        <w:gridCol w:w="161"/>
        <w:gridCol w:w="3450"/>
      </w:tblGrid>
      <w:tr>
        <w:trPr/>
        <w:tc>
          <w:tcPr>
            <w:tcW w:w="439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4393" w:type="dxa"/>
            <w:tcBorders/>
            <w:vAlign w:val="center"/>
          </w:tcPr>
          <w:p>
            <w:pPr>
              <w:pStyle w:val="TableContents"/>
              <w:bidi w:val="0"/>
              <w:spacing w:before="0" w:after="283"/>
              <w:jc w:val="left"/>
              <w:rPr>
                <w:sz w:val="4"/>
                <w:szCs w:val="4"/>
              </w:rPr>
            </w:pPr>
            <w:r>
              <w:rPr>
                <w:sz w:val="4"/>
                <w:szCs w:val="4"/>
              </w:rPr>
            </w:r>
          </w:p>
        </w:tc>
        <w:tc>
          <w:tcPr>
            <w:tcW w:w="5812"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Performance-Based RSU</w:t>
            </w:r>
          </w:p>
        </w:tc>
      </w:tr>
      <w:tr>
        <w:trPr/>
        <w:tc>
          <w:tcPr>
            <w:tcW w:w="4393" w:type="dxa"/>
            <w:tcBorders/>
            <w:vAlign w:val="center"/>
          </w:tcPr>
          <w:p>
            <w:pPr>
              <w:pStyle w:val="TableContents"/>
              <w:bidi w:val="0"/>
              <w:spacing w:before="0" w:after="283"/>
              <w:jc w:val="left"/>
              <w:rPr>
                <w:sz w:val="4"/>
                <w:szCs w:val="4"/>
              </w:rPr>
            </w:pPr>
            <w:r>
              <w:rPr>
                <w:sz w:val="4"/>
                <w:szCs w:val="4"/>
              </w:rPr>
            </w:r>
          </w:p>
        </w:tc>
        <w:tc>
          <w:tcPr>
            <w:tcW w:w="22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Units</w:t>
            </w:r>
          </w:p>
        </w:tc>
        <w:tc>
          <w:tcPr>
            <w:tcW w:w="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Weighted-average Grant-</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date Fair Value</w:t>
            </w:r>
          </w:p>
        </w:tc>
      </w:tr>
      <w:tr>
        <w:trPr/>
        <w:tc>
          <w:tcPr>
            <w:tcW w:w="4393" w:type="dxa"/>
            <w:tcBorders/>
            <w:vAlign w:val="center"/>
          </w:tcPr>
          <w:p>
            <w:pPr>
              <w:pStyle w:val="TableContents"/>
              <w:bidi w:val="0"/>
              <w:spacing w:before="0" w:after="283"/>
              <w:jc w:val="left"/>
              <w:rPr>
                <w:sz w:val="4"/>
                <w:szCs w:val="4"/>
              </w:rPr>
            </w:pPr>
            <w:r>
              <w:rPr>
                <w:sz w:val="4"/>
                <w:szCs w:val="4"/>
              </w:rPr>
            </w:r>
          </w:p>
        </w:tc>
        <w:tc>
          <w:tcPr>
            <w:tcW w:w="22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thousands)</w:t>
            </w:r>
          </w:p>
        </w:tc>
        <w:tc>
          <w:tcPr>
            <w:tcW w:w="161" w:type="dxa"/>
            <w:tcBorders/>
            <w:vAlign w:val="center"/>
          </w:tcPr>
          <w:p>
            <w:pPr>
              <w:pStyle w:val="TableContents"/>
              <w:bidi w:val="0"/>
              <w:spacing w:before="0" w:after="283"/>
              <w:jc w:val="left"/>
              <w:rPr>
                <w:sz w:val="4"/>
                <w:szCs w:val="4"/>
              </w:rPr>
            </w:pPr>
            <w:r>
              <w:rPr>
                <w:sz w:val="4"/>
                <w:szCs w:val="4"/>
              </w:rPr>
            </w:r>
          </w:p>
        </w:tc>
        <w:tc>
          <w:tcPr>
            <w:tcW w:w="3450"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 share)</w:t>
            </w:r>
          </w:p>
        </w:tc>
      </w:tr>
      <w:tr>
        <w:trPr/>
        <w:tc>
          <w:tcPr>
            <w:tcW w:w="439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at December 31, 2024 (1)</w:t>
            </w:r>
          </w:p>
        </w:tc>
        <w:tc>
          <w:tcPr>
            <w:tcW w:w="2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862</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345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$346.01</w:t>
            </w:r>
          </w:p>
        </w:tc>
      </w:tr>
      <w:tr>
        <w:trPr/>
        <w:tc>
          <w:tcPr>
            <w:tcW w:w="439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 (2)</w:t>
            </w:r>
          </w:p>
        </w:tc>
        <w:tc>
          <w:tcPr>
            <w:tcW w:w="2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345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$450.83</w:t>
            </w:r>
          </w:p>
        </w:tc>
      </w:tr>
      <w:tr>
        <w:trPr/>
        <w:tc>
          <w:tcPr>
            <w:tcW w:w="439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Vested</w:t>
            </w:r>
          </w:p>
        </w:tc>
        <w:tc>
          <w:tcPr>
            <w:tcW w:w="2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(584)</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345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$288.14</w:t>
            </w:r>
          </w:p>
        </w:tc>
      </w:tr>
      <w:tr>
        <w:trPr/>
        <w:tc>
          <w:tcPr>
            <w:tcW w:w="439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Cancelled</w:t>
            </w:r>
          </w:p>
        </w:tc>
        <w:tc>
          <w:tcPr>
            <w:tcW w:w="2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345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$392.20</w:t>
            </w:r>
          </w:p>
        </w:tc>
      </w:tr>
      <w:tr>
        <w:trPr/>
        <w:tc>
          <w:tcPr>
            <w:tcW w:w="439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at December 31, 2025</w:t>
            </w:r>
          </w:p>
        </w:tc>
        <w:tc>
          <w:tcPr>
            <w:tcW w:w="2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728</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345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$412.52</w:t>
            </w:r>
          </w:p>
        </w:tc>
      </w:tr>
      <w:tr>
        <w:trPr/>
        <w:tc>
          <w:tcPr>
            <w:tcW w:w="4393" w:type="dxa"/>
            <w:tcBorders/>
            <w:vAlign w:val="center"/>
          </w:tcPr>
          <w:p>
            <w:pPr>
              <w:pStyle w:val="TableContents"/>
              <w:bidi w:val="0"/>
              <w:spacing w:before="0" w:after="283"/>
              <w:jc w:val="left"/>
              <w:rPr>
                <w:sz w:val="4"/>
                <w:szCs w:val="4"/>
              </w:rPr>
            </w:pPr>
            <w:r>
              <w:rPr>
                <w:sz w:val="4"/>
                <w:szCs w:val="4"/>
              </w:rPr>
            </w:r>
          </w:p>
        </w:tc>
        <w:tc>
          <w:tcPr>
            <w:tcW w:w="22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(1) “Unvested” represents our PSUs at target to the extent performance has not been certified plus the actual number of shares that continue to be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subject to service conditions for which the performance has been achieved and certified.</w:t>
            </w:r>
          </w:p>
        </w:tc>
      </w:tr>
      <w:tr>
        <w:trPr/>
        <w:tc>
          <w:tcPr>
            <w:tcW w:w="10205" w:type="dxa"/>
            <w:gridSpan w:val="4"/>
            <w:tcBorders/>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(2) “Granted” represents (i) the target number of shares issuable for grants during </w:t>
            </w:r>
            <w:r>
              <w:rPr>
                <w:rFonts w:ascii="Times New Roman;serif" w:hAnsi="Times New Roman;serif"/>
                <w:b w:val="false"/>
                <w:i w:val="false"/>
                <w:caps w:val="false"/>
                <w:smallCaps w:val="false"/>
                <w:strike w:val="false"/>
                <w:dstrike w:val="false"/>
                <w:sz w:val="16"/>
                <w:u w:val="none"/>
                <w:effect w:val="none"/>
              </w:rPr>
              <w:t>2025</w:t>
            </w:r>
            <w:r>
              <w:rPr>
                <w:caps w:val="false"/>
                <w:smallCaps w:val="false"/>
                <w:sz w:val="24"/>
              </w:rPr>
              <w:t xml:space="preserve"> </w:t>
            </w:r>
            <w:r>
              <w:rPr>
                <w:rFonts w:ascii="Times New Roman;serif" w:hAnsi="Times New Roman;serif"/>
                <w:b w:val="false"/>
                <w:i w:val="false"/>
                <w:caps w:val="false"/>
                <w:smallCaps w:val="false"/>
                <w:sz w:val="16"/>
              </w:rPr>
              <w:t xml:space="preserve">and (ii) any change in the number of shares issuable </w:t>
            </w:r>
          </w:p>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pursuant to outstanding PSUs based on performance certification during </w:t>
            </w:r>
            <w:r>
              <w:rPr>
                <w:rFonts w:ascii="Times New Roman;serif" w:hAnsi="Times New Roman;serif"/>
                <w:b w:val="false"/>
                <w:i w:val="false"/>
                <w:caps w:val="false"/>
                <w:smallCaps w:val="false"/>
                <w:strike w:val="false"/>
                <w:dstrike w:val="false"/>
                <w:sz w:val="16"/>
                <w:u w:val="none"/>
                <w:effect w:val="none"/>
              </w:rPr>
              <w:t>2025</w:t>
            </w:r>
            <w:r>
              <w:rPr>
                <w:rFonts w:ascii="Times New Roman;serif" w:hAnsi="Times New Roman;serif"/>
                <w:b w:val="false"/>
                <w:i w:val="false"/>
                <w:caps w:val="false"/>
                <w:smallCaps w:val="false"/>
                <w:sz w:val="16"/>
              </w:rPr>
              <w:t>.</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total fair value of PSUs that vested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(measured on the date of vesting) was $276.6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$347.1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$160.4 million, respectively.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Stock Options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options have been granted with an exercise price equal to the fair value of the underlying common stock on the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grant. All options awarded under our stock and option plans, cannot have an exercise price less than fair market value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date of grant and cannot expire more than 10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grant date. In each of the three years ended December 31,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we only granted stock options to certain of our non-employee directors.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information related to the outstanding and exercisable options during the year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w:t>
      </w:r>
    </w:p>
    <w:tbl>
      <w:tblPr>
        <w:tblW w:w="8807" w:type="dxa"/>
        <w:jc w:val="left"/>
        <w:tblInd w:w="0" w:type="dxa"/>
        <w:tblLayout w:type="fixed"/>
        <w:tblCellMar>
          <w:top w:w="28" w:type="dxa"/>
          <w:left w:w="28" w:type="dxa"/>
          <w:bottom w:w="28" w:type="dxa"/>
          <w:right w:w="28" w:type="dxa"/>
        </w:tblCellMar>
      </w:tblPr>
      <w:tblGrid>
        <w:gridCol w:w="2941"/>
        <w:gridCol w:w="1276"/>
        <w:gridCol w:w="109"/>
        <w:gridCol w:w="1336"/>
        <w:gridCol w:w="109"/>
        <w:gridCol w:w="1516"/>
        <w:gridCol w:w="109"/>
        <w:gridCol w:w="1411"/>
      </w:tblGrid>
      <w:tr>
        <w:trPr/>
        <w:tc>
          <w:tcPr>
            <w:tcW w:w="294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Remaining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Contractual Life</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Aggregate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Intrinsic Value</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years)</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2024</w:t>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Granted</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$502.97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Exercised</w:t>
            </w:r>
          </w:p>
        </w:tc>
        <w:tc>
          <w:tcPr>
            <w:tcW w:w="12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Outstanding at December 31, 2025</w:t>
            </w:r>
          </w:p>
        </w:tc>
        <w:tc>
          <w:tcPr>
            <w:tcW w:w="12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$326.7</w:t>
            </w:r>
          </w:p>
        </w:tc>
      </w:tr>
      <w:tr>
        <w:trPr/>
        <w:tc>
          <w:tcPr>
            <w:tcW w:w="29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Exercisable at December 31, 2025</w:t>
            </w:r>
          </w:p>
        </w:tc>
        <w:tc>
          <w:tcPr>
            <w:tcW w:w="127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aggregate intrinsic value in the table above represents the total pre-tax amount, net of exercise price, that would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been received by option holders if all option holders had exercised all options with an exercise price lower than the market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price on the last business day of 2025, which was $453.36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based on the closing price of our common stock on that date.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total intrinsic value (the amount by which the fair market value exceeded the exercise price) of stock options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exercised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$147.8 million, $112.8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$128.4 million, respectively. The total cash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received as a result of stock option exercises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$55.6 million, $50.0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$80.8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F-38</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information about stock options outstanding as of December 31, 2025, which were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exercisable: </w:t>
      </w:r>
    </w:p>
    <w:tbl>
      <w:tblPr>
        <w:tblW w:w="8326" w:type="dxa"/>
        <w:jc w:val="left"/>
        <w:tblInd w:w="0" w:type="dxa"/>
        <w:tblLayout w:type="fixed"/>
        <w:tblCellMar>
          <w:top w:w="28" w:type="dxa"/>
          <w:left w:w="28" w:type="dxa"/>
          <w:bottom w:w="28" w:type="dxa"/>
          <w:right w:w="28" w:type="dxa"/>
        </w:tblCellMar>
      </w:tblPr>
      <w:tblGrid>
        <w:gridCol w:w="2221"/>
        <w:gridCol w:w="109"/>
        <w:gridCol w:w="1876"/>
        <w:gridCol w:w="109"/>
        <w:gridCol w:w="2146"/>
        <w:gridCol w:w="109"/>
        <w:gridCol w:w="1756"/>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6"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 Outstanding and Exercisable</w:t>
            </w:r>
          </w:p>
        </w:tc>
      </w:tr>
      <w:tr>
        <w:trPr/>
        <w:tc>
          <w:tcPr>
            <w:tcW w:w="22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Range of Exercise Prices</w:t>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Outstanding</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Weighted-average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Remaining Contractual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Life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Weighted-average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 Price</w:t>
            </w:r>
          </w:p>
        </w:tc>
      </w:tr>
      <w:tr>
        <w:trPr/>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years)</w:t>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 share)</w:t>
            </w:r>
          </w:p>
        </w:tc>
      </w:tr>
      <w:tr>
        <w:trPr/>
        <w:tc>
          <w:tcPr>
            <w:tcW w:w="222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$86.52</w:t>
            </w:r>
            <w:r>
              <w:rPr>
                <w:caps w:val="false"/>
                <w:smallCaps w:val="false"/>
                <w:sz w:val="24"/>
              </w:rPr>
              <w:t>–</w:t>
            </w:r>
            <w:r>
              <w:rPr>
                <w:rFonts w:ascii="Times New Roman;serif" w:hAnsi="Times New Roman;serif"/>
                <w:b w:val="false"/>
                <w:i w:val="false"/>
                <w:caps w:val="false"/>
                <w:smallCaps w:val="false"/>
                <w:strike w:val="false"/>
                <w:dstrike w:val="false"/>
                <w:sz w:val="20"/>
                <w:u w:val="none"/>
                <w:effect w:val="none"/>
              </w:rPr>
              <w:t>$100.00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$88.39</w:t>
            </w:r>
          </w:p>
        </w:tc>
      </w:tr>
      <w:tr>
        <w:trPr/>
        <w:tc>
          <w:tcPr>
            <w:tcW w:w="222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$100.01</w:t>
            </w:r>
            <w:r>
              <w:rPr>
                <w:caps w:val="false"/>
                <w:smallCaps w:val="false"/>
                <w:sz w:val="24"/>
              </w:rPr>
              <w:t>–</w:t>
            </w:r>
            <w:r>
              <w:rPr>
                <w:rFonts w:ascii="Times New Roman;serif" w:hAnsi="Times New Roman;serif"/>
                <w:b w:val="false"/>
                <w:i w:val="false"/>
                <w:caps w:val="false"/>
                <w:smallCaps w:val="false"/>
                <w:strike w:val="false"/>
                <w:dstrike w:val="false"/>
                <w:sz w:val="20"/>
                <w:u w:val="none"/>
                <w:effect w:val="none"/>
              </w:rPr>
              <w:t>$150.00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$125.59</w:t>
            </w:r>
          </w:p>
        </w:tc>
      </w:tr>
      <w:tr>
        <w:trPr/>
        <w:tc>
          <w:tcPr>
            <w:tcW w:w="222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$150.01</w:t>
            </w:r>
            <w:r>
              <w:rPr>
                <w:caps w:val="false"/>
                <w:smallCaps w:val="false"/>
                <w:sz w:val="24"/>
              </w:rPr>
              <w:t>–</w:t>
            </w:r>
            <w:r>
              <w:rPr>
                <w:rFonts w:ascii="Times New Roman;serif" w:hAnsi="Times New Roman;serif"/>
                <w:b w:val="false"/>
                <w:i w:val="false"/>
                <w:caps w:val="false"/>
                <w:smallCaps w:val="false"/>
                <w:strike w:val="false"/>
                <w:dstrike w:val="false"/>
                <w:sz w:val="20"/>
                <w:u w:val="none"/>
                <w:effect w:val="none"/>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$172.79</w:t>
            </w:r>
          </w:p>
        </w:tc>
      </w:tr>
      <w:tr>
        <w:trPr/>
        <w:tc>
          <w:tcPr>
            <w:tcW w:w="222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$200.01</w:t>
            </w:r>
            <w:r>
              <w:rPr>
                <w:caps w:val="false"/>
                <w:smallCaps w:val="false"/>
                <w:sz w:val="24"/>
              </w:rPr>
              <w:t>–</w:t>
            </w:r>
            <w:r>
              <w:rPr>
                <w:rFonts w:ascii="Times New Roman;serif" w:hAnsi="Times New Roman;serif"/>
                <w:b w:val="false"/>
                <w:i w:val="false"/>
                <w:caps w:val="false"/>
                <w:smallCaps w:val="false"/>
                <w:strike w:val="false"/>
                <w:dstrike w:val="false"/>
                <w:sz w:val="20"/>
                <w:u w:val="none"/>
                <w:effect w:val="none"/>
              </w:rPr>
              <w:t>$502.97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$305.38</w:t>
            </w:r>
          </w:p>
        </w:tc>
      </w:tr>
      <w:tr>
        <w:trPr/>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$170.54</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Employee Stock Purchase Plan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 have an employee stock purchase plan (the “ESPP”). The ESPP permits eligible employees to enroll in a twelve-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offering period comprising two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six-month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purchase periods. Participants may purchase shares of our common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through payroll deductions, at a price equal to 85%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fair market value of the common stock on the first day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applicable twelve-month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offering period, or the last day of the applicable six-month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purchase period, whichever is lower.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 dates under the ESPP occur on or about May 14 and November 14 of each year. As of December 31, 2025, there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were 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common stock authorized for issuance pursuant to the ESPP.</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2025, the following shares were issued to employees under the ESPP:</w:t>
      </w:r>
    </w:p>
    <w:tbl>
      <w:tblPr>
        <w:tblW w:w="5537" w:type="dxa"/>
        <w:jc w:val="left"/>
        <w:tblInd w:w="0" w:type="dxa"/>
        <w:tblLayout w:type="fixed"/>
        <w:tblCellMar>
          <w:top w:w="28" w:type="dxa"/>
          <w:left w:w="28" w:type="dxa"/>
          <w:bottom w:w="28" w:type="dxa"/>
          <w:right w:w="28" w:type="dxa"/>
        </w:tblCellMar>
      </w:tblPr>
      <w:tblGrid>
        <w:gridCol w:w="2716"/>
        <w:gridCol w:w="2821"/>
      </w:tblGrid>
      <w:tr>
        <w:trPr/>
        <w:tc>
          <w:tcPr>
            <w:tcW w:w="27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before="0" w:after="283"/>
              <w:jc w:val="left"/>
              <w:rPr>
                <w:sz w:val="4"/>
                <w:szCs w:val="4"/>
              </w:rPr>
            </w:pPr>
            <w:r>
              <w:rPr>
                <w:sz w:val="4"/>
                <w:szCs w:val="4"/>
              </w:rPr>
            </w:r>
          </w:p>
        </w:tc>
        <w:tc>
          <w:tcPr>
            <w:tcW w:w="282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 2025</w:t>
            </w:r>
          </w:p>
        </w:tc>
      </w:tr>
      <w:tr>
        <w:trPr/>
        <w:tc>
          <w:tcPr>
            <w:tcW w:w="27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Number of shares (in thousands)</w:t>
            </w:r>
          </w:p>
        </w:tc>
        <w:tc>
          <w:tcPr>
            <w:tcW w:w="28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w:t>
            </w:r>
          </w:p>
        </w:tc>
      </w:tr>
      <w:tr>
        <w:trPr/>
        <w:tc>
          <w:tcPr>
            <w:tcW w:w="27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price paid per share</w:t>
            </w:r>
          </w:p>
        </w:tc>
        <w:tc>
          <w:tcPr>
            <w:tcW w:w="28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$362.43</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Employee Benefits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 401(k) retirement plan (the “Vertex 401(k) Plan”) in which substantially all of our permanent U.S. employees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are eligible to participate. Participants may contribute up to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their annual compensation to the Vertex 401(k) Plan,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statutory limitations. We may declare discretionary matching contributions to the Vertex 401(k) Plan. We pay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matching contributions in the form of cash. In ex-U.S. markets, we have similar benefit plans. In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recorded approximately $63.1 million, $52.3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$43.6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expense related to these plans,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N.Stock-based Compensation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recognize share-based payments to employees as compensation expense using the fair value method. The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restricted stock units, including PSUs, is based on the intrinsic value on the date of grant. The fair value of shares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purchased pursuant to the ESPP and stock options is calculated using the Black-Scholes option pricing model. Stock-based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compensation expense, measured at the grant date based on the fair value of the award, is typically recognized ratably over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requisite service period.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F-39</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During the three years ended December 31, 2025, we recognized the following stock-based compensation expense:</w:t>
      </w:r>
    </w:p>
    <w:tbl>
      <w:tblPr>
        <w:tblW w:w="8172" w:type="dxa"/>
        <w:jc w:val="left"/>
        <w:tblInd w:w="0" w:type="dxa"/>
        <w:tblLayout w:type="fixed"/>
        <w:tblCellMar>
          <w:top w:w="28" w:type="dxa"/>
          <w:left w:w="28" w:type="dxa"/>
          <w:bottom w:w="28" w:type="dxa"/>
          <w:right w:w="28" w:type="dxa"/>
        </w:tblCellMar>
      </w:tblPr>
      <w:tblGrid>
        <w:gridCol w:w="5836"/>
        <w:gridCol w:w="691"/>
        <w:gridCol w:w="109"/>
        <w:gridCol w:w="691"/>
        <w:gridCol w:w="109"/>
        <w:gridCol w:w="736"/>
      </w:tblGrid>
      <w:tr>
        <w:trPr/>
        <w:tc>
          <w:tcPr>
            <w:tcW w:w="58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836" w:type="dxa"/>
            <w:tcBorders/>
            <w:vAlign w:val="center"/>
          </w:tcPr>
          <w:p>
            <w:pPr>
              <w:pStyle w:val="TableContents"/>
              <w:bidi w:val="0"/>
              <w:spacing w:before="0" w:after="283"/>
              <w:jc w:val="left"/>
              <w:rPr>
                <w:sz w:val="4"/>
                <w:szCs w:val="4"/>
              </w:rPr>
            </w:pPr>
            <w:r>
              <w:rPr>
                <w:sz w:val="4"/>
                <w:szCs w:val="4"/>
              </w:rPr>
            </w:r>
          </w:p>
        </w:tc>
        <w:tc>
          <w:tcPr>
            <w:tcW w:w="2336"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5836"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5836" w:type="dxa"/>
            <w:tcBorders/>
            <w:vAlign w:val="center"/>
          </w:tcPr>
          <w:p>
            <w:pPr>
              <w:pStyle w:val="TableContents"/>
              <w:bidi w:val="0"/>
              <w:spacing w:before="0" w:after="283"/>
              <w:jc w:val="left"/>
              <w:rPr>
                <w:sz w:val="4"/>
                <w:szCs w:val="4"/>
              </w:rPr>
            </w:pPr>
            <w:r>
              <w:rPr>
                <w:sz w:val="4"/>
                <w:szCs w:val="4"/>
              </w:rPr>
            </w:r>
          </w:p>
        </w:tc>
        <w:tc>
          <w:tcPr>
            <w:tcW w:w="2336"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type of award:</w:t>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 units (including PSUs)</w:t>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$563.7</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ESPP share issuances</w:t>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related to inventories</w:t>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stock-based compensation expense included in “Total costs and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strike w:val="false"/>
                <w:dstrike w:val="false"/>
                <w:sz w:val="24"/>
                <w:u w:val="none"/>
                <w:effect w:val="none"/>
              </w:rPr>
              <w:t>”</w:t>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$581.2</w:t>
            </w:r>
          </w:p>
        </w:tc>
      </w:tr>
      <w:tr>
        <w:trPr/>
        <w:tc>
          <w:tcPr>
            <w:tcW w:w="583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line item:</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354.9</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218.8</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Total stock-based compensation expense included in “Total costs and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w:t>
            </w:r>
            <w:r>
              <w:rPr>
                <w:caps w:val="false"/>
                <w:smallCaps w:val="false"/>
                <w:strike w:val="false"/>
                <w:dstrike w:val="false"/>
                <w:sz w:val="24"/>
                <w:u w:val="none"/>
                <w:effect w:val="none"/>
              </w:rPr>
              <w:t>”</w:t>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581.2</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tax effect</w:t>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(167.5)</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stock-based compensation expense, net of tax</w:t>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$413.7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capitalize a portion of our stock-based compensation expense to inventories, all of which is attributable to employees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who support the manufacturing of our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sets forth our unrecognized stock-based compensation expense as of December 31, 2025, by type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award and the weighted-average period we expect to recognize the expense:</w:t>
      </w:r>
    </w:p>
    <w:tbl>
      <w:tblPr>
        <w:tblW w:w="7822" w:type="dxa"/>
        <w:jc w:val="left"/>
        <w:tblInd w:w="0" w:type="dxa"/>
        <w:tblLayout w:type="fixed"/>
        <w:tblCellMar>
          <w:top w:w="28" w:type="dxa"/>
          <w:left w:w="28" w:type="dxa"/>
          <w:bottom w:w="28" w:type="dxa"/>
          <w:right w:w="28" w:type="dxa"/>
        </w:tblCellMar>
      </w:tblPr>
      <w:tblGrid>
        <w:gridCol w:w="4606"/>
        <w:gridCol w:w="1321"/>
        <w:gridCol w:w="109"/>
        <w:gridCol w:w="1786"/>
      </w:tblGrid>
      <w:tr>
        <w:trPr/>
        <w:tc>
          <w:tcPr>
            <w:tcW w:w="46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sz w:val="4"/>
                <w:szCs w:val="4"/>
              </w:rPr>
            </w:pPr>
            <w:r>
              <w:rPr>
                <w:sz w:val="4"/>
                <w:szCs w:val="4"/>
              </w:rPr>
            </w:r>
          </w:p>
        </w:tc>
        <w:tc>
          <w:tcPr>
            <w:tcW w:w="321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Unrecognized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Weighted-average </w:t>
            </w:r>
          </w:p>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Recognition Period</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years)</w:t>
            </w:r>
          </w:p>
        </w:tc>
      </w:tr>
      <w:tr>
        <w:trPr/>
        <w:tc>
          <w:tcPr>
            <w:tcW w:w="46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Type of award:</w:t>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8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 units (including PSUs)</w:t>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r>
      <w:tr>
        <w:trPr/>
        <w:tc>
          <w:tcPr>
            <w:tcW w:w="46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ESPP share issuances</w:t>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0.46</w:t>
            </w:r>
          </w:p>
        </w:tc>
      </w:tr>
      <w:tr>
        <w:trPr/>
        <w:tc>
          <w:tcPr>
            <w:tcW w:w="46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unrecognized stock-based compensation expense</w:t>
            </w:r>
          </w:p>
        </w:tc>
        <w:tc>
          <w:tcPr>
            <w:tcW w:w="13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Restricted Stock Units and Performance-based Restricted Stock Units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 award restricted stock units with service conditions, which are generally the vesting periods of the awards.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PSUs granted to certain members of senior management are described in Note M, “Common Stock, Preferred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Equity Plans.”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financial-based PSUs, with a one-year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performance period, are expensed ratably over their three-year</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vesting period. During the performance period, they are expensed based upon an assessment of the likely level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achievement. The non-financial based PSUs cliff vest at the end of their performance period, which is approximately three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They are expensed on a straight-line basis over the same period based upon an assessment of the likely level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achievement.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F-40</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Employee Stock Purchase Plan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weighted-average fair value of each purchase right granted during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$113.26, $117.89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$90.91, 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following table reflects the weighted-average assumptions used in our Black-Scholes option pricing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model:</w:t>
      </w:r>
    </w:p>
    <w:tbl>
      <w:tblPr>
        <w:tblW w:w="5097" w:type="dxa"/>
        <w:jc w:val="left"/>
        <w:tblInd w:w="0" w:type="dxa"/>
        <w:tblLayout w:type="fixed"/>
        <w:tblCellMar>
          <w:top w:w="28" w:type="dxa"/>
          <w:left w:w="28" w:type="dxa"/>
          <w:bottom w:w="28" w:type="dxa"/>
          <w:right w:w="28" w:type="dxa"/>
        </w:tblCellMar>
      </w:tblPr>
      <w:tblGrid>
        <w:gridCol w:w="2626"/>
        <w:gridCol w:w="736"/>
        <w:gridCol w:w="109"/>
        <w:gridCol w:w="736"/>
        <w:gridCol w:w="109"/>
        <w:gridCol w:w="781"/>
      </w:tblGrid>
      <w:tr>
        <w:trPr/>
        <w:tc>
          <w:tcPr>
            <w:tcW w:w="26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247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stock price volatility</w:t>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28.52%</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Risk-free interest rate</w:t>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term (in years)</w:t>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0.71</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Expected annual dividends</w:t>
            </w:r>
          </w:p>
        </w:tc>
        <w:tc>
          <w:tcPr>
            <w:tcW w:w="7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 Options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issued stock options to our non-employee directors with total grant date fair values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less in each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three years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O.Income</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Taxes</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subject to U.S. federal, state, and foreign income taxes. The components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before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taxes consisted of the following:</w:t>
      </w:r>
    </w:p>
    <w:tbl>
      <w:tblPr>
        <w:tblW w:w="6372" w:type="dxa"/>
        <w:jc w:val="left"/>
        <w:tblInd w:w="0" w:type="dxa"/>
        <w:tblLayout w:type="fixed"/>
        <w:tblCellMar>
          <w:top w:w="28" w:type="dxa"/>
          <w:left w:w="28" w:type="dxa"/>
          <w:bottom w:w="28" w:type="dxa"/>
          <w:right w:w="28" w:type="dxa"/>
        </w:tblCellMar>
      </w:tblPr>
      <w:tblGrid>
        <w:gridCol w:w="3511"/>
        <w:gridCol w:w="826"/>
        <w:gridCol w:w="109"/>
        <w:gridCol w:w="946"/>
        <w:gridCol w:w="109"/>
        <w:gridCol w:w="871"/>
      </w:tblGrid>
      <w:tr>
        <w:trPr/>
        <w:tc>
          <w:tcPr>
            <w:tcW w:w="35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283"/>
              <w:jc w:val="left"/>
              <w:rPr>
                <w:sz w:val="4"/>
                <w:szCs w:val="4"/>
              </w:rPr>
            </w:pPr>
            <w:r>
              <w:rPr>
                <w:sz w:val="4"/>
                <w:szCs w:val="4"/>
              </w:rPr>
            </w:r>
          </w:p>
        </w:tc>
        <w:tc>
          <w:tcPr>
            <w:tcW w:w="286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2861"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5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$3,089.1</w:t>
            </w:r>
          </w:p>
        </w:tc>
      </w:tr>
      <w:tr>
        <w:trPr/>
        <w:tc>
          <w:tcPr>
            <w:tcW w:w="35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1,290.7</w:t>
            </w:r>
          </w:p>
        </w:tc>
      </w:tr>
      <w:tr>
        <w:trPr/>
        <w:tc>
          <w:tcPr>
            <w:tcW w:w="35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$4,379.8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components of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 consisted of the following:</w:t>
      </w:r>
    </w:p>
    <w:tbl>
      <w:tblPr>
        <w:tblW w:w="4722" w:type="dxa"/>
        <w:jc w:val="left"/>
        <w:tblInd w:w="0" w:type="dxa"/>
        <w:tblLayout w:type="fixed"/>
        <w:tblCellMar>
          <w:top w:w="28" w:type="dxa"/>
          <w:left w:w="28" w:type="dxa"/>
          <w:bottom w:w="28" w:type="dxa"/>
          <w:right w:w="28" w:type="dxa"/>
        </w:tblCellMar>
      </w:tblPr>
      <w:tblGrid>
        <w:gridCol w:w="2296"/>
        <w:gridCol w:w="721"/>
        <w:gridCol w:w="109"/>
        <w:gridCol w:w="721"/>
        <w:gridCol w:w="109"/>
        <w:gridCol w:w="766"/>
      </w:tblGrid>
      <w:tr>
        <w:trPr/>
        <w:tc>
          <w:tcPr>
            <w:tcW w:w="22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2426"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2296"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296" w:type="dxa"/>
            <w:tcBorders/>
            <w:vAlign w:val="center"/>
          </w:tcPr>
          <w:p>
            <w:pPr>
              <w:pStyle w:val="TableContents"/>
              <w:bidi w:val="0"/>
              <w:spacing w:before="0" w:after="283"/>
              <w:jc w:val="left"/>
              <w:rPr>
                <w:sz w:val="4"/>
                <w:szCs w:val="4"/>
              </w:rPr>
            </w:pPr>
            <w:r>
              <w:rPr>
                <w:sz w:val="4"/>
                <w:szCs w:val="4"/>
              </w:rPr>
            </w:r>
          </w:p>
        </w:tc>
        <w:tc>
          <w:tcPr>
            <w:tcW w:w="2426"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Current taxes:</w:t>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w:t>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$900.4</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w:t>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w:t>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350.1</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taxes</w:t>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1,296.7</w:t>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taxes:</w:t>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w:t>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(569.9)</w:t>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r>
      <w:tr>
        <w:trPr/>
        <w:tc>
          <w:tcPr>
            <w:tcW w:w="22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55.3</w:t>
            </w:r>
          </w:p>
        </w:tc>
      </w:tr>
      <w:tr>
        <w:trPr/>
        <w:tc>
          <w:tcPr>
            <w:tcW w:w="22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deferred taxes</w:t>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(536.5)</w:t>
            </w:r>
          </w:p>
        </w:tc>
      </w:tr>
      <w:tr>
        <w:trPr/>
        <w:tc>
          <w:tcPr>
            <w:tcW w:w="229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$760.2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F-41</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Unremitted Earnings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we do not consider a portion of the earnings of our foreign subsidiaries to be indefinitely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reinvested. Upon repatriation of the non-indefinitely invested earnings in the form of distributions or otherwise, we could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immaterial U.S. federal withholding taxes payable to various foreign countries and income taxes in certain states.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There are no material deferred taxes recorded on the excess of financial statement reporting over the tax basis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in our foreign subsidiaries. Any permanently reinvested basis differences could reverse if we sell our 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subsidiaries or various other events occur, none of which were considered probable as of December 31, 2025. The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liabilities described above would not be material to our consolidated financial statements.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Effective Tax Rate Reconciliation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reconciliation of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taxes and our effective tax rate as compared to the U.S. federal statutory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rate of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year ended December 31, 2025 was as follows:</w:t>
      </w:r>
    </w:p>
    <w:tbl>
      <w:tblPr>
        <w:tblW w:w="8086" w:type="dxa"/>
        <w:jc w:val="left"/>
        <w:tblInd w:w="0" w:type="dxa"/>
        <w:tblLayout w:type="fixed"/>
        <w:tblCellMar>
          <w:top w:w="28" w:type="dxa"/>
          <w:left w:w="28" w:type="dxa"/>
          <w:bottom w:w="28" w:type="dxa"/>
          <w:right w:w="28" w:type="dxa"/>
        </w:tblCellMar>
      </w:tblPr>
      <w:tblGrid>
        <w:gridCol w:w="5236"/>
        <w:gridCol w:w="1159"/>
        <w:gridCol w:w="152"/>
        <w:gridCol w:w="1539"/>
      </w:tblGrid>
      <w:tr>
        <w:trPr/>
        <w:tc>
          <w:tcPr>
            <w:tcW w:w="52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285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December 31, </w:t>
            </w:r>
            <w:r>
              <w:rPr>
                <w:rFonts w:ascii="Times New Roman;serif" w:hAnsi="Times New Roman;serif"/>
                <w:b/>
                <w:i w:val="false"/>
                <w:caps w:val="false"/>
                <w:smallCaps w:val="false"/>
                <w:strike w:val="false"/>
                <w:dstrike w:val="false"/>
                <w:sz w:val="20"/>
                <w:u w:val="none"/>
                <w:effect w:val="none"/>
              </w:rPr>
              <w:t>2025</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115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Amount</w:t>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Percentage</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5236"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$4,643.2</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before="0" w:after="283"/>
              <w:jc w:val="left"/>
              <w:rPr>
                <w:sz w:val="4"/>
                <w:szCs w:val="4"/>
              </w:rPr>
            </w:pPr>
            <w:r>
              <w:rPr>
                <w:sz w:val="4"/>
                <w:szCs w:val="4"/>
              </w:rPr>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 statutory tax rate</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975.1</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r>
      <w:tr>
        <w:trPr/>
        <w:tc>
          <w:tcPr>
            <w:tcW w:w="52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State and local income taxes, net of federal income tax effect </w:t>
            </w:r>
            <w:r>
              <w:rPr>
                <w:rFonts w:ascii="Times New Roman;serif" w:hAnsi="Times New Roman;serif"/>
                <w:b w:val="false"/>
                <w:i w:val="false"/>
                <w:caps w:val="false"/>
                <w:smallCaps w:val="false"/>
                <w:sz w:val="13"/>
              </w:rPr>
              <w:t>(1)</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tax effects</w:t>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Kingdom (“U.K.”)</w:t>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before="0" w:after="283"/>
              <w:jc w:val="left"/>
              <w:rPr>
                <w:sz w:val="4"/>
                <w:szCs w:val="4"/>
              </w:rPr>
            </w:pPr>
            <w:r>
              <w:rPr>
                <w:sz w:val="4"/>
                <w:szCs w:val="4"/>
              </w:rPr>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Statutory tax rate difference between U.K. and U.S.</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64.7</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foreign jurisdictions</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cross-border tax laws</w:t>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before="0" w:after="283"/>
              <w:jc w:val="left"/>
              <w:rPr>
                <w:sz w:val="4"/>
                <w:szCs w:val="4"/>
              </w:rPr>
            </w:pPr>
            <w:r>
              <w:rPr>
                <w:sz w:val="4"/>
                <w:szCs w:val="4"/>
              </w:rPr>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charges related to intra-entity transfers</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(61.5)</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Foreign-derived deduction eligible income</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(58.5)</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Subpart F income, net of credits</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(97.4)</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credits</w:t>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Research and development tax credits</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(154.4)</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Nontaxable or nondeductible items</w:t>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compensation (benefit), shortfalls and cancellations</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(61.9)</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15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25.4</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5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Changes in unrecognized tax benefits</w:t>
            </w:r>
          </w:p>
        </w:tc>
        <w:tc>
          <w:tcPr>
            <w:tcW w:w="115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64.3</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5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adjustments</w:t>
            </w:r>
          </w:p>
        </w:tc>
        <w:tc>
          <w:tcPr>
            <w:tcW w:w="115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53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523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 and effective tax rate</w:t>
            </w:r>
          </w:p>
        </w:tc>
        <w:tc>
          <w:tcPr>
            <w:tcW w:w="11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$690.0</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153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(1)The state that contributes to the majority of the state and local tax effect is New Jersey.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F-42</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reconciliation of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taxes and our effective tax rate as compared to the U.S. federal statutory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rate of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years ended December 31, 2024 and 2023 was as follows:</w:t>
      </w:r>
    </w:p>
    <w:tbl>
      <w:tblPr>
        <w:tblW w:w="7126" w:type="dxa"/>
        <w:jc w:val="left"/>
        <w:tblInd w:w="0" w:type="dxa"/>
        <w:tblLayout w:type="fixed"/>
        <w:tblCellMar>
          <w:top w:w="28" w:type="dxa"/>
          <w:left w:w="28" w:type="dxa"/>
          <w:bottom w:w="28" w:type="dxa"/>
          <w:right w:w="28" w:type="dxa"/>
        </w:tblCellMar>
      </w:tblPr>
      <w:tblGrid>
        <w:gridCol w:w="4816"/>
        <w:gridCol w:w="1194"/>
        <w:gridCol w:w="152"/>
        <w:gridCol w:w="964"/>
      </w:tblGrid>
      <w:tr>
        <w:trPr/>
        <w:tc>
          <w:tcPr>
            <w:tcW w:w="48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before="0" w:after="283"/>
              <w:jc w:val="left"/>
              <w:rPr>
                <w:sz w:val="4"/>
                <w:szCs w:val="4"/>
              </w:rPr>
            </w:pPr>
            <w:r>
              <w:rPr>
                <w:sz w:val="4"/>
                <w:szCs w:val="4"/>
              </w:rPr>
            </w:r>
          </w:p>
        </w:tc>
        <w:tc>
          <w:tcPr>
            <w:tcW w:w="231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11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 statutory tax rate</w:t>
            </w:r>
          </w:p>
        </w:tc>
        <w:tc>
          <w:tcPr>
            <w:tcW w:w="11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r>
      <w:tr>
        <w:trPr/>
        <w:tc>
          <w:tcPr>
            <w:tcW w:w="4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 taxes, net of federal benefit</w:t>
            </w:r>
          </w:p>
        </w:tc>
        <w:tc>
          <w:tcPr>
            <w:tcW w:w="11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29.5%</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income tax rate differential</w:t>
            </w:r>
          </w:p>
        </w:tc>
        <w:tc>
          <w:tcPr>
            <w:tcW w:w="11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4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U.S. tax on foreign earnings, net of credits</w:t>
            </w:r>
          </w:p>
        </w:tc>
        <w:tc>
          <w:tcPr>
            <w:tcW w:w="11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derived intangible income deduction</w:t>
            </w:r>
          </w:p>
        </w:tc>
        <w:tc>
          <w:tcPr>
            <w:tcW w:w="11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(28.3)%</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4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credits</w:t>
            </w:r>
          </w:p>
        </w:tc>
        <w:tc>
          <w:tcPr>
            <w:tcW w:w="11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(102.9)%</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compensation (benefit), shortfalls and cancellations</w:t>
            </w:r>
          </w:p>
        </w:tc>
        <w:tc>
          <w:tcPr>
            <w:tcW w:w="11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r>
      <w:tr>
        <w:trPr/>
        <w:tc>
          <w:tcPr>
            <w:tcW w:w="4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Uncertain tax positions</w:t>
            </w:r>
          </w:p>
        </w:tc>
        <w:tc>
          <w:tcPr>
            <w:tcW w:w="11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11.3%</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Non-deductible AIPR&amp;D</w:t>
            </w:r>
          </w:p>
        </w:tc>
        <w:tc>
          <w:tcPr>
            <w:tcW w:w="11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373.8%</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8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1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48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Effective tax rate</w:t>
            </w:r>
          </w:p>
        </w:tc>
        <w:tc>
          <w:tcPr>
            <w:tcW w:w="11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315.5%</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14.9%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effective tax rate for 2025 was lower than the U.S. statutory rate primarily due to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tax credits, increased utilization of foreign tax credits, and excess tax benefits related to stock-based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315.5%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effective tax rate for 2024 was materially different than the U.S. statutory rate primarily due to the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non-deductible AIPR&amp;D resulting from our acquisition of Alpine, which significantly lowered our pre-tax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income. The non-deductible AIPR&amp;D was partially offset by a benefit from a research and development tax credit study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was completed in 2024 and excess tax benefits related to stock-based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17.4%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effective tax rate for 2023 was lower than the U.S. statutory rate primarily due to a benefit from a research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development tax credit study that was completed in 2023 and excess tax benefits related to stock-based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partially offset by changes in uncertain tax positions.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F-43</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Deferred Tax Assets and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Deferred tax assets and liabilities are determined based on the difference between financial statement and tax bases using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enacted tax rates in effect for the year in which the differences are expected to reverse. The components of the deferred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were as follows:</w:t>
      </w:r>
    </w:p>
    <w:tbl>
      <w:tblPr>
        <w:tblW w:w="4192" w:type="dxa"/>
        <w:jc w:val="left"/>
        <w:tblInd w:w="0" w:type="dxa"/>
        <w:tblLayout w:type="fixed"/>
        <w:tblCellMar>
          <w:top w:w="28" w:type="dxa"/>
          <w:left w:w="28" w:type="dxa"/>
          <w:bottom w:w="28" w:type="dxa"/>
          <w:right w:w="28" w:type="dxa"/>
        </w:tblCellMar>
      </w:tblPr>
      <w:tblGrid>
        <w:gridCol w:w="2386"/>
        <w:gridCol w:w="826"/>
        <w:gridCol w:w="109"/>
        <w:gridCol w:w="871"/>
      </w:tblGrid>
      <w:tr>
        <w:trPr/>
        <w:tc>
          <w:tcPr>
            <w:tcW w:w="23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w:t>
            </w:r>
          </w:p>
        </w:tc>
      </w:tr>
      <w:tr>
        <w:trPr/>
        <w:tc>
          <w:tcPr>
            <w:tcW w:w="238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238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credit carryforwards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$298.3</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769.3</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164.2</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assets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333.5</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R&amp;D capitalization</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1,404.1</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192.0</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Gross deferred tax assets</w:t>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3,161.4</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Valuation allowance</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(272.9)</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deferred tax assets</w:t>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2,888.5</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liabilities: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lease liabilities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(271.9)</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(285.5)</w:t>
            </w:r>
          </w:p>
        </w:tc>
      </w:tr>
      <w:tr>
        <w:trPr/>
        <w:tc>
          <w:tcPr>
            <w:tcW w:w="23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deferred tax liabilities</w:t>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(557.4)</w:t>
            </w:r>
          </w:p>
        </w:tc>
      </w:tr>
      <w:tr>
        <w:trPr/>
        <w:tc>
          <w:tcPr>
            <w:tcW w:w="23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deferred tax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$2,331.1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 periodic basis, we reassess the valuation allowance on our deferred income tax assets, weighing positive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negative evidence to assess the recoverability of our deferred tax assets. As of December 31, 2025, we maintained a valuation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allowance of $326.2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related to U.S. state tax attributes.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deferred tax assets and liabilities, we have recorded deferred charges related to intra-entity sales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inventory.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the total deferred charges were $318.4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$279.3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F-44</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Tax Attributes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we had the following net operating losses (“NOLs”), capital losses, and tax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carryforwards, which if not utilized, will begin to expire in the year listed below:</w:t>
      </w:r>
    </w:p>
    <w:tbl>
      <w:tblPr>
        <w:tblW w:w="7174" w:type="dxa"/>
        <w:jc w:val="left"/>
        <w:tblInd w:w="0" w:type="dxa"/>
        <w:tblLayout w:type="fixed"/>
        <w:tblCellMar>
          <w:top w:w="28" w:type="dxa"/>
          <w:left w:w="28" w:type="dxa"/>
          <w:bottom w:w="28" w:type="dxa"/>
          <w:right w:w="28" w:type="dxa"/>
        </w:tblCellMar>
      </w:tblPr>
      <w:tblGrid>
        <w:gridCol w:w="4831"/>
        <w:gridCol w:w="109"/>
        <w:gridCol w:w="1394"/>
        <w:gridCol w:w="134"/>
        <w:gridCol w:w="706"/>
      </w:tblGrid>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As of December 31, </w:t>
            </w:r>
            <w:r>
              <w:rPr>
                <w:rFonts w:ascii="Times New Roman;serif" w:hAnsi="Times New Roman;serif"/>
                <w:b/>
                <w:i w:val="false"/>
                <w:caps w:val="false"/>
                <w:smallCaps w:val="false"/>
                <w:strike w:val="false"/>
                <w:dstrike w:val="false"/>
                <w:sz w:val="20"/>
                <w:u w:val="none"/>
                <w:effect w:val="none"/>
              </w:rPr>
              <w:t>2025</w:t>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tc>
        <w:tc>
          <w:tcPr>
            <w:tcW w:w="134"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net operating loss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2028</w:t>
            </w:r>
          </w:p>
        </w:tc>
      </w:tr>
      <w:tr>
        <w:trPr/>
        <w:tc>
          <w:tcPr>
            <w:tcW w:w="48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capital loss carryforwards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$27.6</w:t>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r>
      <w:tr>
        <w:trPr/>
        <w:tc>
          <w:tcPr>
            <w:tcW w:w="4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 research and development tax credit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2034</w:t>
            </w:r>
          </w:p>
        </w:tc>
      </w:tr>
      <w:tr>
        <w:trPr/>
        <w:tc>
          <w:tcPr>
            <w:tcW w:w="48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net operating loss carryforwards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$450.2</w:t>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2027</w:t>
            </w:r>
          </w:p>
        </w:tc>
      </w:tr>
      <w:tr>
        <w:trPr/>
        <w:tc>
          <w:tcPr>
            <w:tcW w:w="4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 research and development tax credit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$471.7</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r>
      <w:tr>
        <w:trPr/>
        <w:tc>
          <w:tcPr>
            <w:tcW w:w="48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net operating loss carryforwards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$30.3</w:t>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2041</w:t>
            </w:r>
          </w:p>
        </w:tc>
      </w:tr>
      <w:tr>
        <w:trPr/>
        <w:tc>
          <w:tcPr>
            <w:tcW w:w="4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tax credit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in the amounts above are $84.9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NOLs, and $64.6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credits that have unlimited carryforward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NOLs and credits could be subject to annual limitations due to ownership change limitations provided by U.S.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Internal Revenue Service (“IRS”) Code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Section 382 and similar state provisions. An annual limitation could result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expiration of NOLs and tax credit carryforward before utilization. There are limitations on the tax attributes of acquired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entities however, we do not believe the limitations will have a material impact on the utilization of the NOLs or tax credits.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Cash Paid for Income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Cash paid for income taxes was as follows:</w:t>
      </w:r>
    </w:p>
    <w:tbl>
      <w:tblPr>
        <w:tblW w:w="5522" w:type="dxa"/>
        <w:jc w:val="left"/>
        <w:tblInd w:w="0" w:type="dxa"/>
        <w:tblLayout w:type="fixed"/>
        <w:tblCellMar>
          <w:top w:w="28" w:type="dxa"/>
          <w:left w:w="28" w:type="dxa"/>
          <w:bottom w:w="28" w:type="dxa"/>
          <w:right w:w="28" w:type="dxa"/>
        </w:tblCellMar>
      </w:tblPr>
      <w:tblGrid>
        <w:gridCol w:w="2746"/>
        <w:gridCol w:w="2776"/>
      </w:tblGrid>
      <w:tr>
        <w:trPr/>
        <w:tc>
          <w:tcPr>
            <w:tcW w:w="27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sz w:val="24"/>
              </w:rPr>
            </w:pPr>
            <w:r>
              <w:rPr>
                <w:rFonts w:ascii="Times New Roman;serif" w:hAnsi="Times New Roman;serif"/>
                <w:b/>
                <w:i w:val="false"/>
                <w:caps w:val="false"/>
                <w:smallCaps w:val="false"/>
                <w:sz w:val="20"/>
              </w:rPr>
              <w:t xml:space="preserve">Year ended December 31, </w:t>
            </w:r>
            <w:r>
              <w:rPr>
                <w:rFonts w:ascii="Times New Roman;serif" w:hAnsi="Times New Roman;serif"/>
                <w:b/>
                <w:i w:val="false"/>
                <w:caps w:val="false"/>
                <w:smallCaps w:val="false"/>
                <w:strike w:val="false"/>
                <w:dstrike w:val="false"/>
                <w:sz w:val="20"/>
                <w:u w:val="none"/>
                <w:effect w:val="none"/>
              </w:rPr>
              <w:t>2025</w:t>
            </w:r>
          </w:p>
        </w:tc>
      </w:tr>
      <w:tr>
        <w:trPr/>
        <w:tc>
          <w:tcPr>
            <w:tcW w:w="2746" w:type="dxa"/>
            <w:tcBorders/>
            <w:vAlign w:val="center"/>
          </w:tcPr>
          <w:p>
            <w:pPr>
              <w:pStyle w:val="TableContents"/>
              <w:bidi w:val="0"/>
              <w:spacing w:before="0" w:after="283"/>
              <w:jc w:val="left"/>
              <w:rPr>
                <w:sz w:val="4"/>
                <w:szCs w:val="4"/>
              </w:rPr>
            </w:pPr>
            <w:r>
              <w:rPr>
                <w:sz w:val="4"/>
                <w:szCs w:val="4"/>
              </w:rPr>
            </w:r>
          </w:p>
        </w:tc>
        <w:tc>
          <w:tcPr>
            <w:tcW w:w="277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7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Federal</w:t>
            </w:r>
          </w:p>
        </w:tc>
        <w:tc>
          <w:tcPr>
            <w:tcW w:w="2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$968.9</w:t>
            </w:r>
          </w:p>
        </w:tc>
      </w:tr>
      <w:tr>
        <w:trPr/>
        <w:tc>
          <w:tcPr>
            <w:tcW w:w="27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w:t>
            </w:r>
          </w:p>
        </w:tc>
        <w:tc>
          <w:tcPr>
            <w:tcW w:w="2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74.2</w:t>
            </w:r>
          </w:p>
        </w:tc>
      </w:tr>
      <w:tr>
        <w:trPr/>
        <w:tc>
          <w:tcPr>
            <w:tcW w:w="27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w:t>
            </w:r>
          </w:p>
        </w:tc>
        <w:tc>
          <w:tcPr>
            <w:tcW w:w="2776" w:type="dxa"/>
            <w:tcBorders/>
            <w:shd w:fill="CCEEFF" w:val="clear"/>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Kingdom</w:t>
            </w:r>
          </w:p>
        </w:tc>
        <w:tc>
          <w:tcPr>
            <w:tcW w:w="2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473.2</w:t>
            </w:r>
          </w:p>
        </w:tc>
      </w:tr>
      <w:tr>
        <w:trPr/>
        <w:tc>
          <w:tcPr>
            <w:tcW w:w="27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7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r>
      <w:tr>
        <w:trPr/>
        <w:tc>
          <w:tcPr>
            <w:tcW w:w="27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cash paid for income taxes</w:t>
            </w:r>
          </w:p>
        </w:tc>
        <w:tc>
          <w:tcPr>
            <w:tcW w:w="27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F-45</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Unrecognized Tax Benefits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Unrecognized tax benefits were as follows:</w:t>
      </w:r>
    </w:p>
    <w:tbl>
      <w:tblPr>
        <w:tblW w:w="6253" w:type="dxa"/>
        <w:jc w:val="left"/>
        <w:tblInd w:w="0" w:type="dxa"/>
        <w:tblLayout w:type="fixed"/>
        <w:tblCellMar>
          <w:top w:w="28" w:type="dxa"/>
          <w:left w:w="28" w:type="dxa"/>
          <w:bottom w:w="28" w:type="dxa"/>
          <w:right w:w="28" w:type="dxa"/>
        </w:tblCellMar>
      </w:tblPr>
      <w:tblGrid>
        <w:gridCol w:w="3946"/>
        <w:gridCol w:w="681"/>
        <w:gridCol w:w="109"/>
        <w:gridCol w:w="681"/>
        <w:gridCol w:w="109"/>
        <w:gridCol w:w="727"/>
      </w:tblGrid>
      <w:tr>
        <w:trPr/>
        <w:tc>
          <w:tcPr>
            <w:tcW w:w="39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2307"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2307"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beginning of the period</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$459.6</w:t>
            </w:r>
          </w:p>
        </w:tc>
      </w:tr>
      <w:tr>
        <w:trPr/>
        <w:tc>
          <w:tcPr>
            <w:tcW w:w="3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Increases related to current period tax positions</w:t>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116.0</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Increases related to prior period tax positions</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62.5</w:t>
            </w:r>
          </w:p>
        </w:tc>
      </w:tr>
      <w:tr>
        <w:trPr/>
        <w:tc>
          <w:tcPr>
            <w:tcW w:w="3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Decreases related to prior period tax positions</w:t>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Statute of limitations expiration</w:t>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w:t>
            </w:r>
          </w:p>
        </w:tc>
      </w:tr>
      <w:tr>
        <w:trPr/>
        <w:tc>
          <w:tcPr>
            <w:tcW w:w="3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Settlement with tax authorities</w:t>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foreign exchange rates</w:t>
            </w:r>
          </w:p>
        </w:tc>
        <w:tc>
          <w:tcPr>
            <w:tcW w:w="6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3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end of period</w:t>
            </w:r>
          </w:p>
        </w:tc>
        <w:tc>
          <w:tcPr>
            <w:tcW w:w="6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$615.9</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2025, we increased our gross unrecognized tax benefits by $145.9 million, primarily associated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intercompany transfer pricing matters. The unrecognized tax benefits were recorded as a $7.4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decrease to our gross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deferred tax assets and a $138.5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to our gross tax liability.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2024, we increased our gross unrecognized tax benefits by $90.3 million, primarily associated with intercompany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transfer pricing matters. The unrecognized tax benefits were recorded as a $1.6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to our gross deferred tax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assets and a $91.9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to our gross tax liability.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2023, we increased our gross unrecognized tax benefits by $156.3 million, primarily associated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intercompany transfer pricing matters. This unrecognized tax benefit was recorded as a $3.7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increase to our gross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deferred tax assets and a $160.0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to our gross tax liability.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we have classified $46.2 million, and $805.9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unrecognized tax benefits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credits to “Deferred tax assets,” and “Other long-term liabilities,” respectively, on our consolidated balance sheet.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in our unrecognized tax benefits as of December 31, 2025,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2023, we had $436.6 million, $341.4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$288.7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(net of the federal benefit on state issues), respectively, of unrecognized tax benefits, which would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affect our effective income tax rate if recognized.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recognize potential interest and penalties related to unrecognized tax benefits in our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taxes.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2023, we recognized total net interest and penalty expenses of $13.1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$84.9 million, respectively.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2024, we recognized total net interest and penalty credits of $41.5 million.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2024, our accrual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interest and penalties was $95.7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$82.6 million,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IRS and other local and foreign tax authorities routinely examine our tax returns, including intercompany transfer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pricing, and it is reasonably possible that we will adjust the value of our uncertain tax positions related these matters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issues as we receive additional information from various taxing authorities, including reaching settlements with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authorities. In the case of intercompany transfer pricing, it is reasonably possible that taxing authorities do not agree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other on the reallocation of income or the valuation of intellectual property, in which case we could be subject to double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taxation, despite bilateral treaty agreements available to prevent this. In 2023, we came to settlement with the U.K’s HM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&amp; Customs (“HMRC”) with respect to our tax positions for 2015 through 2020 and subsequently received Closure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Notices for those periods in 2024. Due to the nature of the adjustments, we have asserted our rights under the U.S./U.K.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 Convention pursuant to the mutual agreement procedures for the relief of double taxation for these matters.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file U.S. federal income tax returns and income tax returns in various state, local and foreign jurisdictions.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income tax audits ongoing at any time throughout the world. Except for jurisdictions where we have NOLs or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F-46</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carryforwards, we are no longer subject to any tax assessment from tax authorities for years prior to 2014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jurisdictions that have a material impact on our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December 2022, E.U. member states reached an agreement to implement the minimum tax component (“Pillar Two”)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Organization for Economic Co-operation and Development’s (the “OECD’s”), global international tax reform initiative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effective dates of January 1, 2024 and 2025. On January 5, 2026, the OECD announced that a ‘side-by-side’ agreement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reached with member countries creating safe harbors to exempt U.S. multi-nationals from certain of the taxes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Pillar Two regime by recognizing the U.S. tax system as a compatible domestic minimum tax regime. Our exposure to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countries’ minimum tax regimes was limited before these changes but the side-by-side agreement allows for certainty as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structure may change in the future.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deducting previously capitalized amounts.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H.R.1 does not have a material impact on our 2025 U.S. taxes, but we expect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further guidance to be issued. We will review guidance when issued for impacts on future years and disclose any impacts if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needed at that time. These legislative changes could have an impact on our future effective tax rates, tax liabilities, and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taxes.</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P.Commitments and Contingencies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2022 Credit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2022, Vertex and certain of its subsidiaries entered into a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unsecured revolving facility (the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 with Bank of America, N.A., as administrative agent and the lenders referred to therein (the “Lenders”),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matures on July 1, 2027. The Credit Agreement was not drawn upon at closing and we have not drawn upon it to 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Amounts drawn pursuant to the Credit Agreement, if any, will be used for general corporate purposes. Subject to satisfaction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certain conditions, we may request that the borrowing capacity for the Credit Agreement be increased by an additional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$500.0 million. Additionally, the Credit Agreement provides a sublimit of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letters of credit.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amounts borrowed under the Credit Agreement will bear interest, at our option, at either a base rate or a 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Overnight Financing Rate (“SOFR”), in each case plus an applicable margin. Under the Credit Agreement, the applicable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margins on base rate loans range from 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the applicable margins on SOFR loans range from 1.000%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1.500%, in each case based on our consolidated leverage ratio (the ratio of our total consolidated funded indebtedness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EBITDA for the most recently completed four fiscal quarter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amounts borrowed pursuant to the Credit Agreement are guaranteed by certain of our existing and future domestic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subsidiaries, subject to certain exceptions.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Credit Agreement contains customary representations and warranties and affirmative and negative covenants,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including a financial covenant to maintain subject to certain limited exceptions, a consolidated leverage ratio of 3.50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subject to an increase to 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following a material acquisition. As of December 31, 2025, we were in compliance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covenants described above. The Credit Agreement also contains customary events of default. In the case of a continuing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event of default, the administrative agent would be entitled to exercise various remedies, including the acceleration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due under outstanding loans.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Direct costs related to the Credit Agreement are recorded over its term and are not material to our financial statements.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Guaranties and Indemnifications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permitted under Massachusetts law, our Articles of Organization and By-laws provide that we will indemnify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officers and directors for certain claims asserted against them in connection with their service as an officer or director.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maximum potential amount of future payments that we could be required to make under these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unlimited. However, we have purchased directors’ and officers’ liability insurance policies that could reduce our monetary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exposure and enable us to recover a portion of any future amounts paid.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indemnification claims currently are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we believe the estimated fair value of these indemnification arrangements is minimal.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F-47</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customarily agree in the ordinary course of our business to indemnification provisions in agreements with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trial investigators and sites in our product development programs, sponsored research agreements with academic and not-for-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profit institutions, various comparable agreements involving parties performing services for us, and our real estate leases.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also customarily agree to certain indemnification provisions in our drug discovery, development and commercialization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With respect to our clinical trials and sponsored research agreements, these indemnification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typically apply to any claim asserted against the investigator or the investigator’s institution relating to personal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injury or property damage, violations of law or certain breaches of our contractual obligations arising out of the research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clinical testing of our compounds or product candidates. With respect to lease agreements, the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typically apply to claims asserted against the landlord relating to personal injury or property damage caused by us,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violations of law by us or to certain breaches of our contractual obligations. The indemnification provisions appearing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are similar to those for the other agreements discussed above, but in addition provide some limited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for our collaborator in the event of third-party claims alleging infringement of intellectual property rights.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of the cases above, the indemnification obligation generally survives the termination of the agreement for some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extended period, although we believe the obligation typically has the most relevance during the contract term and for a short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time thereafter. The maximum potential amount of future payments that we could be required to make under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is generally unlimited. We have purchased insurance policies covering personal injury, property damage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liability that reduce our exposure for indemnification and would enable us in many cases to recover all or a portion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future amounts paid. We have never paid any material amounts to defend lawsuits or settle claims related to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provisions. Accordingly, we believe the estimated fair value of these indemnification arrangements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minimal.</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Legal Matters and Other Contingencies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described in Note B, “Collaboration, License and Other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have an agreement with the CFF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CFF Agreement”) pursuant to which we owe third-party royalties payable on net sales of certain CF products,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ALYFTREK. Since inception, our ALYFTREK net product revenues total $837.8 million. Based on the CFF Agreement,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 is that the royalty burden associated with ALYFTREK is 4%. On October 10, 2025, Royalty Pharma plc (“RP”),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 party to whom the CFF assigned its rights (and the CFF, which remains a party to the CFF Agreement), initiated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confidential arbitration alleging the royalty burden on ALYFTREK is approximately 8%. RP is seeking a declaratory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judgment regarding the royalty burden on ALYFTREK as well as alleged unpaid royalties and other alleged damages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available under the CFF Agreement or applicable law, costs, expenses, attorneys’ fees, and interest. We believe RP’s position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is contrary to the plain terms of the CFF Agreement and intend to vigorously defend our position under the CFF Agreement.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 quarterly basis, we evaluate developments with claims, whether asserted or unasserted, and legal proceedings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could result in a loss contingency accrual, or an increase or decrease to a previously accrued loss contingency. 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loss contingencies accrued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2024.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also have certain contingent liabilities that arise in the ordinary course of our business activities. We accrue for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liabilities when it is probable that future expenditures will be made and such expenditures can be reasonably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estimated. Other than our contingent consideration liabilities discussed in Note D, “Fair Value Measurements,”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significant contingent liabilities accrued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Q.Segment Information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Segment reporting is prepared on the same basis that our chief executive officer, who is our chief operating decision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maker (“CODM”), manages the business, makes operating decisions and assesses performance. We operate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segment,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pharmaceuticals. We have selected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our reported measure of segment profit or loss because it is regularly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provided to our CODM, allows our CODM to allocate resources because it encapsulates the results of our processes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generate revenues and expenses, and is important to the users of our financial statements. Enterprise-wide disclosures about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significant customers, significant segment expenses, and property and equipment, net by location are presented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F-48</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Product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5292" w:type="dxa"/>
        <w:jc w:val="left"/>
        <w:tblInd w:w="0" w:type="dxa"/>
        <w:tblLayout w:type="fixed"/>
        <w:tblCellMar>
          <w:top w:w="28" w:type="dxa"/>
          <w:left w:w="28" w:type="dxa"/>
          <w:bottom w:w="28" w:type="dxa"/>
          <w:right w:w="28" w:type="dxa"/>
        </w:tblCellMar>
      </w:tblPr>
      <w:tblGrid>
        <w:gridCol w:w="2341"/>
        <w:gridCol w:w="931"/>
        <w:gridCol w:w="109"/>
        <w:gridCol w:w="931"/>
        <w:gridCol w:w="109"/>
        <w:gridCol w:w="871"/>
      </w:tblGrid>
      <w:tr>
        <w:trPr/>
        <w:tc>
          <w:tcPr>
            <w:tcW w:w="23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283"/>
              <w:jc w:val="left"/>
              <w:rPr>
                <w:sz w:val="4"/>
                <w:szCs w:val="4"/>
              </w:rPr>
            </w:pPr>
            <w:r>
              <w:rPr>
                <w:sz w:val="4"/>
                <w:szCs w:val="4"/>
              </w:rPr>
            </w:r>
          </w:p>
        </w:tc>
        <w:tc>
          <w:tcPr>
            <w:tcW w:w="295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951"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3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$8,944.7</w:t>
            </w:r>
          </w:p>
        </w:tc>
      </w:tr>
      <w:tr>
        <w:trPr/>
        <w:tc>
          <w:tcPr>
            <w:tcW w:w="23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3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product revenues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924.5</w:t>
            </w:r>
          </w:p>
        </w:tc>
      </w:tr>
      <w:tr>
        <w:trPr/>
        <w:tc>
          <w:tcPr>
            <w:tcW w:w="23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product revenues, net</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$11,970.6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2025, “Other product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included $115.8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CASGEVY and $59.6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JOURNAVX.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2024, “Other product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included CASGEVY product revenues of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there were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revenues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JOURNAVX. The remaining “Other product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related to KALYDECO, ORKAMBI, and SYMDEKO/</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SYMKEVI, our other CF products.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Geographic Location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allocated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based on the location of the customer.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allocated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location of the Vertex entity associated with such revenues. Our “Total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6552" w:type="dxa"/>
        <w:jc w:val="left"/>
        <w:tblInd w:w="0" w:type="dxa"/>
        <w:tblLayout w:type="fixed"/>
        <w:tblCellMar>
          <w:top w:w="28" w:type="dxa"/>
          <w:left w:w="28" w:type="dxa"/>
          <w:bottom w:w="28" w:type="dxa"/>
          <w:right w:w="28" w:type="dxa"/>
        </w:tblCellMar>
      </w:tblPr>
      <w:tblGrid>
        <w:gridCol w:w="3601"/>
        <w:gridCol w:w="931"/>
        <w:gridCol w:w="109"/>
        <w:gridCol w:w="931"/>
        <w:gridCol w:w="109"/>
        <w:gridCol w:w="871"/>
      </w:tblGrid>
      <w:tr>
        <w:trPr/>
        <w:tc>
          <w:tcPr>
            <w:tcW w:w="36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sz w:val="4"/>
                <w:szCs w:val="4"/>
              </w:rPr>
            </w:pPr>
            <w:r>
              <w:rPr>
                <w:sz w:val="4"/>
                <w:szCs w:val="4"/>
              </w:rPr>
            </w:r>
          </w:p>
        </w:tc>
        <w:tc>
          <w:tcPr>
            <w:tcW w:w="295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2951"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$6,040.4</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Outside of the United States</w:t>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Europe</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3,109.0</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719.8</w:t>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revenues outside of the United States</w:t>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3,828.8</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revenues</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2025, our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$30.7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 attributed to the U.S. We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have any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2024 or 2023.</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Significant Customers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Gross product revenues and net accounts receivable from each of our customers who individually accounted for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more of total gross product revenues and/or 10%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more of total accounts receivable consisted of the following:</w:t>
      </w:r>
    </w:p>
    <w:tbl>
      <w:tblPr>
        <w:tblW w:w="9392" w:type="dxa"/>
        <w:jc w:val="left"/>
        <w:tblInd w:w="0" w:type="dxa"/>
        <w:tblLayout w:type="fixed"/>
        <w:tblCellMar>
          <w:top w:w="28" w:type="dxa"/>
          <w:left w:w="28" w:type="dxa"/>
          <w:bottom w:w="28" w:type="dxa"/>
          <w:right w:w="28" w:type="dxa"/>
        </w:tblCellMar>
      </w:tblPr>
      <w:tblGrid>
        <w:gridCol w:w="2326"/>
        <w:gridCol w:w="1147"/>
        <w:gridCol w:w="213"/>
        <w:gridCol w:w="1147"/>
        <w:gridCol w:w="213"/>
        <w:gridCol w:w="1147"/>
        <w:gridCol w:w="109"/>
        <w:gridCol w:w="1366"/>
        <w:gridCol w:w="254"/>
        <w:gridCol w:w="1470"/>
      </w:tblGrid>
      <w:tr>
        <w:trPr/>
        <w:tc>
          <w:tcPr>
            <w:tcW w:w="232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sz w:val="4"/>
                <w:szCs w:val="4"/>
              </w:rPr>
            </w:pPr>
            <w:r>
              <w:rPr>
                <w:sz w:val="4"/>
                <w:szCs w:val="4"/>
              </w:rPr>
            </w:r>
          </w:p>
        </w:tc>
        <w:tc>
          <w:tcPr>
            <w:tcW w:w="3867"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of Total Gross Product Revenues</w:t>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of Accounts Receivable</w:t>
            </w:r>
          </w:p>
        </w:tc>
      </w:tr>
      <w:tr>
        <w:trPr/>
        <w:tc>
          <w:tcPr>
            <w:tcW w:w="2326" w:type="dxa"/>
            <w:tcBorders/>
            <w:vAlign w:val="center"/>
          </w:tcPr>
          <w:p>
            <w:pPr>
              <w:pStyle w:val="TableContents"/>
              <w:bidi w:val="0"/>
              <w:spacing w:before="0" w:after="283"/>
              <w:jc w:val="left"/>
              <w:rPr>
                <w:sz w:val="4"/>
                <w:szCs w:val="4"/>
              </w:rPr>
            </w:pPr>
            <w:r>
              <w:rPr>
                <w:sz w:val="4"/>
                <w:szCs w:val="4"/>
              </w:rPr>
            </w:r>
          </w:p>
        </w:tc>
        <w:tc>
          <w:tcPr>
            <w:tcW w:w="3867"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December 31,</w:t>
            </w:r>
          </w:p>
        </w:tc>
      </w:tr>
      <w:tr>
        <w:trPr/>
        <w:tc>
          <w:tcPr>
            <w:tcW w:w="2326" w:type="dxa"/>
            <w:tcBorders/>
            <w:vAlign w:val="center"/>
          </w:tcPr>
          <w:p>
            <w:pPr>
              <w:pStyle w:val="TableContents"/>
              <w:bidi w:val="0"/>
              <w:spacing w:before="0" w:after="283"/>
              <w:jc w:val="left"/>
              <w:rPr>
                <w:sz w:val="4"/>
                <w:szCs w:val="4"/>
              </w:rPr>
            </w:pPr>
            <w:r>
              <w:rPr>
                <w:sz w:val="4"/>
                <w:szCs w:val="4"/>
              </w:rPr>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2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McKesson Corporation</w:t>
            </w:r>
          </w:p>
        </w:tc>
        <w:tc>
          <w:tcPr>
            <w:tcW w:w="11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14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23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Accredo Health Group, Inc.</w:t>
            </w:r>
          </w:p>
        </w:tc>
        <w:tc>
          <w:tcPr>
            <w:tcW w:w="11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213" w:type="dxa"/>
            <w:tcBorders/>
            <w:shd w:fill="FFFFFF" w:val="clear"/>
            <w:vAlign w:val="center"/>
          </w:tcPr>
          <w:p>
            <w:pPr>
              <w:pStyle w:val="TableContents"/>
              <w:bidi w:val="0"/>
              <w:spacing w:before="0" w:after="283"/>
              <w:jc w:val="left"/>
              <w:rPr>
                <w:sz w:val="4"/>
                <w:szCs w:val="4"/>
              </w:rPr>
            </w:pPr>
            <w:r>
              <w:rPr>
                <w:sz w:val="4"/>
                <w:szCs w:val="4"/>
              </w:rPr>
            </w:r>
          </w:p>
        </w:tc>
        <w:tc>
          <w:tcPr>
            <w:tcW w:w="11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213" w:type="dxa"/>
            <w:tcBorders/>
            <w:shd w:fill="FFFFFF" w:val="clear"/>
            <w:vAlign w:val="center"/>
          </w:tcPr>
          <w:p>
            <w:pPr>
              <w:pStyle w:val="TableContents"/>
              <w:bidi w:val="0"/>
              <w:spacing w:before="0" w:after="283"/>
              <w:jc w:val="left"/>
              <w:rPr>
                <w:sz w:val="4"/>
                <w:szCs w:val="4"/>
              </w:rPr>
            </w:pPr>
            <w:r>
              <w:rPr>
                <w:sz w:val="4"/>
                <w:szCs w:val="4"/>
              </w:rPr>
            </w:r>
          </w:p>
        </w:tc>
        <w:tc>
          <w:tcPr>
            <w:tcW w:w="11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&lt;10%</w:t>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14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&lt;10%</w:t>
            </w:r>
          </w:p>
        </w:tc>
      </w:tr>
      <w:tr>
        <w:trPr/>
        <w:tc>
          <w:tcPr>
            <w:tcW w:w="23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Lloyds Pharmacy</w:t>
            </w:r>
          </w:p>
        </w:tc>
        <w:tc>
          <w:tcPr>
            <w:tcW w:w="11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&lt;10%</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&lt;10%</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1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14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F-49</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Significant Segment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segment expenses are set forth in the following table:</w:t>
      </w:r>
    </w:p>
    <w:tbl>
      <w:tblPr>
        <w:tblW w:w="7632" w:type="dxa"/>
        <w:jc w:val="left"/>
        <w:tblInd w:w="0" w:type="dxa"/>
        <w:tblLayout w:type="fixed"/>
        <w:tblCellMar>
          <w:top w:w="28" w:type="dxa"/>
          <w:left w:w="28" w:type="dxa"/>
          <w:bottom w:w="28" w:type="dxa"/>
          <w:right w:w="28" w:type="dxa"/>
        </w:tblCellMar>
      </w:tblPr>
      <w:tblGrid>
        <w:gridCol w:w="4681"/>
        <w:gridCol w:w="931"/>
        <w:gridCol w:w="109"/>
        <w:gridCol w:w="931"/>
        <w:gridCol w:w="109"/>
        <w:gridCol w:w="871"/>
      </w:tblGrid>
      <w:tr>
        <w:trPr/>
        <w:tc>
          <w:tcPr>
            <w:tcW w:w="46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2951" w:type="dxa"/>
            <w:gridSpan w:val="5"/>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Year ended December 31,</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2023</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2951" w:type="dxa"/>
            <w:gridSpan w:val="5"/>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$9,869.2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products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royalty</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913.0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705.6</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2,457.3</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and other commercial expenses</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592.4</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 expenses</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(614.7)</w:t>
            </w:r>
          </w:p>
        </w:tc>
      </w:tr>
      <w:tr>
        <w:trPr/>
        <w:tc>
          <w:tcPr>
            <w:tcW w:w="4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Segment items </w:t>
            </w:r>
            <w:r>
              <w:rPr>
                <w:rFonts w:ascii="Times New Roman;serif" w:hAnsi="Times New Roman;serif"/>
                <w:b w:val="false"/>
                <w:i w:val="false"/>
                <w:caps w:val="false"/>
                <w:smallCaps w:val="false"/>
                <w:sz w:val="13"/>
              </w:rPr>
              <w:t>(1)</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760.2</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 (loss)</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$3,619.6</w:t>
            </w:r>
          </w:p>
        </w:tc>
      </w:tr>
    </w:tbl>
    <w:p>
      <w:pPr>
        <w:pStyle w:val="TextBody"/>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(1)Other segment items included in “Net income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primarily include changes in the fair value of contingent consideration,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interest expense and changes in the fair value of equity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Long-lived Assets by Location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Long-lived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by location consisted of the following:</w:t>
      </w:r>
    </w:p>
    <w:p>
      <w:pPr>
        <w:pStyle w:val="Normal"/>
        <w:bidi w:val="0"/>
        <w:spacing w:before="0" w:after="0"/>
        <w:jc w:val="left"/>
        <w:rPr>
          <w:sz w:val="4"/>
          <w:szCs w:val="4"/>
        </w:rPr>
      </w:pPr>
      <w:r>
        <w:rPr>
          <w:sz w:val="4"/>
          <w:szCs w:val="4"/>
        </w:rPr>
      </w:r>
      <w:bookmarkStart w:id="13" w:name="i27e710948553486a88377c39cbcabb3a_4199"/>
      <w:bookmarkStart w:id="14" w:name="i27e710948553486a88377c39cbcabb3a_4199"/>
      <w:bookmarkEnd w:id="14"/>
    </w:p>
    <w:tbl>
      <w:tblPr>
        <w:tblW w:w="6052" w:type="dxa"/>
        <w:jc w:val="left"/>
        <w:tblInd w:w="0" w:type="dxa"/>
        <w:tblLayout w:type="fixed"/>
        <w:tblCellMar>
          <w:top w:w="28" w:type="dxa"/>
          <w:left w:w="28" w:type="dxa"/>
          <w:bottom w:w="28" w:type="dxa"/>
          <w:right w:w="28" w:type="dxa"/>
        </w:tblCellMar>
      </w:tblPr>
      <w:tblGrid>
        <w:gridCol w:w="4246"/>
        <w:gridCol w:w="826"/>
        <w:gridCol w:w="109"/>
        <w:gridCol w:w="871"/>
      </w:tblGrid>
      <w:tr>
        <w:trPr/>
        <w:tc>
          <w:tcPr>
            <w:tcW w:w="42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w:t>
            </w:r>
          </w:p>
        </w:tc>
      </w:tr>
      <w:tr>
        <w:trPr/>
        <w:tc>
          <w:tcPr>
            <w:tcW w:w="424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2024</w:t>
            </w:r>
          </w:p>
        </w:tc>
      </w:tr>
      <w:tr>
        <w:trPr/>
        <w:tc>
          <w:tcPr>
            <w:tcW w:w="424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$2,392.4</w:t>
            </w:r>
          </w:p>
        </w:tc>
      </w:tr>
      <w:tr>
        <w:trPr/>
        <w:tc>
          <w:tcPr>
            <w:tcW w:w="4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Outside of the United States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4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Kingdom</w:t>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176.6</w:t>
            </w:r>
          </w:p>
        </w:tc>
      </w:tr>
      <w:tr>
        <w:trPr/>
        <w:tc>
          <w:tcPr>
            <w:tcW w:w="4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w:t>
            </w:r>
          </w:p>
        </w:tc>
      </w:tr>
      <w:tr>
        <w:trPr/>
        <w:tc>
          <w:tcPr>
            <w:tcW w:w="4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long-lived assets outside of the United States</w:t>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192.2</w:t>
            </w:r>
          </w:p>
        </w:tc>
      </w:tr>
      <w:tr>
        <w:trPr/>
        <w:tc>
          <w:tcPr>
            <w:tcW w:w="4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long-lived assets</w:t>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$2,584.6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right"/>
        <w:rPr/>
      </w:pPr>
      <w:r>
        <w:rPr/>
      </w:r>
    </w:p>
    <w:p>
      <w:pPr>
        <w:pStyle w:val="TextBody"/>
        <w:bidi w:val="0"/>
        <w:spacing w:lineRule="auto" w:line="288" w:before="60" w:after="283"/>
        <w:jc w:val="right"/>
        <w:rPr>
          <w:rFonts w:ascii="Times New Roman;serif" w:hAnsi="Times New Roman;serif"/>
          <w:b/>
          <w:color w:val="000000"/>
          <w:sz w:val="22"/>
        </w:rPr>
      </w:pPr>
      <w:r>
        <w:rPr>
          <w:rFonts w:ascii="Times New Roman;serif" w:hAnsi="Times New Roman;serif"/>
          <w:b/>
          <w:color w:val="000000"/>
          <w:sz w:val="22"/>
        </w:rPr>
        <w:t>Exhibit 3.1</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val="false"/>
          <w:color w:val="000000"/>
          <w:sz w:val="24"/>
        </w:rPr>
      </w:pPr>
      <w:r>
        <w:rPr>
          <w:rFonts w:ascii="Times New Roman;serif" w:hAnsi="Times New Roman;serif"/>
          <w:b w:val="false"/>
          <w:color w:val="000000"/>
          <w:sz w:val="24"/>
        </w:rPr>
        <w:t>The Commonwealth of Massachusetts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William Francis Galvin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Secretary of the Commonwealth</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One Ashburton Place, Boston, Massachusetts 02108-1512</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Restated Articles of Organization</w:t>
      </w:r>
    </w:p>
    <w:p>
      <w:pPr>
        <w:pStyle w:val="TextBody"/>
        <w:bidi w:val="0"/>
        <w:spacing w:lineRule="auto" w:line="268" w:before="60" w:after="283"/>
        <w:jc w:val="center"/>
        <w:rPr>
          <w:rFonts w:ascii="Times New Roman;serif" w:hAnsi="Times New Roman;serif"/>
          <w:b w:val="false"/>
          <w:color w:val="000000"/>
          <w:sz w:val="24"/>
        </w:rPr>
      </w:pPr>
      <w:r>
        <w:rPr>
          <w:rFonts w:ascii="Times New Roman;serif" w:hAnsi="Times New Roman;serif"/>
          <w:b w:val="false"/>
          <w:color w:val="000000"/>
          <w:sz w:val="24"/>
        </w:rPr>
        <w:t>(General Laws Chapter 156D, Section 10.07; 950 CMR 113.35)</w:t>
      </w:r>
    </w:p>
    <w:p>
      <w:pPr>
        <w:pStyle w:val="TextBody"/>
        <w:bidi w:val="0"/>
        <w:spacing w:before="60" w:after="283"/>
        <w:jc w:val="left"/>
        <w:rPr/>
      </w:pPr>
      <w:r>
        <w:rPr/>
      </w:r>
    </w:p>
    <w:p>
      <w:pPr>
        <w:pStyle w:val="TextBody"/>
        <w:bidi w:val="0"/>
        <w:spacing w:lineRule="auto" w:line="268" w:before="60" w:after="283"/>
        <w:jc w:val="left"/>
        <w:rPr/>
      </w:pPr>
      <w:r>
        <w:rPr>
          <w:rFonts w:ascii="Times New Roman;serif" w:hAnsi="Times New Roman;serif"/>
          <w:b w:val="false"/>
          <w:color w:val="000000"/>
          <w:sz w:val="24"/>
        </w:rPr>
        <w:t xml:space="preserve">(1) Exact name of corporation: </w:t>
      </w:r>
      <w:r>
        <w:rPr>
          <w:rFonts w:ascii="Times New Roman;serif" w:hAnsi="Times New Roman;serif"/>
          <w:b w:val="false"/>
          <w:color w:val="000000"/>
          <w:sz w:val="24"/>
          <w:u w:val="single"/>
        </w:rPr>
        <w:t>Vertex Pharmaceuticals Incorporated            </w:t>
      </w:r>
    </w:p>
    <w:p>
      <w:pPr>
        <w:pStyle w:val="TextBody"/>
        <w:bidi w:val="0"/>
        <w:spacing w:lineRule="auto" w:line="268" w:before="60" w:after="283"/>
        <w:jc w:val="left"/>
        <w:rPr/>
      </w:pPr>
      <w:r>
        <w:rPr>
          <w:rFonts w:ascii="Times New Roman;serif" w:hAnsi="Times New Roman;serif"/>
          <w:b w:val="false"/>
          <w:color w:val="000000"/>
          <w:sz w:val="24"/>
        </w:rPr>
        <w:t xml:space="preserve">(2) Registered office address: </w:t>
      </w:r>
      <w:r>
        <w:rPr>
          <w:rFonts w:ascii="Times New Roman;serif" w:hAnsi="Times New Roman;serif"/>
          <w:b w:val="false"/>
          <w:color w:val="000000"/>
          <w:sz w:val="24"/>
          <w:u w:val="single"/>
        </w:rPr>
        <w:t>50 Northern Avenue, Boston, MA, 02210            </w:t>
      </w:r>
    </w:p>
    <w:p>
      <w:pPr>
        <w:pStyle w:val="TextBody"/>
        <w:bidi w:val="0"/>
        <w:spacing w:lineRule="auto" w:line="268" w:before="60" w:after="283"/>
        <w:jc w:val="center"/>
        <w:rPr>
          <w:rFonts w:ascii="Times New Roman;serif" w:hAnsi="Times New Roman;serif"/>
          <w:b w:val="false"/>
          <w:i/>
          <w:color w:val="000000"/>
          <w:sz w:val="24"/>
        </w:rPr>
      </w:pPr>
      <w:r>
        <w:rPr>
          <w:rFonts w:ascii="Times New Roman;serif" w:hAnsi="Times New Roman;serif"/>
          <w:b w:val="false"/>
          <w:i/>
          <w:color w:val="000000"/>
          <w:sz w:val="24"/>
        </w:rPr>
        <w:t>(number, street, city or town, state, zip code)</w:t>
      </w:r>
    </w:p>
    <w:p>
      <w:pPr>
        <w:pStyle w:val="TextBody"/>
        <w:bidi w:val="0"/>
        <w:spacing w:lineRule="auto" w:line="268" w:before="60" w:after="283"/>
        <w:jc w:val="left"/>
        <w:rPr/>
      </w:pPr>
      <w:r>
        <w:rPr>
          <w:rFonts w:ascii="Times New Roman;serif" w:hAnsi="Times New Roman;serif"/>
          <w:b w:val="false"/>
          <w:color w:val="000000"/>
          <w:sz w:val="24"/>
        </w:rPr>
        <w:t xml:space="preserve">(3) Date adopted: </w:t>
      </w:r>
      <w:r>
        <w:rPr>
          <w:color w:val="000000"/>
          <w:u w:val="single"/>
        </w:rPr>
        <w:t>    </w:t>
      </w:r>
      <w:r>
        <w:rPr>
          <w:rFonts w:ascii="Times New Roman;serif" w:hAnsi="Times New Roman;serif"/>
          <w:b w:val="false"/>
          <w:color w:val="000000"/>
          <w:sz w:val="24"/>
          <w:u w:val="single"/>
        </w:rPr>
        <w:t>February 11, 2026                            </w:t>
      </w:r>
    </w:p>
    <w:p>
      <w:pPr>
        <w:pStyle w:val="TextBody"/>
        <w:bidi w:val="0"/>
        <w:spacing w:lineRule="auto" w:line="268" w:before="60" w:after="283"/>
        <w:jc w:val="center"/>
        <w:rPr>
          <w:rFonts w:ascii="Times New Roman;serif" w:hAnsi="Times New Roman;serif"/>
          <w:b w:val="false"/>
          <w:i/>
          <w:color w:val="000000"/>
          <w:sz w:val="24"/>
        </w:rPr>
      </w:pPr>
      <w:r>
        <w:rPr>
          <w:rFonts w:ascii="Times New Roman;serif" w:hAnsi="Times New Roman;serif"/>
          <w:b w:val="false"/>
          <w:i/>
          <w:color w:val="000000"/>
          <w:sz w:val="24"/>
        </w:rPr>
        <w:t>(month, day, year)</w:t>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(4) Approved by:</w:t>
      </w:r>
    </w:p>
    <w:p>
      <w:pPr>
        <w:pStyle w:val="TextBody"/>
        <w:bidi w:val="0"/>
        <w:spacing w:lineRule="auto" w:line="268" w:before="60" w:after="283"/>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(check appropriate box)</w:t>
      </w:r>
    </w:p>
    <w:p>
      <w:pPr>
        <w:pStyle w:val="TextBody"/>
        <w:bidi w:val="0"/>
        <w:spacing w:lineRule="auto" w:line="268" w:before="180" w:after="283"/>
        <w:ind w:left="0" w:right="0" w:firstLine="720"/>
        <w:jc w:val="left"/>
        <w:rPr/>
      </w:pPr>
      <w:r>
        <w:rPr>
          <w:rFonts w:ascii="Wingdings;sans-serif" w:hAnsi="Wingdings;sans-serif"/>
          <w:b w:val="false"/>
          <w:color w:val="000000"/>
          <w:sz w:val="24"/>
        </w:rPr>
        <w:t>x</w:t>
      </w:r>
      <w:r>
        <w:rPr>
          <w:color w:val="000000"/>
        </w:rPr>
        <w:t xml:space="preserve"> </w:t>
      </w:r>
      <w:r>
        <w:rPr>
          <w:rFonts w:ascii="Times New Roman;serif" w:hAnsi="Times New Roman;serif"/>
          <w:b w:val="false"/>
          <w:color w:val="000000"/>
          <w:sz w:val="24"/>
        </w:rPr>
        <w:t>the directors without shareholder approval and shareholder approval was not required;</w:t>
      </w:r>
    </w:p>
    <w:p>
      <w:pPr>
        <w:pStyle w:val="TextBody"/>
        <w:bidi w:val="0"/>
        <w:spacing w:lineRule="auto" w:line="268" w:before="1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68" w:before="180" w:after="283"/>
        <w:jc w:val="left"/>
        <w:rPr/>
      </w:pPr>
      <w:r>
        <w:rPr>
          <w:color w:val="000000"/>
        </w:rPr>
        <w:t xml:space="preserve">□ </w:t>
      </w:r>
      <w:r>
        <w:rPr>
          <w:rFonts w:ascii="Times New Roman;serif" w:hAnsi="Times New Roman;serif"/>
          <w:b w:val="false"/>
          <w:color w:val="000000"/>
          <w:sz w:val="24"/>
        </w:rPr>
        <w:t>the board of directors and the shareholders in the manner required by G.L. Chapter 156D and the corporation’s articles of organization.</w:t>
      </w:r>
    </w:p>
    <w:p>
      <w:pPr>
        <w:pStyle w:val="TextBody"/>
        <w:bidi w:val="0"/>
        <w:spacing w:lineRule="auto" w:line="268" w:before="180" w:after="283"/>
        <w:jc w:val="left"/>
        <w:rPr>
          <w:rFonts w:ascii="Times New Roman;serif" w:hAnsi="Times New Roman;serif"/>
          <w:b w:val="false"/>
          <w:color w:val="000000"/>
          <w:sz w:val="24"/>
        </w:rPr>
      </w:pPr>
      <w:r>
        <w:rPr>
          <w:rFonts w:ascii="Times New Roman;serif" w:hAnsi="Times New Roman;serif"/>
          <w:b w:val="false"/>
          <w:color w:val="000000"/>
          <w:sz w:val="24"/>
        </w:rPr>
        <w:t>(5) The following information is required to be included in the articles of organization pursuant to G.L. Chapter 156D, Section 2.02:</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before="60" w:after="283"/>
        <w:jc w:val="left"/>
        <w:rPr/>
      </w:pPr>
      <w:r>
        <w:rPr/>
      </w:r>
    </w:p>
    <w:p>
      <w:pPr>
        <w:pStyle w:val="TextBody"/>
        <w:bidi w:val="0"/>
        <w:spacing w:lineRule="auto" w:line="268" w:before="60" w:after="283"/>
        <w:jc w:val="left"/>
        <w:rPr/>
      </w:pPr>
      <w:r>
        <w:rPr>
          <w:rFonts w:ascii="Times New Roman;serif" w:hAnsi="Times New Roman;serif"/>
          <w:b w:val="false"/>
          <w:color w:val="000000"/>
          <w:sz w:val="24"/>
        </w:rPr>
        <w:t>The exact name of the corporation is:</w:t>
      </w:r>
      <w:r>
        <w:rPr>
          <w:color w:val="000000"/>
        </w:rPr>
        <w:t xml:space="preserve"> </w:t>
      </w:r>
      <w:r>
        <w:rPr>
          <w:rFonts w:ascii="Times New Roman;serif" w:hAnsi="Times New Roman;serif"/>
          <w:b w:val="false"/>
          <w:color w:val="000000"/>
          <w:sz w:val="24"/>
        </w:rPr>
        <w:t>Vertex Pharmaceuticals Incorporated</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purpose of the corporation is to engage in the following business activities: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To develop, manufacture, market, and sell pharmaceutical products.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To carry on any business or other activity which may be lawfully carried on by a corporation organized under the Business Corporation Law of the Commonwealth of Massachusetts whether or not related to those referred to in the foregoing paragraph.</w:t>
      </w:r>
    </w:p>
    <w:p>
      <w:pPr>
        <w:pStyle w:val="TextBody"/>
        <w:bidi w:val="0"/>
        <w:spacing w:before="60" w:after="283"/>
        <w:jc w:val="left"/>
        <w:rPr/>
      </w:pPr>
      <w:r>
        <w:rPr/>
      </w:r>
    </w:p>
    <w:p>
      <w:pPr>
        <w:pStyle w:val="TextBody"/>
        <w:bidi w:val="0"/>
        <w:spacing w:before="60" w:after="283"/>
        <w:jc w:val="center"/>
        <w:rPr/>
      </w:pPr>
      <w:r>
        <w:rPr/>
      </w:r>
    </w:p>
    <w:p>
      <w:pPr>
        <w:pStyle w:val="TextBody"/>
        <w:bidi w:val="0"/>
        <w:spacing w:before="60" w:after="283"/>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righ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total number of shares and the par value, if any, of each class of stock that the Corporation shall be authorized to issue is as follows: 1,000,000 shares of Preferred Stock, $0.01 par value per share, and 500,000,000 shares of Common Stock, $0.01 par value per share.</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A. COMMON STOCK</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holders of shares of Common Stock of the Corporation shall be entitled to one vote for each share of such stock held by them, respectively, upon all matters presented to the stockholders. The Common Stock shall be subject to the special provisions applicable to any series of Preferred Stock issued by the Board of Directors, as hereinafter provided.</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B. PREFERRED STOCK</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Preferred Stock may be issued by the Board of Directors, in one or more series and with such rights, powers, preferences, and terms and at such times and for such consideration as the Board of Directors shall determine, without further stockholder action. With respect to any such series of Preferred Stock, prior to issuance, the Board of Directors by resolution shall designate that series to distinguish it from other series and classes of stock of the Corporation, shall specify that number of shares to be included in the series, and shall fix the rights, powers, preferences, and terms of the shares of the series, including but without limitation: (i) the dividend rate, its preference as to any other class or series of capital stock, and whether dividends will be cumulative or non cumulative; (ii) whether the shares are to be redeemable and, if so, at what times and prices and on what other terms and conditions; (iii) the terms and amount of any sinking fund provided for the purchase of redemption for the shares; (iv) whether the shares shall be convertible or exchangeable and, if so, the times, prices, rates, adjustments, and other terms of such conversion or exchange; (v) the voting rights, if any, applicable to the shares in addition to those prescribed by law; (vi) the restrictions and conditions, if any, on the issue or reissue of any additional shares of such series or of any other series of Preferred Stock ranking on a parity with or prior to the shares of such series; and (vii) the rights of the holders of such shares upon voluntary or involuntary liquidation, dissolution, or winding up of the Corporation.</w:t>
      </w:r>
    </w:p>
    <w:p>
      <w:pPr>
        <w:pStyle w:val="TextBody"/>
        <w:bidi w:val="0"/>
        <w:spacing w:before="60" w:after="283"/>
        <w:jc w:val="lef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restrictions, if any, imposed by the articles of organization upon the transfer of shares of stock of any class are as follows: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60" w:after="283"/>
        <w:jc w:val="left"/>
        <w:rPr/>
      </w:pPr>
      <w:r>
        <w:rPr/>
      </w:r>
    </w:p>
    <w:p>
      <w:pPr>
        <w:pStyle w:val="TextBody"/>
        <w:bidi w:val="0"/>
        <w:spacing w:before="60" w:after="283"/>
        <w:jc w:val="center"/>
        <w:rPr/>
      </w:pPr>
      <w:r>
        <w:rPr/>
      </w:r>
    </w:p>
    <w:p>
      <w:pPr>
        <w:pStyle w:val="TextBody"/>
        <w:bidi w:val="0"/>
        <w:spacing w:before="60" w:after="283"/>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right"/>
        <w:rPr/>
      </w:pPr>
      <w:r>
        <w:rPr/>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 xml:space="preserve">A. AMENDMENT OF BY-LAWS </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To the extent and the manner provided in the By-Laws, the Board of Directors may make, amend, or repeal the By-Laws in whole or in part, except with respect to any provision thereof which by law or by the By-Laws requires action by the stockholders.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B. MEETINGS OF STOCKHOLDERS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To the extent and in the manner provided in the By-Laws, meetings of the stockholders may be held anywhere within the Commonwealth of Massachusetts or elsewhere in the United States.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C. PARTNERSHIP AGREEMENTS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The Corporation may enter into partnership agreements (general or limited) and joint ventures with any person, firm, association, or corporation engaged in carrying on any business in which the Corporation is authorized to engage, or in connection with carrying out all or any of the purposes of the Corporation.</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D. LIABILITY OF DIRECTORS</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No director of the Corporation shall be personally liable to the Corporation or its stockholders for monetary damages for breach of fiduciary duty as a director; provided, however, that this provision shall not eliminate or limit the liability of a director to the extent provided by applicable law (i) for any breach of the director’s duty of loyalty to the Corporation or its stockholders, (ii) for acts or omissions not in good faith or which involve intentional misconduct or a knowing violation of laws, (iii) under Section 61 or 62 of the Business Corporation Law, Chapter 156B, of the Commonwealth of Massachusetts, or (iv) for any transactions from which the director derived an improper personal benefit. No amendment to or repeal of this provision shall apply to or have any effect on the liability or alleged liability of any director of the Corporation for or with respect to any acts or omissions of such director occurring prior to such amendment or repeal.</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color w:val="000000"/>
          <w:sz w:val="24"/>
        </w:rPr>
      </w:pPr>
      <w:r>
        <w:rPr>
          <w:rFonts w:ascii="Times New Roman;serif" w:hAnsi="Times New Roman;serif"/>
          <w:b/>
          <w:color w:val="000000"/>
          <w:sz w:val="24"/>
        </w:rPr>
        <w:t>E. BOARD OF DIRECTORS</w:t>
      </w:r>
    </w:p>
    <w:p>
      <w:pPr>
        <w:pStyle w:val="TextBody"/>
        <w:bidi w:val="0"/>
        <w:spacing w:before="60" w:after="283"/>
        <w:jc w:val="left"/>
        <w:rPr/>
      </w:pPr>
      <w:r>
        <w:rPr/>
      </w:r>
    </w:p>
    <w:p>
      <w:pPr>
        <w:pStyle w:val="TextBody"/>
        <w:bidi w:val="0"/>
        <w:spacing w:lineRule="auto" w:line="268" w:before="60" w:after="283"/>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Number, Election and Terms</w:t>
      </w:r>
      <w:r>
        <w:rPr>
          <w:rFonts w:ascii="Times New Roman;serif" w:hAnsi="Times New Roman;serif"/>
          <w:b w:val="false"/>
          <w:color w:val="000000"/>
          <w:sz w:val="24"/>
        </w:rPr>
        <w:t xml:space="preserve">. Subject to the rights of the holders of any series of Preferred Stock to elect directors who shall serve for such term and have such voting powers as shall be provided in Article 4 of these Articles, the Board of Directors shall consist of such number of persons as shall be provided in the Corporation’s By-Laws. The Board of Directors currently is classified with respect to the time for which its members severally hold office by division into three classes, as nearly equal in number as possible. Each director shall hold office until the annual meeting for the year in which </w:t>
      </w:r>
    </w:p>
    <w:p>
      <w:pPr>
        <w:pStyle w:val="TextBody"/>
        <w:bidi w:val="0"/>
        <w:spacing w:before="60" w:after="283"/>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righ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such director’s term expires and until such director’s successor shall be elected and qualified, subject to prior death, resignation, retirement or removal. At the 2017 annual meeting of stockholders of the Corporation, the successors to the directors whose terms expire at that meeting shall be elected to hold office for terms expiring at the 2020 annual meeting of stockholders; at the 2018 annual meeting of stockholders, the successors to the directors whose terms expire at that meeting shall be elected for terms expiring at the 2019 annual meeting of stockholders; and at the 2019 annual meeting of shareholders, the successors to the directors whose terms expire at that meeting shall be elected for terms expiring at the 2020 annual meeting of stockholders. Thereafter all directors shall be elected for terms expiring at the next annual meeting of stockholders and until their successors shall be elected and qualified, subject to prior death, resignation, retirement or removal. No director need be a stockholder.</w:t>
      </w:r>
    </w:p>
    <w:p>
      <w:pPr>
        <w:pStyle w:val="TextBody"/>
        <w:bidi w:val="0"/>
        <w:spacing w:before="60" w:after="283"/>
        <w:jc w:val="left"/>
        <w:rPr/>
      </w:pPr>
      <w:r>
        <w:rPr/>
      </w:r>
    </w:p>
    <w:p>
      <w:pPr>
        <w:pStyle w:val="TextBody"/>
        <w:bidi w:val="0"/>
        <w:spacing w:lineRule="auto" w:line="268" w:before="60" w:after="283"/>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Nominations</w:t>
      </w:r>
      <w:r>
        <w:rPr>
          <w:rFonts w:ascii="Times New Roman;serif" w:hAnsi="Times New Roman;serif"/>
          <w:b w:val="false"/>
          <w:color w:val="000000"/>
          <w:sz w:val="24"/>
        </w:rPr>
        <w:t>. Advance notice of nominations for the election of directors, other than by the Board of Directors or a committee thereof, shall be given within the time and in the manner provided in the By-Laws.</w:t>
      </w:r>
    </w:p>
    <w:p>
      <w:pPr>
        <w:pStyle w:val="TextBody"/>
        <w:bidi w:val="0"/>
        <w:spacing w:before="60" w:after="283"/>
        <w:jc w:val="left"/>
        <w:rPr/>
      </w:pPr>
      <w:r>
        <w:rPr/>
      </w:r>
    </w:p>
    <w:p>
      <w:pPr>
        <w:pStyle w:val="TextBody"/>
        <w:bidi w:val="0"/>
        <w:spacing w:lineRule="auto" w:line="268" w:before="60" w:after="283"/>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Newly Created Directorships and Vacancies</w:t>
      </w:r>
      <w:r>
        <w:rPr>
          <w:rFonts w:ascii="Times New Roman;serif" w:hAnsi="Times New Roman;serif"/>
          <w:b w:val="false"/>
          <w:color w:val="000000"/>
          <w:sz w:val="24"/>
        </w:rPr>
        <w:t>. Newly created directorships resulting from any increase in the number of directors and any vacancies on the Board of Directors resulting from death, resignation, disqualification, removal, or other cause shall be filled only by the affirmative vote of a majority of the remaining directors then in office, even though less than a quorum of the Board of Director. Each director chosen to fill a newly created directorship resulting from an increase in the number of directors shall be elected for a term expiring at the next annual meeting of stockholders and until such director’s successor shall have been elected and qualified. Each director chosen to fill a vacancy on the Board of Directors resulting from death, resignation, disqualification, removal, or other cause shall hold office for the remainder of the full term of office of the director who is being succeeded and until such director’s successor shall have been elected and qualified. No decrease in the number of directors constituting the Board of Directors shall shorten the term of any incumbent director.</w:t>
      </w:r>
    </w:p>
    <w:p>
      <w:pPr>
        <w:pStyle w:val="TextBody"/>
        <w:bidi w:val="0"/>
        <w:spacing w:before="60" w:after="283"/>
        <w:jc w:val="left"/>
        <w:rPr/>
      </w:pPr>
      <w:r>
        <w:rPr/>
      </w:r>
    </w:p>
    <w:p>
      <w:pPr>
        <w:pStyle w:val="TextBody"/>
        <w:bidi w:val="0"/>
        <w:spacing w:lineRule="auto" w:line="268" w:before="60" w:after="283"/>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Removal of Directors</w:t>
      </w:r>
      <w:r>
        <w:rPr>
          <w:rFonts w:ascii="Times New Roman;serif" w:hAnsi="Times New Roman;serif"/>
          <w:b w:val="false"/>
          <w:color w:val="000000"/>
          <w:sz w:val="24"/>
        </w:rPr>
        <w:t>. Any director may be removed from office by stockholder vote at any time, but only for cause, by the affirmative vote of the holders of a majority of the voting power of the then outstanding shares of capital stock of the Corporation entitled to vote generally in the election of directors, voting together as a single class. Any director may also be removed from office for cause by vote of a majority of the directors then in office.</w:t>
      </w:r>
    </w:p>
    <w:p>
      <w:pPr>
        <w:pStyle w:val="TextBody"/>
        <w:bidi w:val="0"/>
        <w:spacing w:before="60" w:after="283"/>
        <w:jc w:val="left"/>
        <w:rPr/>
      </w:pPr>
      <w:r>
        <w:rPr/>
      </w:r>
    </w:p>
    <w:p>
      <w:pPr>
        <w:pStyle w:val="TextBody"/>
        <w:bidi w:val="0"/>
        <w:spacing w:lineRule="auto" w:line="268" w:before="60" w:after="283"/>
        <w:ind w:left="0" w:right="0" w:hanging="36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Directors Elected by Holders of Preferred Stock</w:t>
      </w:r>
      <w:r>
        <w:rPr>
          <w:rFonts w:ascii="Times New Roman;serif" w:hAnsi="Times New Roman;serif"/>
          <w:b w:val="false"/>
          <w:color w:val="000000"/>
          <w:sz w:val="24"/>
        </w:rPr>
        <w:t>. Whenever the holders of any class or series of Preferred Stock or of any other class or series of shares issued by the Corporation shall have the right, voting separately as a class or series, to elect one or more directors under specified circumstances, the election, term of office, filling of vacancies, and other features of such directorships shall be governed by the terms of these Articles applicable to such class or series, and none of the provisions of this Part E shall apply with respect to directors so elected.</w:t>
      </w:r>
    </w:p>
    <w:p>
      <w:pPr>
        <w:pStyle w:val="TextBody"/>
        <w:bidi w:val="0"/>
        <w:spacing w:before="60" w:after="283"/>
        <w:jc w:val="left"/>
        <w:rPr/>
      </w:pPr>
      <w:r>
        <w:rPr/>
      </w:r>
    </w:p>
    <w:p>
      <w:pPr>
        <w:pStyle w:val="TextBody"/>
        <w:bidi w:val="0"/>
        <w:spacing w:before="60" w:after="283"/>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right"/>
        <w:rPr/>
      </w:pPr>
      <w:r>
        <w:rPr/>
      </w:r>
    </w:p>
    <w:p>
      <w:pPr>
        <w:pStyle w:val="TextBody"/>
        <w:bidi w:val="0"/>
        <w:spacing w:lineRule="auto" w:line="276" w:before="60" w:after="283"/>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68" w:before="60" w:after="283"/>
        <w:jc w:val="left"/>
        <w:rPr/>
      </w:pPr>
      <w:r>
        <w:rPr>
          <w:rFonts w:ascii="Times New Roman;serif" w:hAnsi="Times New Roman;serif"/>
          <w:b w:val="false"/>
          <w:color w:val="000000"/>
          <w:sz w:val="24"/>
        </w:rPr>
        <w:t>The effective date of organization of the corporation is the date and time the articles were received for filing if the articles are not rejected within the time prescribed by law. If a later effective date is desired, specify such date, which may not be later than the 90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day after the articles are received for filing:</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N/A</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It is hereby certified that these restated articles of organization consolidate all amendments into a single document. If a new amendment authorizes an exchange, or effects a reclassification or cancellation, of issued shares, provisions for implementing that action are set forth in these restated articles unless contained in the text of the amendment.</w:t>
      </w:r>
    </w:p>
    <w:p>
      <w:pPr>
        <w:pStyle w:val="TextBody"/>
        <w:bidi w:val="0"/>
        <w:spacing w:before="60" w:after="283"/>
        <w:jc w:val="left"/>
        <w:rPr/>
      </w:pPr>
      <w:r>
        <w:rPr/>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Specify the number(s) of the article(s) being amended: N/A</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76" w:before="180" w:after="283"/>
        <w:jc w:val="left"/>
        <w:rPr/>
      </w:pPr>
      <w:r>
        <w:rPr>
          <w:rFonts w:ascii="Times New Roman;serif" w:hAnsi="Times New Roman;serif"/>
          <w:b w:val="false"/>
          <w:color w:val="000000"/>
          <w:sz w:val="24"/>
        </w:rPr>
        <w:t xml:space="preserve">Signed by: </w:t>
      </w:r>
      <w:r>
        <w:rPr>
          <w:rFonts w:ascii="Times New Roman;serif" w:hAnsi="Times New Roman;serif"/>
          <w:b w:val="false"/>
          <w:color w:val="000000"/>
          <w:sz w:val="24"/>
          <w:u w:val="single"/>
        </w:rPr>
        <w:t>/s/ Jeffrey Leiden</w:t>
      </w:r>
      <w:r>
        <w:rPr>
          <w:rFonts w:ascii="Times New Roman;serif" w:hAnsi="Times New Roman;serif"/>
          <w:b w:val="false"/>
          <w:color w:val="000000"/>
          <w:sz w:val="24"/>
        </w:rPr>
        <w:t>,</w:t>
      </w:r>
    </w:p>
    <w:p>
      <w:pPr>
        <w:pStyle w:val="TextBody"/>
        <w:bidi w:val="0"/>
        <w:spacing w:lineRule="auto" w:line="276" w:before="180" w:after="283"/>
        <w:jc w:val="left"/>
        <w:rPr>
          <w:rFonts w:ascii="Times New Roman;serif" w:hAnsi="Times New Roman;serif"/>
          <w:b w:val="false"/>
          <w:color w:val="000000"/>
          <w:sz w:val="24"/>
        </w:rPr>
      </w:pPr>
      <w:r>
        <w:rPr>
          <w:rFonts w:ascii="Times New Roman;serif" w:hAnsi="Times New Roman;serif"/>
          <w:b w:val="false"/>
          <w:color w:val="000000"/>
          <w:sz w:val="24"/>
        </w:rPr>
        <w:t>(signature of authorized individual)</w:t>
      </w:r>
    </w:p>
    <w:p>
      <w:pPr>
        <w:pStyle w:val="TextBody"/>
        <w:bidi w:val="0"/>
        <w:spacing w:lineRule="auto" w:line="276" w:before="180" w:after="283"/>
        <w:jc w:val="left"/>
        <w:rPr/>
      </w:pPr>
      <w:r>
        <w:rPr>
          <w:rFonts w:ascii="Wingdings;sans-serif" w:hAnsi="Wingdings;sans-serif"/>
          <w:b w:val="false"/>
          <w:color w:val="000000"/>
          <w:sz w:val="24"/>
        </w:rPr>
        <w:t>x</w:t>
      </w:r>
      <w:r>
        <w:rPr>
          <w:color w:val="000000"/>
        </w:rPr>
        <w:t xml:space="preserve"> </w:t>
      </w:r>
      <w:r>
        <w:rPr>
          <w:rFonts w:ascii="Times New Roman;serif" w:hAnsi="Times New Roman;serif"/>
          <w:b w:val="false"/>
          <w:color w:val="000000"/>
          <w:sz w:val="24"/>
        </w:rPr>
        <w:t>Chairman of the board of directors,</w:t>
      </w:r>
    </w:p>
    <w:p>
      <w:pPr>
        <w:pStyle w:val="TextBody"/>
        <w:bidi w:val="0"/>
        <w:spacing w:lineRule="auto" w:line="276" w:before="180" w:after="283"/>
        <w:jc w:val="left"/>
        <w:rPr/>
      </w:pPr>
      <w:r>
        <w:rPr>
          <w:color w:val="000000"/>
        </w:rPr>
        <w:t xml:space="preserve">☐ </w:t>
      </w:r>
      <w:r>
        <w:rPr>
          <w:rFonts w:ascii="Times New Roman;serif" w:hAnsi="Times New Roman;serif"/>
          <w:b w:val="false"/>
          <w:color w:val="000000"/>
          <w:sz w:val="24"/>
        </w:rPr>
        <w:t>President,</w:t>
      </w:r>
    </w:p>
    <w:p>
      <w:pPr>
        <w:pStyle w:val="TextBody"/>
        <w:bidi w:val="0"/>
        <w:spacing w:lineRule="auto" w:line="276" w:before="180" w:after="283"/>
        <w:jc w:val="left"/>
        <w:rPr/>
      </w:pPr>
      <w:r>
        <w:rPr>
          <w:color w:val="000000"/>
        </w:rPr>
        <w:t xml:space="preserve">☐ </w:t>
      </w:r>
      <w:r>
        <w:rPr>
          <w:rFonts w:ascii="Times New Roman;serif" w:hAnsi="Times New Roman;serif"/>
          <w:b w:val="false"/>
          <w:color w:val="000000"/>
          <w:sz w:val="24"/>
        </w:rPr>
        <w:t>Other officer,</w:t>
      </w:r>
    </w:p>
    <w:p>
      <w:pPr>
        <w:pStyle w:val="TextBody"/>
        <w:bidi w:val="0"/>
        <w:spacing w:lineRule="auto" w:line="276" w:before="180" w:after="283"/>
        <w:jc w:val="left"/>
        <w:rPr/>
      </w:pPr>
      <w:r>
        <w:rPr>
          <w:color w:val="000000"/>
        </w:rPr>
        <w:t xml:space="preserve">☐ </w:t>
      </w:r>
      <w:r>
        <w:rPr>
          <w:rFonts w:ascii="Times New Roman;serif" w:hAnsi="Times New Roman;serif"/>
          <w:b w:val="false"/>
          <w:color w:val="000000"/>
          <w:sz w:val="24"/>
        </w:rPr>
        <w:t>Court-appointed fiduciary,</w:t>
      </w:r>
    </w:p>
    <w:p>
      <w:pPr>
        <w:pStyle w:val="TextBody"/>
        <w:bidi w:val="0"/>
        <w:spacing w:lineRule="auto" w:line="276" w:before="180" w:after="283"/>
        <w:jc w:val="left"/>
        <w:rPr/>
      </w:pPr>
      <w:r>
        <w:rPr>
          <w:rFonts w:ascii="Times New Roman;serif" w:hAnsi="Times New Roman;serif"/>
          <w:b w:val="false"/>
          <w:color w:val="000000"/>
          <w:sz w:val="24"/>
        </w:rPr>
        <w:t xml:space="preserve">on this </w:t>
      </w:r>
      <w:r>
        <w:rPr>
          <w:rFonts w:ascii="Times New Roman;serif" w:hAnsi="Times New Roman;serif"/>
          <w:b w:val="false"/>
          <w:color w:val="000000"/>
          <w:sz w:val="24"/>
          <w:u w:val="single"/>
        </w:rPr>
        <w:t>11</w:t>
      </w:r>
      <w:r>
        <w:rPr>
          <w:rFonts w:ascii="Times New Roman;serif" w:hAnsi="Times New Roman;serif"/>
          <w:b w:val="false"/>
          <w:color w:val="000000"/>
          <w:sz w:val="13"/>
          <w:u w:val="single"/>
        </w:rPr>
        <w:t>th</w:t>
      </w:r>
      <w:r>
        <w:rPr>
          <w:color w:val="000000"/>
        </w:rPr>
        <w:t xml:space="preserve"> </w:t>
      </w:r>
      <w:r>
        <w:rPr>
          <w:rFonts w:ascii="Times New Roman;serif" w:hAnsi="Times New Roman;serif"/>
          <w:b w:val="false"/>
          <w:color w:val="000000"/>
          <w:sz w:val="24"/>
        </w:rPr>
        <w:t>day of February, 2026.</w:t>
      </w:r>
    </w:p>
    <w:p>
      <w:pPr>
        <w:pStyle w:val="TextBody"/>
        <w:bidi w:val="0"/>
        <w:spacing w:before="60" w:after="283"/>
        <w:jc w:val="center"/>
        <w:rPr/>
      </w:pPr>
      <w:r>
        <w:rPr/>
      </w:r>
    </w:p>
    <w:p>
      <w:pPr>
        <w:pStyle w:val="TextBody"/>
        <w:bidi w:val="0"/>
        <w:spacing w:before="60" w:after="283"/>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right"/>
        <w:rPr/>
      </w:pPr>
      <w:r>
        <w:rPr/>
      </w:r>
    </w:p>
    <w:p>
      <w:pPr>
        <w:pStyle w:val="TextBody"/>
        <w:bidi w:val="0"/>
        <w:spacing w:before="60" w:after="283"/>
        <w:jc w:val="center"/>
        <w:rPr/>
      </w:pPr>
      <w:r>
        <w:rPr/>
      </w:r>
    </w:p>
    <w:p>
      <w:pPr>
        <w:pStyle w:val="TextBody"/>
        <w:bidi w:val="0"/>
        <w:spacing w:before="60" w:after="120"/>
        <w:jc w:val="center"/>
        <w:rPr/>
      </w:pPr>
      <w:r>
        <w:rPr/>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THE COMMONWEALTH OF MASSACHUSETTS</w:t>
      </w:r>
    </w:p>
    <w:p>
      <w:pPr>
        <w:pStyle w:val="TextBody"/>
        <w:bidi w:val="0"/>
        <w:spacing w:before="60" w:after="120"/>
        <w:jc w:val="center"/>
        <w:rPr/>
      </w:pPr>
      <w:r>
        <w:rPr/>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I hereby certify that, upon examination of this document, duly submitted to me, it appears</w:t>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that the provisions of the General Laws relative to corporations have been complied with,</w:t>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and I hereby approve said articles; and the filing fee having been paid, said articles are</w:t>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deemed to have been filed with me on:</w:t>
      </w:r>
    </w:p>
    <w:p>
      <w:pPr>
        <w:pStyle w:val="TextBody"/>
        <w:bidi w:val="0"/>
        <w:spacing w:before="60" w:after="120"/>
        <w:jc w:val="center"/>
        <w:rPr/>
      </w:pPr>
      <w:r>
        <w:rPr/>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February 12, 2026 04:48 PM</w:t>
      </w:r>
    </w:p>
    <w:p>
      <w:pPr>
        <w:pStyle w:val="TextBody"/>
        <w:bidi w:val="0"/>
        <w:spacing w:before="60" w:after="120"/>
        <w:jc w:val="center"/>
        <w:rPr/>
      </w:pPr>
      <w:r>
        <w:rPr/>
      </w:r>
    </w:p>
    <w:p>
      <w:pPr>
        <w:pStyle w:val="TextBody"/>
        <w:bidi w:val="0"/>
        <w:spacing w:before="60" w:after="120"/>
        <w:jc w:val="center"/>
        <w:rPr/>
      </w:pPr>
      <w:r>
        <w:rPr/>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/s/ William Francis Galvin</w:t>
      </w:r>
    </w:p>
    <w:p>
      <w:pPr>
        <w:pStyle w:val="TextBody"/>
        <w:bidi w:val="0"/>
        <w:spacing w:before="60" w:after="120"/>
        <w:jc w:val="center"/>
        <w:rPr/>
      </w:pPr>
      <w:r>
        <w:rPr/>
      </w:r>
    </w:p>
    <w:p>
      <w:pPr>
        <w:pStyle w:val="TextBody"/>
        <w:bidi w:val="0"/>
        <w:spacing w:lineRule="auto" w:line="268" w:before="60" w:after="120"/>
        <w:jc w:val="center"/>
        <w:rPr>
          <w:rFonts w:ascii="Times New Roman;serif" w:hAnsi="Times New Roman;serif"/>
          <w:b w:val="false"/>
          <w:color w:val="000000"/>
          <w:sz w:val="24"/>
        </w:rPr>
      </w:pPr>
      <w:r>
        <w:rPr>
          <w:rFonts w:ascii="Times New Roman;serif" w:hAnsi="Times New Roman;serif"/>
          <w:b w:val="false"/>
          <w:color w:val="000000"/>
          <w:sz w:val="24"/>
        </w:rPr>
        <w:t>WILLIAM FRANCIS GALVIN</w:t>
      </w:r>
    </w:p>
    <w:p>
      <w:pPr>
        <w:pStyle w:val="TextBody"/>
        <w:bidi w:val="0"/>
        <w:spacing w:lineRule="auto" w:line="268" w:before="60" w:after="120"/>
        <w:jc w:val="center"/>
        <w:rPr>
          <w:rFonts w:ascii="Times New Roman;serif" w:hAnsi="Times New Roman;serif"/>
          <w:b w:val="false"/>
          <w:i/>
          <w:color w:val="000000"/>
          <w:sz w:val="24"/>
        </w:rPr>
      </w:pPr>
      <w:r>
        <w:rPr>
          <w:rFonts w:ascii="Times New Roman;serif" w:hAnsi="Times New Roman;serif"/>
          <w:b w:val="false"/>
          <w:i/>
          <w:color w:val="000000"/>
          <w:sz w:val="24"/>
        </w:rPr>
        <w:t>Secretary of the Commonwealth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10.42</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8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52" w:before="0" w:after="180"/>
        <w:ind w:left="0" w:right="0" w:firstLine="1079"/>
        <w:jc w:val="left"/>
        <w:rPr/>
      </w:pPr>
      <w:r>
        <w:rPr>
          <w:rFonts w:ascii="Times New Roman;serif" w:hAnsi="Times New Roman;serif"/>
          <w:b w:val="false"/>
          <w:color w:val="000000"/>
          <w:sz w:val="24"/>
        </w:rPr>
        <w:t xml:space="preserve">This Employment Agreement (this </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is made and entered into as of this 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 xml:space="preserve">day of October, 2022 by and between Vertex Pharmaceuticals Incorporated, a Massachusetts corporation (together with its successors and assigns, the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 xml:space="preserve">and Carmen Bozic (the </w:t>
      </w:r>
      <w:r>
        <w:rPr>
          <w:rFonts w:ascii="Times New Roman;serif" w:hAnsi="Times New Roman;serif"/>
          <w:b w:val="false"/>
          <w:color w:val="000000"/>
          <w:sz w:val="24"/>
          <w:u w:val="single"/>
        </w:rPr>
        <w:t>"Executive").</w:t>
      </w:r>
    </w:p>
    <w:p>
      <w:pPr>
        <w:pStyle w:val="TextBody"/>
        <w:bidi w:val="0"/>
        <w:spacing w:lineRule="auto" w:line="268" w:before="0" w:after="180"/>
        <w:ind w:left="0" w:right="0" w:firstLine="868"/>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47" w:before="0" w:after="180"/>
        <w:ind w:left="0" w:right="0" w:firstLine="1082"/>
        <w:jc w:val="left"/>
        <w:rPr>
          <w:rFonts w:ascii="Times New Roman;serif" w:hAnsi="Times New Roman;serif"/>
          <w:b w:val="false"/>
          <w:color w:val="000000"/>
          <w:sz w:val="24"/>
        </w:rPr>
      </w:pPr>
      <w:r>
        <w:rPr>
          <w:rFonts w:ascii="Times New Roman;serif" w:hAnsi="Times New Roman;serif"/>
          <w:b w:val="false"/>
          <w:color w:val="000000"/>
          <w:sz w:val="24"/>
        </w:rPr>
        <w:t>WHEREAS, the Executive is serving as an Executive Vice President of the Company as of the Effective Date; and</w:t>
      </w:r>
    </w:p>
    <w:p>
      <w:pPr>
        <w:pStyle w:val="TextBody"/>
        <w:bidi w:val="0"/>
        <w:spacing w:lineRule="auto" w:line="252" w:before="0" w:after="180"/>
        <w:ind w:left="0" w:right="0" w:firstLine="1083"/>
        <w:jc w:val="left"/>
        <w:rPr>
          <w:rFonts w:ascii="Times New Roman;serif" w:hAnsi="Times New Roman;serif"/>
          <w:b w:val="false"/>
          <w:color w:val="000000"/>
          <w:sz w:val="24"/>
        </w:rPr>
      </w:pPr>
      <w:r>
        <w:rPr>
          <w:rFonts w:ascii="Times New Roman;serif" w:hAnsi="Times New Roman;serif"/>
          <w:b w:val="false"/>
          <w:color w:val="000000"/>
          <w:sz w:val="24"/>
        </w:rPr>
        <w:t>WHEREAS, the Company and the Executive desire to enter into this Agreement to set forth the terms of the Executive's continued employment with the Company;</w:t>
      </w:r>
    </w:p>
    <w:p>
      <w:pPr>
        <w:pStyle w:val="TextBody"/>
        <w:bidi w:val="0"/>
        <w:spacing w:lineRule="auto" w:line="247" w:before="0" w:after="180"/>
        <w:ind w:left="0" w:right="0" w:firstLine="1079"/>
        <w:jc w:val="left"/>
        <w:rPr/>
      </w:pPr>
      <w:r>
        <w:rPr>
          <w:rFonts w:ascii="Times New Roman;serif" w:hAnsi="Times New Roman;serif"/>
          <w:b w:val="false"/>
          <w:color w:val="000000"/>
          <w:sz w:val="24"/>
        </w:rPr>
        <w:t>NOW, THEREFORE, in consideration of the promises and mutual covenants contained herein and for other good and valuable consideration, the receipt of which mutually is acknowledged, the Company and the Executive (each individually a "</w:t>
      </w:r>
      <w:r>
        <w:rPr>
          <w:rFonts w:ascii="Times New Roman;serif" w:hAnsi="Times New Roman;serif"/>
          <w:b w:val="false"/>
          <w:color w:val="000000"/>
          <w:sz w:val="24"/>
          <w:u w:val="single"/>
        </w:rPr>
        <w:t>Party</w:t>
      </w:r>
      <w:r>
        <w:rPr>
          <w:rFonts w:ascii="Times New Roman;serif" w:hAnsi="Times New Roman;serif"/>
          <w:b w:val="false"/>
          <w:color w:val="000000"/>
          <w:sz w:val="24"/>
        </w:rPr>
        <w:t>", and together the "</w:t>
      </w:r>
      <w:r>
        <w:rPr>
          <w:rFonts w:ascii="Times New Roman;serif" w:hAnsi="Times New Roman;serif"/>
          <w:b w:val="false"/>
          <w:color w:val="000000"/>
          <w:sz w:val="24"/>
          <w:u w:val="single"/>
        </w:rPr>
        <w:t>Parties</w:t>
      </w:r>
      <w:r>
        <w:rPr>
          <w:rFonts w:ascii="Times New Roman;serif" w:hAnsi="Times New Roman;serif"/>
          <w:b w:val="false"/>
          <w:color w:val="000000"/>
          <w:sz w:val="24"/>
        </w:rPr>
        <w: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agree as follows:</w:t>
      </w:r>
    </w:p>
    <w:p>
      <w:pPr>
        <w:pStyle w:val="TextBody"/>
        <w:bidi w:val="0"/>
        <w:spacing w:lineRule="auto" w:line="268" w:before="0" w:after="18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1.DEFINITIONS.</w:t>
      </w:r>
    </w:p>
    <w:p>
      <w:pPr>
        <w:pStyle w:val="TextBody"/>
        <w:bidi w:val="0"/>
        <w:spacing w:lineRule="auto" w:line="247" w:before="0" w:after="180"/>
        <w:ind w:left="0" w:right="0" w:firstLine="107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Accrued Benefits</w:t>
      </w:r>
      <w:r>
        <w:rPr>
          <w:rFonts w:ascii="Times New Roman;serif" w:hAnsi="Times New Roman;serif"/>
          <w:b w:val="false"/>
          <w:color w:val="000000"/>
          <w:sz w:val="24"/>
        </w:rPr>
        <w:t>" shall mean (i) any Base Salary earned by the Executive but not then paid and (ii) any accrued and vested but then unpaid benefits under the Benefit Plans, in each case, through the date of termination of the Executive's employment.</w:t>
      </w:r>
    </w:p>
    <w:p>
      <w:pPr>
        <w:pStyle w:val="TextBody"/>
        <w:bidi w:val="0"/>
        <w:spacing w:lineRule="auto" w:line="268" w:before="0" w:after="180"/>
        <w:ind w:left="0" w:right="0" w:firstLine="899"/>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Base Salary</w:t>
      </w:r>
      <w:r>
        <w:rPr>
          <w:rFonts w:ascii="Times New Roman;serif" w:hAnsi="Times New Roman;serif"/>
          <w:b w:val="false"/>
          <w:color w:val="000000"/>
          <w:sz w:val="24"/>
        </w:rPr>
        <w:t>" shall mean the Executive's base salary in accordance with Section 4 below.</w:t>
      </w:r>
    </w:p>
    <w:p>
      <w:pPr>
        <w:pStyle w:val="TextBody"/>
        <w:bidi w:val="0"/>
        <w:spacing w:lineRule="auto" w:line="268" w:before="0" w:after="180"/>
        <w:ind w:left="0" w:right="0" w:firstLine="1071"/>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Benefit Plans</w:t>
      </w:r>
      <w:r>
        <w:rPr>
          <w:rFonts w:ascii="Times New Roman;serif" w:hAnsi="Times New Roman;serif"/>
          <w:b w:val="false"/>
          <w:color w:val="000000"/>
          <w:sz w:val="24"/>
        </w:rPr>
        <w:t>" shall mean all employee welfare and pension benefit plans, programs and/or arrangements offered by the Company to its senior executives.</w:t>
      </w:r>
    </w:p>
    <w:p>
      <w:pPr>
        <w:pStyle w:val="TextBody"/>
        <w:bidi w:val="0"/>
        <w:spacing w:lineRule="auto" w:line="268" w:before="0" w:after="180"/>
        <w:ind w:left="0" w:right="0" w:firstLine="1071"/>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Board</w:t>
      </w:r>
      <w:r>
        <w:rPr>
          <w:rFonts w:ascii="Times New Roman;serif" w:hAnsi="Times New Roman;serif"/>
          <w:b w:val="false"/>
          <w:color w:val="000000"/>
          <w:sz w:val="24"/>
        </w:rPr>
        <w:t>" shall mean the Board of Directors of the Company.</w:t>
      </w:r>
    </w:p>
    <w:p>
      <w:pPr>
        <w:pStyle w:val="TextBody"/>
        <w:bidi w:val="0"/>
        <w:spacing w:lineRule="auto" w:line="268" w:before="0" w:after="180"/>
        <w:ind w:left="0" w:right="0" w:firstLine="1071"/>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Cause</w:t>
      </w:r>
      <w:r>
        <w:rPr>
          <w:rFonts w:ascii="Times New Roman;serif" w:hAnsi="Times New Roman;serif"/>
          <w:b w:val="false"/>
          <w:color w:val="000000"/>
          <w:sz w:val="24"/>
        </w:rPr>
        <w:t>" shall mean:</w:t>
      </w:r>
    </w:p>
    <w:p>
      <w:pPr>
        <w:pStyle w:val="TextBody"/>
        <w:bidi w:val="0"/>
        <w:spacing w:lineRule="auto" w:line="285" w:before="0" w:after="1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the Executive is convicted of a crime involving moral turpitude;</w:t>
      </w:r>
    </w:p>
    <w:p>
      <w:pPr>
        <w:pStyle w:val="TextBody"/>
        <w:bidi w:val="0"/>
        <w:spacing w:lineRule="auto" w:line="252" w:before="0" w:after="180"/>
        <w:ind w:left="0" w:right="0" w:hanging="720"/>
        <w:jc w:val="left"/>
        <w:rPr/>
      </w:pPr>
      <w:r>
        <w:rPr>
          <w:rFonts w:ascii="Times New Roman;serif" w:hAnsi="Times New Roman;serif"/>
          <w:b w:val="false"/>
          <w:color w:val="000000"/>
          <w:sz w:val="24"/>
        </w:rPr>
        <w:t xml:space="preserve">(ii)    the Executive's willful refusal or failure to follow a lawful directive or instruction of the Company's Board of Directors or the individual(s) to whom the Executive reports,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Executive receives prior written notice of the directive(s) or instruction(s) that the Executive failed to follow,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the Company, in good faith, gives the Executive 30 days to correct such failure and </w:t>
      </w:r>
      <w:r>
        <w:rPr>
          <w:rFonts w:ascii="Times New Roman;serif" w:hAnsi="Times New Roman;serif"/>
          <w:b w:val="false"/>
          <w:color w:val="000000"/>
          <w:sz w:val="24"/>
          <w:u w:val="single"/>
        </w:rPr>
        <w:t>further provided</w:t>
      </w:r>
      <w:r>
        <w:rPr>
          <w:color w:val="000000"/>
        </w:rPr>
        <w:t xml:space="preserve"> </w:t>
      </w:r>
      <w:r>
        <w:rPr>
          <w:rFonts w:ascii="Times New Roman;serif" w:hAnsi="Times New Roman;serif"/>
          <w:b w:val="false"/>
          <w:color w:val="000000"/>
          <w:sz w:val="24"/>
        </w:rPr>
        <w:t>that if the Executive corrects the failure(s), any termination of the Executive's employment on account of such failure shall not be treated for purposes of this Agreement as a termination of employment for "Cause";</w:t>
      </w:r>
    </w:p>
    <w:p>
      <w:pPr>
        <w:pStyle w:val="TextBody"/>
        <w:bidi w:val="0"/>
        <w:spacing w:lineRule="auto" w:line="247" w:before="0" w:after="180"/>
        <w:ind w:left="0" w:right="0" w:hanging="720"/>
        <w:jc w:val="left"/>
        <w:rPr/>
      </w:pPr>
      <w:r>
        <w:rPr>
          <w:rFonts w:ascii="Times New Roman;serif" w:hAnsi="Times New Roman;serif"/>
          <w:b w:val="false"/>
          <w:color w:val="000000"/>
          <w:sz w:val="24"/>
        </w:rPr>
        <w:t>(iii)    the Executive commits a material breach of the Company's insider trading policy or of any provision of this Agreement or the agreement between the Company and the Executive entitled "Employee Non-Disclosure, Non-Competition and Inventions Agreement" dated as of April 4, 2019 (the "</w:t>
      </w:r>
      <w:r>
        <w:rPr>
          <w:rFonts w:ascii="Times New Roman;serif" w:hAnsi="Times New Roman;serif"/>
          <w:b w:val="false"/>
          <w:color w:val="000000"/>
          <w:sz w:val="24"/>
          <w:u w:val="single"/>
        </w:rPr>
        <w:t>Inventions Agreement</w:t>
      </w:r>
      <w:r>
        <w:rPr>
          <w:rFonts w:ascii="Times New Roman;serif" w:hAnsi="Times New Roman;serif"/>
          <w:b w:val="false"/>
          <w:color w:val="000000"/>
          <w:sz w:val="24"/>
        </w:rPr>
        <w:t>"); or</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1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    the Executive commits a breach of the code of conduct or any other material policy of the Company or any of its affiliates that is damaging to the financial condition or reputation of the Company or any of its affiliates.</w:t>
      </w:r>
    </w:p>
    <w:p>
      <w:pPr>
        <w:pStyle w:val="TextBody"/>
        <w:bidi w:val="0"/>
        <w:spacing w:lineRule="auto" w:line="247" w:before="0" w:after="180"/>
        <w:ind w:left="0" w:right="0" w:firstLine="90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 shall have the meaning set forth in the Change of Control Agreement.</w:t>
      </w:r>
    </w:p>
    <w:p>
      <w:pPr>
        <w:pStyle w:val="TextBody"/>
        <w:bidi w:val="0"/>
        <w:spacing w:lineRule="auto" w:line="252" w:before="0" w:after="180"/>
        <w:ind w:left="0" w:right="0" w:firstLine="90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Change of Control Agreement</w:t>
      </w:r>
      <w:r>
        <w:rPr>
          <w:rFonts w:ascii="Times New Roman;serif" w:hAnsi="Times New Roman;serif"/>
          <w:b w:val="false"/>
          <w:color w:val="000000"/>
          <w:sz w:val="24"/>
        </w:rPr>
        <w:t>" shall mean the Change of Control letter agreement between the Company and the Executive of even date herewith.</w:t>
      </w:r>
    </w:p>
    <w:p>
      <w:pPr>
        <w:pStyle w:val="TextBody"/>
        <w:bidi w:val="0"/>
        <w:spacing w:lineRule="auto" w:line="288" w:before="0" w:after="180"/>
        <w:ind w:left="0" w:right="0" w:firstLine="90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Code</w:t>
      </w:r>
      <w:r>
        <w:rPr>
          <w:rFonts w:ascii="Times New Roman;serif" w:hAnsi="Times New Roman;serif"/>
          <w:b w:val="false"/>
          <w:color w:val="000000"/>
          <w:sz w:val="24"/>
        </w:rPr>
        <w:t>" shall mean the Internal Revenue Code of 1986, as amended.</w:t>
      </w:r>
    </w:p>
    <w:p>
      <w:pPr>
        <w:pStyle w:val="TextBody"/>
        <w:bidi w:val="0"/>
        <w:spacing w:lineRule="auto" w:line="288" w:before="0" w:after="180"/>
        <w:ind w:left="0" w:right="0" w:firstLine="90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Common Stock</w:t>
      </w:r>
      <w:r>
        <w:rPr>
          <w:rFonts w:ascii="Times New Roman;serif" w:hAnsi="Times New Roman;serif"/>
          <w:b w:val="false"/>
          <w:color w:val="000000"/>
          <w:sz w:val="24"/>
        </w:rPr>
        <w:t>" shall mean the common stock of the Company.</w:t>
      </w:r>
    </w:p>
    <w:p>
      <w:pPr>
        <w:pStyle w:val="TextBody"/>
        <w:bidi w:val="0"/>
        <w:spacing w:lineRule="auto" w:line="288" w:before="0" w:after="180"/>
        <w:ind w:left="0" w:right="0" w:firstLine="108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Compensation Committee</w:t>
      </w:r>
      <w:r>
        <w:rPr>
          <w:rFonts w:ascii="Times New Roman;serif" w:hAnsi="Times New Roman;serif"/>
          <w:b w:val="false"/>
          <w:color w:val="000000"/>
          <w:sz w:val="24"/>
        </w:rPr>
        <w:t>" shall mean the Management Development and Compensation Committee of the Board.</w:t>
      </w:r>
    </w:p>
    <w:p>
      <w:pPr>
        <w:pStyle w:val="TextBody"/>
        <w:bidi w:val="0"/>
        <w:spacing w:lineRule="auto" w:line="288" w:before="0" w:after="180"/>
        <w:ind w:left="0" w:right="0" w:firstLine="108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Disability</w:t>
      </w:r>
      <w:r>
        <w:rPr>
          <w:rFonts w:ascii="Times New Roman;serif" w:hAnsi="Times New Roman;serif"/>
          <w:b w:val="false"/>
          <w:color w:val="000000"/>
          <w:sz w:val="24"/>
        </w:rPr>
        <w:t>" or "</w:t>
      </w:r>
      <w:r>
        <w:rPr>
          <w:rFonts w:ascii="Times New Roman;serif" w:hAnsi="Times New Roman;serif"/>
          <w:b w:val="false"/>
          <w:color w:val="000000"/>
          <w:sz w:val="24"/>
          <w:u w:val="single"/>
        </w:rPr>
        <w:t>Disabled</w:t>
      </w:r>
      <w:r>
        <w:rPr>
          <w:rFonts w:ascii="Times New Roman;serif" w:hAnsi="Times New Roman;serif"/>
          <w:b w:val="false"/>
          <w:color w:val="000000"/>
          <w:sz w:val="24"/>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pStyle w:val="TextBody"/>
        <w:bidi w:val="0"/>
        <w:spacing w:lineRule="auto" w:line="288" w:before="0" w:after="180"/>
        <w:ind w:left="0" w:right="0" w:firstLine="90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Effective Date</w:t>
      </w:r>
      <w:r>
        <w:rPr>
          <w:rFonts w:ascii="Times New Roman;serif" w:hAnsi="Times New Roman;serif"/>
          <w:b w:val="false"/>
          <w:color w:val="000000"/>
          <w:sz w:val="24"/>
        </w:rPr>
        <w:t>" shall mean October 3, 2022.</w:t>
      </w:r>
    </w:p>
    <w:p>
      <w:pPr>
        <w:pStyle w:val="TextBody"/>
        <w:bidi w:val="0"/>
        <w:spacing w:lineRule="auto" w:line="288" w:before="0" w:after="180"/>
        <w:ind w:left="0" w:right="0" w:firstLine="99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Good Reason</w:t>
      </w:r>
      <w:r>
        <w:rPr>
          <w:rFonts w:ascii="Times New Roman;serif" w:hAnsi="Times New Roman;serif"/>
          <w:b w:val="false"/>
          <w:color w:val="000000"/>
          <w:sz w:val="24"/>
        </w:rPr>
        <w:t>" shall mean that, without the Executive's consent, one or more of the following events occurs:</w:t>
      </w:r>
    </w:p>
    <w:p>
      <w:pPr>
        <w:pStyle w:val="TextBody"/>
        <w:bidi w:val="0"/>
        <w:spacing w:lineRule="auto" w:line="288" w:before="0" w:after="18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(i)the Executive's duties are materially diminished to an extent that results in the Executive no longer being an "officer," as such term is defined in Rule 16a-1(f) promulgated under the Securities Exchange Act of 1934;</w:t>
      </w:r>
    </w:p>
    <w:p>
      <w:pPr>
        <w:pStyle w:val="TextBody"/>
        <w:bidi w:val="0"/>
        <w:spacing w:lineRule="auto" w:line="288" w:before="0" w:after="18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(ii)the Executive's Base Salary is decreased unless such reduction is part of an across-the-board proportionate reduction in the base salaries of the Company's senior management team; or</w:t>
      </w:r>
    </w:p>
    <w:p>
      <w:pPr>
        <w:pStyle w:val="TextBody"/>
        <w:bidi w:val="0"/>
        <w:spacing w:lineRule="auto" w:line="288" w:before="0" w:after="180"/>
        <w:ind w:left="0" w:right="0" w:hanging="630"/>
        <w:jc w:val="left"/>
        <w:rPr>
          <w:rFonts w:ascii="Times New Roman;serif" w:hAnsi="Times New Roman;serif"/>
          <w:b w:val="false"/>
          <w:color w:val="000000"/>
          <w:sz w:val="24"/>
        </w:rPr>
      </w:pPr>
      <w:r>
        <w:rPr>
          <w:rFonts w:ascii="Times New Roman;serif" w:hAnsi="Times New Roman;serif"/>
          <w:b w:val="false"/>
          <w:color w:val="000000"/>
          <w:sz w:val="24"/>
        </w:rPr>
        <w:t>(iii)the office to which the Executive is assigned is relocated to a place 35 or more miles away and such relocation is not (A) at the Executive's request or (B) in connection with a change in location of the Company's principal executive offices;</w:t>
      </w:r>
    </w:p>
    <w:p>
      <w:pPr>
        <w:pStyle w:val="TextBody"/>
        <w:bidi w:val="0"/>
        <w:spacing w:lineRule="auto" w:line="252" w:before="0" w:after="180"/>
        <w:jc w:val="left"/>
        <w:rPr>
          <w:rFonts w:ascii="Times New Roman;serif" w:hAnsi="Times New Roman;serif"/>
          <w:b w:val="false"/>
          <w:color w:val="000000"/>
          <w:sz w:val="24"/>
        </w:rPr>
      </w:pPr>
      <w:r>
        <w:rPr>
          <w:rFonts w:ascii="Times New Roman;serif" w:hAnsi="Times New Roman;serif"/>
          <w:b w:val="false"/>
          <w:color w:val="000000"/>
          <w:sz w:val="24"/>
        </w:rPr>
        <w:t>provided that Good Reason shall not exist unless and until within 30 days after the event giving rise to Good Reason under either (i) or (ii) above has occurred, the Executive delivers a written termination notice to the Company stating that an event giving rise to Good Reason has occurred and identifying with reasonable detail the event that the Executive asserts constitutes Good Reason under either (i) or (ii) above and the Company fails or refuses to cure or eliminate the event giving rise to Good Reason on or within 30 days after receiving such notice and, with respect to the event giving rise to Good Reason under (iii) above, the Executive delivers a written termination notice to the Company within 30 days after the event giving rise to Good Reason occurs. To avoid doubt, the termination of the Executive's employment will become effective at the close of business on the thirtieth day after the Company receives the Executive's</w:t>
      </w:r>
    </w:p>
    <w:p>
      <w:pPr>
        <w:pStyle w:val="TextBody"/>
        <w:bidi w:val="0"/>
        <w:spacing w:before="0" w:after="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80"/>
        <w:ind w:left="0" w:right="0" w:firstLine="373"/>
        <w:jc w:val="left"/>
        <w:rPr>
          <w:rFonts w:ascii="Times New Roman;serif" w:hAnsi="Times New Roman;serif"/>
          <w:b w:val="false"/>
          <w:color w:val="000000"/>
          <w:sz w:val="24"/>
        </w:rPr>
      </w:pPr>
      <w:r>
        <w:rPr>
          <w:rFonts w:ascii="Times New Roman;serif" w:hAnsi="Times New Roman;serif"/>
          <w:b w:val="false"/>
          <w:color w:val="000000"/>
          <w:sz w:val="24"/>
        </w:rPr>
        <w:t>termination notice, unless, in the case of an event giving rise to Good Reason under either (i) or</w:t>
      </w:r>
    </w:p>
    <w:p>
      <w:pPr>
        <w:pStyle w:val="TextBody"/>
        <w:bidi w:val="0"/>
        <w:spacing w:lineRule="auto" w:line="247" w:before="0" w:after="180"/>
        <w:ind w:left="0" w:right="0" w:firstLine="375"/>
        <w:jc w:val="left"/>
        <w:rPr>
          <w:rFonts w:ascii="Times New Roman;serif" w:hAnsi="Times New Roman;serif"/>
          <w:b w:val="false"/>
          <w:color w:val="000000"/>
          <w:sz w:val="24"/>
        </w:rPr>
      </w:pPr>
      <w:r>
        <w:rPr>
          <w:rFonts w:ascii="Times New Roman;serif" w:hAnsi="Times New Roman;serif"/>
          <w:b w:val="false"/>
          <w:color w:val="000000"/>
          <w:sz w:val="24"/>
        </w:rPr>
        <w:t>(ii) above, the Company cures or eliminates the event giving rise to Good Reason prior to such time.</w:t>
      </w:r>
    </w:p>
    <w:p>
      <w:pPr>
        <w:pStyle w:val="TextBody"/>
        <w:bidi w:val="0"/>
        <w:spacing w:lineRule="auto" w:line="247" w:before="0" w:after="180"/>
        <w:ind w:left="0" w:right="0" w:firstLine="1080"/>
        <w:jc w:val="left"/>
        <w:rPr/>
      </w:pPr>
      <w:r>
        <w:rPr>
          <w:rFonts w:ascii="Times New Roman;serif" w:hAnsi="Times New Roman;serif"/>
          <w:b w:val="false"/>
          <w:color w:val="000000"/>
          <w:sz w:val="24"/>
          <w:u w:val="single"/>
        </w:rPr>
        <w:t>"Severance Payment"</w:t>
      </w:r>
      <w:r>
        <w:rPr>
          <w:color w:val="000000"/>
        </w:rPr>
        <w:t xml:space="preserve"> </w:t>
      </w:r>
      <w:r>
        <w:rPr>
          <w:rFonts w:ascii="Times New Roman;serif" w:hAnsi="Times New Roman;serif"/>
          <w:b w:val="false"/>
          <w:color w:val="000000"/>
          <w:sz w:val="24"/>
        </w:rPr>
        <w:t xml:space="preserve">shall mean an amount equal to (x) 100% of the sum of (A) the Base Salary in effect on the date of termination of the Executive's employment, plus (B) the full amount of the Target Bonus for the Executive for the year in which the Executive's employment is terminated, plus (y) any annual bonus earned by the Executive in respect of the year prior to the year in which the termination of the Executive's employment occurs, if not yet paid; </w:t>
      </w:r>
      <w:r>
        <w:rPr>
          <w:rFonts w:ascii="Times New Roman;serif" w:hAnsi="Times New Roman;serif"/>
          <w:b w:val="false"/>
          <w:color w:val="000000"/>
          <w:sz w:val="24"/>
          <w:u w:val="single"/>
        </w:rPr>
        <w:t>provided, however,</w:t>
      </w:r>
      <w:r>
        <w:rPr>
          <w:color w:val="000000"/>
        </w:rPr>
        <w:t xml:space="preserve"> </w:t>
      </w:r>
      <w:r>
        <w:rPr>
          <w:rFonts w:ascii="Times New Roman;serif" w:hAnsi="Times New Roman;serif"/>
          <w:b w:val="false"/>
          <w:color w:val="000000"/>
          <w:sz w:val="24"/>
        </w:rPr>
        <w:t>that if the Executive terminates the Executive's employment for Good Reason based on a reduction in Base Salary, then the Base Salary to be used in calculating the Severance Payment shall be the Base Salary in effect immediately prior to such reduction in Base Salary.</w:t>
      </w:r>
    </w:p>
    <w:p>
      <w:pPr>
        <w:pStyle w:val="TextBody"/>
        <w:bidi w:val="0"/>
        <w:spacing w:lineRule="auto" w:line="247" w:before="0" w:after="180"/>
        <w:ind w:left="0" w:right="0" w:firstLine="1076"/>
        <w:jc w:val="left"/>
        <w:rPr/>
      </w:pP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shall mean the target cash bonus for which the Executive is eligible on an annual basis, at a level consistent with the Executive's title and responsibilities, under the Company's bonus program then in effect and applicable to the Company's senior executives generally.</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 TERM OF EMPLOYMENT.</w:t>
      </w:r>
    </w:p>
    <w:p>
      <w:pPr>
        <w:pStyle w:val="TextBody"/>
        <w:bidi w:val="0"/>
        <w:spacing w:lineRule="auto" w:line="252" w:before="0" w:after="180"/>
        <w:ind w:left="0" w:right="0" w:firstLine="1083"/>
        <w:jc w:val="left"/>
        <w:rPr/>
      </w:pPr>
      <w:r>
        <w:rPr>
          <w:rFonts w:ascii="Times New Roman;serif" w:hAnsi="Times New Roman;serif"/>
          <w:b w:val="false"/>
          <w:color w:val="000000"/>
          <w:sz w:val="24"/>
        </w:rPr>
        <w:t>The Company hereby continues to employ the Executive, and the Executive hereby accepts such employment as of the Effective Date, continuing until termination in accordance with the terms of this Agreement. The period during which the Executive is employed hereunder is referred to in this Agreement as the "</w:t>
      </w:r>
      <w:r>
        <w:rPr>
          <w:rFonts w:ascii="Times New Roman;serif" w:hAnsi="Times New Roman;serif"/>
          <w:b w:val="false"/>
          <w:color w:val="000000"/>
          <w:sz w:val="24"/>
          <w:u w:val="single"/>
        </w:rPr>
        <w:t>term of employment.</w:t>
      </w:r>
      <w:r>
        <w:rPr>
          <w:rFonts w:ascii="Times New Roman;serif" w:hAnsi="Times New Roman;serif"/>
          <w:b w:val="false"/>
          <w:color w:val="000000"/>
          <w:sz w:val="24"/>
        </w:rPr>
        <w: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3. POSITION.</w:t>
      </w:r>
    </w:p>
    <w:p>
      <w:pPr>
        <w:pStyle w:val="TextBody"/>
        <w:bidi w:val="0"/>
        <w:spacing w:lineRule="auto" w:line="247" w:before="0" w:after="180"/>
        <w:ind w:left="0" w:right="0" w:firstLine="1083"/>
        <w:jc w:val="left"/>
        <w:rPr>
          <w:rFonts w:ascii="Times New Roman;serif" w:hAnsi="Times New Roman;serif"/>
          <w:b w:val="false"/>
          <w:color w:val="000000"/>
          <w:sz w:val="24"/>
        </w:rPr>
      </w:pPr>
      <w:r>
        <w:rPr>
          <w:rFonts w:ascii="Times New Roman;serif" w:hAnsi="Times New Roman;serif"/>
          <w:b w:val="false"/>
          <w:color w:val="000000"/>
          <w:sz w:val="24"/>
        </w:rPr>
        <w:t>On the Effective Date, the Executive will be employed as one of the Company's Executive Vice Presidents.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4. BASE SALARY.</w:t>
      </w:r>
    </w:p>
    <w:p>
      <w:pPr>
        <w:pStyle w:val="TextBody"/>
        <w:bidi w:val="0"/>
        <w:spacing w:lineRule="auto" w:line="247" w:before="0" w:after="180"/>
        <w:ind w:left="0" w:right="0" w:firstLine="1079"/>
        <w:jc w:val="left"/>
        <w:rPr>
          <w:rFonts w:ascii="Times New Roman;serif" w:hAnsi="Times New Roman;serif"/>
          <w:b w:val="false"/>
          <w:color w:val="000000"/>
          <w:sz w:val="24"/>
        </w:rPr>
      </w:pPr>
      <w:r>
        <w:rPr>
          <w:rFonts w:ascii="Times New Roman;serif" w:hAnsi="Times New Roman;serif"/>
          <w:b w:val="false"/>
          <w:color w:val="000000"/>
          <w:sz w:val="24"/>
        </w:rPr>
        <w:t>The Executive's annualized Base Salary as of the Effective Date will be $700,000, payable in accordance with the regular payroll practices of the Company. The Base Salary shall be reviewed no less frequently than annually, and any increases thereto (which shall thereafter be deemed the Executive's Base Salary) shall be solely within the discretion of the Board or the Compensation Committee.</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5. ANNUAL BONUS.</w:t>
      </w:r>
    </w:p>
    <w:p>
      <w:pPr>
        <w:pStyle w:val="TextBody"/>
        <w:bidi w:val="0"/>
        <w:spacing w:lineRule="auto" w:line="252" w:before="0" w:after="180"/>
        <w:ind w:left="0" w:right="0" w:firstLine="1082"/>
        <w:jc w:val="left"/>
        <w:rPr>
          <w:rFonts w:ascii="Times New Roman;serif" w:hAnsi="Times New Roman;serif"/>
          <w:b w:val="false"/>
          <w:color w:val="000000"/>
          <w:sz w:val="24"/>
        </w:rPr>
      </w:pPr>
      <w:r>
        <w:rPr>
          <w:rFonts w:ascii="Times New Roman;serif" w:hAnsi="Times New Roman;serif"/>
          <w:b w:val="false"/>
          <w:color w:val="000000"/>
          <w:sz w:val="24"/>
        </w:rPr>
        <w:t>During the term of employment, the Executive shall be eligible to participate in the Company's annual cash incentive compensation program applicable to the Company's senior executives generally, as any such programs are established and modified from time to time by the Board or the Compensation Committee in its sole discretion, and in accordance with the terms of such program, with a Target Bonus as determined by the Board or the Compensation Committee. The Target Bonus for fiscal year 2020 is 70% of Base Salary.</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6. EQUITY COMPENSATION PROGRAMS.</w:t>
      </w:r>
    </w:p>
    <w:p>
      <w:pPr>
        <w:pStyle w:val="TextBody"/>
        <w:bidi w:val="0"/>
        <w:spacing w:lineRule="auto" w:line="247" w:before="0" w:after="180"/>
        <w:ind w:left="0" w:right="0" w:firstLine="1077"/>
        <w:jc w:val="left"/>
        <w:rPr>
          <w:rFonts w:ascii="Times New Roman;serif" w:hAnsi="Times New Roman;serif"/>
          <w:b w:val="false"/>
          <w:color w:val="000000"/>
          <w:sz w:val="24"/>
        </w:rPr>
      </w:pPr>
      <w:r>
        <w:rPr>
          <w:rFonts w:ascii="Times New Roman;serif" w:hAnsi="Times New Roman;serif"/>
          <w:b w:val="false"/>
          <w:color w:val="000000"/>
          <w:sz w:val="24"/>
        </w:rPr>
        <w:t xml:space="preserve">During the term of employment, the Executive shall be eligible to participate in the Company's equity incentive compensation programs applicable to the Company's senior executives, as such programs may be established and modified from time to time by the Board or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180"/>
        <w:jc w:val="left"/>
        <w:rPr>
          <w:rFonts w:ascii="Times New Roman;serif" w:hAnsi="Times New Roman;serif"/>
          <w:b w:val="false"/>
          <w:color w:val="000000"/>
          <w:sz w:val="24"/>
        </w:rPr>
      </w:pPr>
      <w:r>
        <w:rPr>
          <w:rFonts w:ascii="Times New Roman;serif" w:hAnsi="Times New Roman;serif"/>
          <w:b w:val="false"/>
          <w:color w:val="000000"/>
          <w:sz w:val="24"/>
        </w:rPr>
        <w:t>the Compensation Committee in its sole discretion. Nothing in this Agreement shall preclude the Company from amending or terminating any of its equity incentive compensation plans, programs or arrangements.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7. EMPLOYEE BENEFIT PROGRAMS.</w:t>
      </w:r>
    </w:p>
    <w:p>
      <w:pPr>
        <w:pStyle w:val="TextBody"/>
        <w:bidi w:val="0"/>
        <w:spacing w:lineRule="auto" w:line="247" w:before="0" w:after="180"/>
        <w:ind w:left="0" w:right="0" w:firstLine="1082"/>
        <w:jc w:val="left"/>
        <w:rPr>
          <w:rFonts w:ascii="Times New Roman;serif" w:hAnsi="Times New Roman;serif"/>
          <w:b w:val="false"/>
          <w:color w:val="000000"/>
          <w:sz w:val="24"/>
        </w:rPr>
      </w:pPr>
      <w:r>
        <w:rPr>
          <w:rFonts w:ascii="Times New Roman;serif" w:hAnsi="Times New Roman;serif"/>
          <w:b w:val="false"/>
          <w:color w:val="000000"/>
          <w:sz w:val="24"/>
        </w:rPr>
        <w:t>During the term of employment, the Executive shall be entitled to participate in the Benefit Plans, as such Benefit Plans may be amended from time to time, to the same extent and on the same terms applicable to other senior executives. Nothing in this Agreement shall preclude the Company from amending or terminating any of the Benefit Plans.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8. VACATION.</w:t>
      </w:r>
    </w:p>
    <w:p>
      <w:pPr>
        <w:pStyle w:val="TextBody"/>
        <w:bidi w:val="0"/>
        <w:spacing w:lineRule="auto" w:line="247" w:before="0" w:after="180"/>
        <w:ind w:left="0" w:right="0" w:firstLine="1082"/>
        <w:jc w:val="left"/>
        <w:rPr>
          <w:rFonts w:ascii="Times New Roman;serif" w:hAnsi="Times New Roman;serif"/>
          <w:b w:val="false"/>
          <w:color w:val="000000"/>
          <w:sz w:val="24"/>
        </w:rPr>
      </w:pPr>
      <w:r>
        <w:rPr>
          <w:rFonts w:ascii="Times New Roman;serif" w:hAnsi="Times New Roman;serif"/>
          <w:b w:val="false"/>
          <w:color w:val="000000"/>
          <w:sz w:val="24"/>
        </w:rPr>
        <w:t>During the term of employment, the Executive shall be entitled to at least 20 paid vacation days each calendar year in accordance with the Company's vacation policy then in effect.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9. TERMINATION OF EMPLOYMENT.</w:t>
      </w:r>
    </w:p>
    <w:p>
      <w:pPr>
        <w:pStyle w:val="TextBody"/>
        <w:bidi w:val="0"/>
        <w:spacing w:lineRule="auto" w:line="252" w:before="0" w:after="180"/>
        <w:ind w:left="0" w:right="0" w:firstLine="1080"/>
        <w:jc w:val="left"/>
        <w:rPr/>
      </w:pPr>
      <w:r>
        <w:rPr>
          <w:rFonts w:ascii="Times New Roman;serif" w:hAnsi="Times New Roman;serif"/>
          <w:b w:val="false"/>
          <w:color w:val="000000"/>
          <w:sz w:val="24"/>
        </w:rPr>
        <w:t>(a)</w:t>
      </w:r>
      <w:r>
        <w:rPr>
          <w:rFonts w:ascii="Times New Roman;serif" w:hAnsi="Times New Roman;serif"/>
          <w:b/>
          <w:color w:val="000000"/>
          <w:sz w:val="24"/>
        </w:rPr>
        <w:t xml:space="preserve">Termination in Connection with a Change of Control. </w:t>
      </w:r>
      <w:r>
        <w:rPr>
          <w:rFonts w:ascii="Times New Roman;serif" w:hAnsi="Times New Roman;serif"/>
          <w:b w:val="false"/>
          <w:color w:val="000000"/>
          <w:sz w:val="24"/>
        </w:rPr>
        <w:t>To the extent the Executive is entitled, in connection with the Executive's termination of employment, to severance or other benefits under the Change of Control Agreement, the Executive shall not be entitled to any benefits under this Section 9.</w:t>
      </w:r>
    </w:p>
    <w:p>
      <w:pPr>
        <w:pStyle w:val="TextBody"/>
        <w:bidi w:val="0"/>
        <w:spacing w:lineRule="auto" w:line="252" w:before="0" w:after="180"/>
        <w:ind w:left="0" w:right="0" w:firstLine="1080"/>
        <w:jc w:val="left"/>
        <w:rPr/>
      </w:pPr>
      <w:r>
        <w:rPr>
          <w:rFonts w:ascii="Times New Roman;serif" w:hAnsi="Times New Roman;serif"/>
          <w:b w:val="false"/>
          <w:color w:val="000000"/>
          <w:sz w:val="24"/>
        </w:rPr>
        <w:t>(b)</w:t>
      </w:r>
      <w:r>
        <w:rPr>
          <w:rFonts w:ascii="Times New Roman;serif" w:hAnsi="Times New Roman;serif"/>
          <w:b/>
          <w:color w:val="000000"/>
          <w:sz w:val="24"/>
        </w:rPr>
        <w:t xml:space="preserve">Termination by the Company for Cause; or Termination by the Executive without Good Reason. </w:t>
      </w:r>
      <w:r>
        <w:rPr>
          <w:rFonts w:ascii="Times New Roman;serif" w:hAnsi="Times New Roman;serif"/>
          <w:b w:val="false"/>
          <w:color w:val="000000"/>
          <w:sz w:val="24"/>
        </w:rPr>
        <w:t>If the Company terminates the Executive's employment for Cause, or if the Executive terminates the Executive's employment, other than for Good Reason, death or Disability, the term of employment shall end as of the date specified below, and the Executive shall be entitled to the Accrued Benefits. Any equity awards held by the Executive on the date of termination shall be governed by the applicable equity plan, any applicable grant agreements and any applicable Company securities trading policies. Termination by the Company for Cause shall be effective as of the date specified in the notice of termination provided by the Company to the Executive. Te1mination by the Executive other than for Good Reason, death or Disability shall be effective upon 60 days' prior written notice to the Company. Other than as set forth expressly in this Section 9(b), the Company shall have no obligation or liability to the Executive.</w:t>
      </w:r>
    </w:p>
    <w:p>
      <w:pPr>
        <w:pStyle w:val="TextBody"/>
        <w:bidi w:val="0"/>
        <w:spacing w:lineRule="auto" w:line="252" w:before="0" w:after="180"/>
        <w:ind w:left="0" w:right="0" w:firstLine="1080"/>
        <w:jc w:val="left"/>
        <w:rPr/>
      </w:pPr>
      <w:r>
        <w:rPr>
          <w:rFonts w:ascii="Times New Roman;serif" w:hAnsi="Times New Roman;serif"/>
          <w:b w:val="false"/>
          <w:color w:val="000000"/>
          <w:sz w:val="24"/>
        </w:rPr>
        <w:t>(c)</w:t>
      </w:r>
      <w:r>
        <w:rPr>
          <w:rFonts w:ascii="Times New Roman;serif" w:hAnsi="Times New Roman;serif"/>
          <w:b/>
          <w:color w:val="000000"/>
          <w:sz w:val="24"/>
        </w:rPr>
        <w:t xml:space="preserve">Termination by the Company Without Cause; or Termination by the Executive for Good Reason. </w:t>
      </w:r>
      <w:r>
        <w:rPr>
          <w:rFonts w:ascii="Times New Roman;serif" w:hAnsi="Times New Roman;serif"/>
          <w:b w:val="false"/>
          <w:color w:val="000000"/>
          <w:sz w:val="24"/>
        </w:rPr>
        <w:t>If the Executive's employment is terminated by the Company without Cause (other than due to death or Disability), or is terminated by the Executive for Good Reason (in accordance with the notice and cure provisions set forth in the definition of "Good Reason" above), the Executive shall be entitled to the Accrued Benefits. In addition, the Executive shall be entitled to the following:</w:t>
      </w:r>
    </w:p>
    <w:p>
      <w:pPr>
        <w:pStyle w:val="TextBody"/>
        <w:bidi w:val="0"/>
        <w:spacing w:lineRule="auto" w:line="252" w:before="0" w:after="18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(i)    a lump sum cash payment to the Executive in an amount equal to the Severance Payment, payable within ten days after execution of the Release (defined below) and expiration, without revocation, of any applicable revocation periods under the Release, provided that if the 60-day period during which the Release is required to become effective and irrevocable begins in one calendar year and ends in another calendar year, the Severance Payment shall not be made before the first day of the second calendar year;</w:t>
      </w:r>
    </w:p>
    <w:p>
      <w:pPr>
        <w:pStyle w:val="TextBody"/>
        <w:bidi w:val="0"/>
        <w:spacing w:lineRule="auto" w:line="252" w:before="0" w:after="18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(ii)    if COBRA coverage is elected by the Executive, the Company shall pay the cost of insurance continuation premiums on the Executive's behalf (whether or not covered by COBRA) to continue standard medical, dental and life insurance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2" w:before="0" w:after="180"/>
        <w:jc w:val="left"/>
        <w:rPr>
          <w:rFonts w:ascii="Times New Roman;serif" w:hAnsi="Times New Roman;serif"/>
          <w:b w:val="false"/>
          <w:color w:val="000000"/>
          <w:sz w:val="24"/>
        </w:rPr>
      </w:pPr>
      <w:r>
        <w:rPr>
          <w:rFonts w:ascii="Times New Roman;serif" w:hAnsi="Times New Roman;serif"/>
          <w:b w:val="false"/>
          <w:color w:val="000000"/>
          <w:sz w:val="24"/>
        </w:rPr>
        <w:t>coverage for the Executive and the Executive's eligible dependents (or the cash equivalent of same in the event the Executive or the Executive's eligible dependents are ineligible for continued coverage), on a monthly basis, until the earlier of:</w:t>
      </w:r>
    </w:p>
    <w:p>
      <w:pPr>
        <w:pStyle w:val="TextBody"/>
        <w:bidi w:val="0"/>
        <w:spacing w:lineRule="auto" w:line="247" w:before="0" w:after="18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    the date 12 months after the date the Executive's employment is terminated; or</w:t>
      </w:r>
    </w:p>
    <w:p>
      <w:pPr>
        <w:pStyle w:val="TextBody"/>
        <w:bidi w:val="0"/>
        <w:spacing w:lineRule="auto" w:line="247" w:before="0" w:after="18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    the date, or dates, on which the Executive receives equivalent coverage and benefits under the plans, programs and/or arrangements of a subsequent employer (such coverage and benefits to be determined on a coverage-by-coverage or benefit-by-benefit basis).</w:t>
      </w:r>
    </w:p>
    <w:p>
      <w:pPr>
        <w:pStyle w:val="TextBody"/>
        <w:bidi w:val="0"/>
        <w:spacing w:lineRule="auto" w:line="247" w:before="0" w:after="180"/>
        <w:ind w:left="0" w:right="0" w:firstLine="1097"/>
        <w:jc w:val="left"/>
        <w:rPr>
          <w:rFonts w:ascii="Times New Roman;serif" w:hAnsi="Times New Roman;serif"/>
          <w:b w:val="false"/>
          <w:color w:val="000000"/>
          <w:sz w:val="24"/>
        </w:rPr>
      </w:pPr>
      <w:r>
        <w:rPr>
          <w:rFonts w:ascii="Times New Roman;serif" w:hAnsi="Times New Roman;serif"/>
          <w:b w:val="false"/>
          <w:color w:val="000000"/>
          <w:sz w:val="24"/>
        </w:rPr>
        <w:t>Other than as set forth expressly in this Section 9(c), the Company shall have no obligation or liability to the Executive.</w:t>
      </w:r>
    </w:p>
    <w:p>
      <w:pPr>
        <w:pStyle w:val="TextBody"/>
        <w:bidi w:val="0"/>
        <w:spacing w:lineRule="auto" w:line="252" w:before="0" w:after="180"/>
        <w:ind w:left="0" w:right="0" w:firstLine="1170"/>
        <w:jc w:val="left"/>
        <w:rPr/>
      </w:pPr>
      <w:r>
        <w:rPr>
          <w:rFonts w:ascii="Times New Roman;serif" w:hAnsi="Times New Roman;serif"/>
          <w:b w:val="false"/>
          <w:color w:val="000000"/>
          <w:sz w:val="24"/>
        </w:rPr>
        <w:t xml:space="preserve">(d) </w:t>
      </w:r>
      <w:r>
        <w:rPr>
          <w:rFonts w:ascii="Times New Roman;serif" w:hAnsi="Times New Roman;serif"/>
          <w:b/>
          <w:color w:val="000000"/>
          <w:sz w:val="24"/>
        </w:rPr>
        <w:t xml:space="preserve">Conditions to Severance. </w:t>
      </w:r>
      <w:r>
        <w:rPr>
          <w:rFonts w:ascii="Times New Roman;serif" w:hAnsi="Times New Roman;serif"/>
          <w:b w:val="false"/>
          <w:color w:val="000000"/>
          <w:sz w:val="24"/>
        </w:rPr>
        <w:t>Any payments and benefits provided under this Section 9, other than the Accrued Benefits, shall be subject to and in exchange for a general release of all claims against the Company, its subsidiaries, and their officers, directors, agents and representatives (the "</w:t>
      </w:r>
      <w:r>
        <w:rPr>
          <w:rFonts w:ascii="Times New Roman;serif" w:hAnsi="Times New Roman;serif"/>
          <w:b w:val="false"/>
          <w:color w:val="000000"/>
          <w:sz w:val="24"/>
          <w:u w:val="single"/>
        </w:rPr>
        <w:t>Release</w:t>
      </w:r>
      <w:r>
        <w:rPr>
          <w:rFonts w:ascii="Times New Roman;serif" w:hAnsi="Times New Roman;serif"/>
          <w:b w:val="false"/>
          <w:color w:val="000000"/>
          <w:sz w:val="24"/>
        </w:rPr>
        <w:t>"), which is executed by the Executive (or the Executive's estate, as applicable) and becomes enforceable and non-revocable within 60 days of the date of the Executive's termination of employment. Moreover, notwithstanding anything to the contrary in this Agreement, if at the time of the Executive's termination of employment, the Executive is a "specified employee" (as defined below), any payment of "nonqualified deferred compensation" (as defined under Section 409A of the Code, as amended, including the regulations thereunder ("</w:t>
      </w:r>
      <w:r>
        <w:rPr>
          <w:rFonts w:ascii="Times New Roman;serif" w:hAnsi="Times New Roman;serif"/>
          <w:b w:val="false"/>
          <w:color w:val="000000"/>
          <w:sz w:val="24"/>
          <w:u w:val="single"/>
        </w:rPr>
        <w:t>Section 409A</w:t>
      </w:r>
      <w:r>
        <w:rPr>
          <w:rFonts w:ascii="Times New Roman;serif" w:hAnsi="Times New Roman;serif"/>
          <w:b w:val="false"/>
          <w:color w:val="000000"/>
          <w:sz w:val="24"/>
        </w:rPr>
        <w:t>")) that is payable on a "separation from service" (as defined below) shall not commence until the first full business day that is six months and one day after the applicable separation from service (or, if earlier, the Executive's death) (the "</w:t>
      </w:r>
      <w:r>
        <w:rPr>
          <w:rFonts w:ascii="Times New Roman;serif" w:hAnsi="Times New Roman;serif"/>
          <w:b w:val="false"/>
          <w:color w:val="000000"/>
          <w:sz w:val="24"/>
          <w:u w:val="single"/>
        </w:rPr>
        <w:t>Deferred Payment Date</w:t>
      </w:r>
      <w:r>
        <w:rPr>
          <w:rFonts w:ascii="Times New Roman;serif" w:hAnsi="Times New Roman;serif"/>
          <w:b w:val="false"/>
          <w:color w:val="000000"/>
          <w:sz w:val="24"/>
        </w:rPr>
        <w:t>"); except (A) to the extent of amounts that do not constitute a deferral of compensation within the meaning of Treasury regulation Section 1.409A-1(b) (including without limitation by reason of the safe harbor set forth in Section l.409A-l(b)(9)(iii), as determined by the Company in its reasonable discretion); (B) benefits that qualify as excepted welfare benefits pursuant to Treasury regulation Section 1.409A-l(a)(5); or (C) other amounts or benefits that are not subject to the requirements of Section 409A. Any payments that would otherwise have been made between the separation from service and the Deferred Payment Date, but for this paragraph, shall be made in a lump sum on the Deferred Payment Date. For purposes of this Agreement, to the extent required to ensure compliance with Section 409A of the Code, all references to "termination of employment" and correlative phrases shall be construed to require a "separation from service" (as defined in Section l.409A-l(h) of the Treasury regulations, after giving effect to the presumptions contained therein), and the term "specified employee" means an individual determined by the Company to be a specified employee under Treasury regulation Section 1.409A-l(i).</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10. ASSIGNABILITY; BINDING NATURE.</w:t>
      </w:r>
    </w:p>
    <w:p>
      <w:pPr>
        <w:pStyle w:val="TextBody"/>
        <w:bidi w:val="0"/>
        <w:spacing w:lineRule="auto" w:line="252" w:before="0" w:after="180"/>
        <w:ind w:left="0" w:right="0" w:firstLine="1093"/>
        <w:jc w:val="left"/>
        <w:rPr/>
      </w:pPr>
      <w:r>
        <w:rPr>
          <w:rFonts w:ascii="Times New Roman;serif" w:hAnsi="Times New Roman;serif"/>
          <w:b w:val="false"/>
          <w:color w:val="000000"/>
          <w:sz w:val="24"/>
        </w:rPr>
        <w:t xml:space="preserve">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a merger or consolidation in which the Company is not the continuing entity, or the sale or liquidation of all or substantially all of the assets of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that the assignee or transferee is the successor to all or substantially all of the assets of the Company and such assignee or transferee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2" w:before="0" w:after="180"/>
        <w:jc w:val="left"/>
        <w:rPr>
          <w:rFonts w:ascii="Times New Roman;serif" w:hAnsi="Times New Roman;serif"/>
          <w:b w:val="false"/>
          <w:color w:val="000000"/>
          <w:sz w:val="24"/>
        </w:rPr>
      </w:pPr>
      <w:r>
        <w:rPr>
          <w:rFonts w:ascii="Times New Roman;serif" w:hAnsi="Times New Roman;serif"/>
          <w:b w:val="false"/>
          <w:color w:val="000000"/>
          <w:sz w:val="24"/>
        </w:rPr>
        <w:t>assumes the liabilities, obligations and duties of the Company, as contained in this Agreement, either contractually or as a matter of law.</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11. REPRESENTATIONS.</w:t>
      </w:r>
    </w:p>
    <w:p>
      <w:pPr>
        <w:pStyle w:val="TextBody"/>
        <w:bidi w:val="0"/>
        <w:spacing w:lineRule="auto" w:line="252" w:before="0" w:after="180"/>
        <w:ind w:left="0" w:right="0" w:firstLine="1084"/>
        <w:jc w:val="left"/>
        <w:rPr>
          <w:rFonts w:ascii="Times New Roman;serif" w:hAnsi="Times New Roman;serif"/>
          <w:b w:val="false"/>
          <w:color w:val="000000"/>
          <w:sz w:val="24"/>
        </w:rPr>
      </w:pPr>
      <w:r>
        <w:rPr>
          <w:rFonts w:ascii="Times New Roman;serif" w:hAnsi="Times New Roman;serif"/>
          <w:b w:val="false"/>
          <w:color w:val="000000"/>
          <w:sz w:val="24"/>
        </w:rPr>
        <w:t>The Company represents and warrants that it is fully authorized and empowered to enter into this Agreement, and that the performance of its obligations under this Agreement will not violate any agreement between it and any other person, firm or organization. The Executive represents and warrants that no agreement exists between the Executive and any other person, firm or organization that would be violated by the performance of the Executive's obligations under this Agreement.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12. INDEMNIFICATION; INSURANCE.</w:t>
      </w:r>
    </w:p>
    <w:p>
      <w:pPr>
        <w:pStyle w:val="TextBody"/>
        <w:bidi w:val="0"/>
        <w:spacing w:lineRule="auto" w:line="252" w:before="0" w:after="180"/>
        <w:ind w:left="0" w:right="0" w:firstLine="1078"/>
        <w:jc w:val="left"/>
        <w:rPr>
          <w:rFonts w:ascii="Times New Roman;serif" w:hAnsi="Times New Roman;serif"/>
          <w:b w:val="false"/>
          <w:color w:val="000000"/>
          <w:sz w:val="24"/>
        </w:rPr>
      </w:pPr>
      <w:r>
        <w:rPr>
          <w:rFonts w:ascii="Times New Roman;serif" w:hAnsi="Times New Roman;serif"/>
          <w:b w:val="false"/>
          <w:color w:val="000000"/>
          <w:sz w:val="24"/>
        </w:rPr>
        <w:t>The Executive shall at all times be indemnified and eligible for advancement of expenses on the same basis as is provided for the Company's other executive officers and in accordance with the provisions of the Company's charter and by-laws then in effect. The Executive shall also be covered under all of the Company's policies of liability insurance maintained for the benefit of its directors and officers on the same basis as is provided for its other executive officers.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13. ENTIRE AGREEMENT; TERMINATION.</w:t>
      </w:r>
    </w:p>
    <w:p>
      <w:pPr>
        <w:pStyle w:val="TextBody"/>
        <w:bidi w:val="0"/>
        <w:spacing w:lineRule="auto" w:line="252" w:before="0" w:after="180"/>
        <w:ind w:left="0" w:right="0" w:firstLine="1083"/>
        <w:jc w:val="left"/>
        <w:rPr>
          <w:rFonts w:ascii="Times New Roman;serif" w:hAnsi="Times New Roman;serif"/>
          <w:b w:val="false"/>
          <w:color w:val="000000"/>
          <w:sz w:val="24"/>
        </w:rPr>
      </w:pPr>
      <w:r>
        <w:rPr>
          <w:rFonts w:ascii="Times New Roman;serif" w:hAnsi="Times New Roman;serif"/>
          <w:b w:val="false"/>
          <w:color w:val="000000"/>
          <w:sz w:val="24"/>
        </w:rPr>
        <w:t>This Agreement, the agreements referenced herein and the Inventions Agreement previously entered into between the Executive and the Company contain the entire understanding and agreement between the Parties concerning the subject matter hereof and supersedes as of the Effective Date all prior agreements, understandings, discussions, negotiations and undertakings, whether written or oral, between the Parties with respect thereto and supersedes and terminates as of the Effective Date the offer letter dated July 21, 2017. Subject to the terms of this Agreement, the Company shall be entitled to terminate the Executive's employment at any time, and the Executive may terminate the Executive's employment by the Company, at any time subject to the provisions of Section 9(b) of this Agreement, in each case by written notice provided in accordance with Section 20 of this Agreement.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14. AMENDMENT OR WAIVER.</w:t>
      </w:r>
    </w:p>
    <w:p>
      <w:pPr>
        <w:pStyle w:val="TextBody"/>
        <w:bidi w:val="0"/>
        <w:spacing w:lineRule="auto" w:line="252" w:before="0" w:after="180"/>
        <w:ind w:left="0" w:right="0" w:firstLine="1089"/>
        <w:jc w:val="left"/>
        <w:rPr>
          <w:rFonts w:ascii="Times New Roman;serif" w:hAnsi="Times New Roman;serif"/>
          <w:b w:val="false"/>
          <w:color w:val="000000"/>
          <w:sz w:val="24"/>
        </w:rPr>
      </w:pPr>
      <w:r>
        <w:rPr>
          <w:rFonts w:ascii="Times New Roman;serif" w:hAnsi="Times New Roman;serif"/>
          <w:b w:val="false"/>
          <w:color w:val="000000"/>
          <w:sz w:val="24"/>
        </w:rPr>
        <w:t>No provision in this Agreement may be amended unless such amendment is agreed to in writing and signed by the Executive and an authorized officer of the Company provided that the Company may, without the Executive's consent, unilaterally adopt amendments that may be required so that this Agreement continues to comply with applicable law or regulations, including without limitation Section 409A.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15. SEVERABILITY.</w:t>
      </w:r>
    </w:p>
    <w:p>
      <w:pPr>
        <w:pStyle w:val="TextBody"/>
        <w:bidi w:val="0"/>
        <w:spacing w:lineRule="auto" w:line="252" w:before="0" w:after="180"/>
        <w:ind w:left="0" w:right="0" w:firstLine="1090"/>
        <w:jc w:val="left"/>
        <w:rPr>
          <w:rFonts w:ascii="Times New Roman;serif" w:hAnsi="Times New Roman;serif"/>
          <w:b w:val="false"/>
          <w:color w:val="000000"/>
          <w:sz w:val="24"/>
        </w:rPr>
      </w:pPr>
      <w:r>
        <w:rPr>
          <w:rFonts w:ascii="Times New Roman;serif" w:hAnsi="Times New Roman;serif"/>
          <w:b w:val="false"/>
          <w:color w:val="000000"/>
          <w:sz w:val="24"/>
        </w:rPr>
        <w:t>If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16. SURVIVORSHIP.</w:t>
      </w:r>
    </w:p>
    <w:p>
      <w:pPr>
        <w:pStyle w:val="TextBody"/>
        <w:bidi w:val="0"/>
        <w:spacing w:lineRule="auto" w:line="247" w:before="0" w:after="180"/>
        <w:ind w:left="0" w:right="0" w:firstLine="1088"/>
        <w:jc w:val="left"/>
        <w:rPr>
          <w:rFonts w:ascii="Times New Roman;serif" w:hAnsi="Times New Roman;serif"/>
          <w:b w:val="false"/>
          <w:color w:val="000000"/>
          <w:sz w:val="24"/>
        </w:rPr>
      </w:pPr>
      <w:r>
        <w:rPr>
          <w:rFonts w:ascii="Times New Roman;serif" w:hAnsi="Times New Roman;serif"/>
          <w:b w:val="false"/>
          <w:color w:val="000000"/>
          <w:sz w:val="24"/>
        </w:rPr>
        <w:t>The respective rights and obligations of the Parties hereunder shall survive any termination of the Executive's employment to the extent necessary to the intended preservation of such rights and obligations.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17. BENEFICIARIES/REFERENCES.</w:t>
      </w:r>
    </w:p>
    <w:p>
      <w:pPr>
        <w:pStyle w:val="TextBody"/>
        <w:bidi w:val="0"/>
        <w:spacing w:lineRule="auto" w:line="252" w:before="0" w:after="180"/>
        <w:ind w:left="0" w:right="0" w:firstLine="1093"/>
        <w:jc w:val="left"/>
        <w:rPr>
          <w:rFonts w:ascii="Times New Roman;serif" w:hAnsi="Times New Roman;serif"/>
          <w:b w:val="false"/>
          <w:color w:val="000000"/>
          <w:sz w:val="24"/>
        </w:rPr>
      </w:pPr>
      <w:r>
        <w:rPr>
          <w:rFonts w:ascii="Times New Roman;serif" w:hAnsi="Times New Roman;serif"/>
          <w:b w:val="false"/>
          <w:color w:val="000000"/>
          <w:sz w:val="24"/>
        </w:rPr>
        <w:t>The Executive shall be entitled, to the extent permitted under any applicable law, to select and change a beneficiary or beneficiaries to receive any compensation or benefit payable hereunder following the Executive's death by giving the Company written notice thereof. In the event of the Executive's death or a judicial determination of the Executive's incompetence, reference in this Agreement to the Executive shall be deemed, where appropriate, to refer to the Executive's beneficiary, estate or other legal representative.</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18. GOVERNING LAW/JURISDICTION.</w:t>
      </w:r>
    </w:p>
    <w:p>
      <w:pPr>
        <w:pStyle w:val="TextBody"/>
        <w:bidi w:val="0"/>
        <w:spacing w:lineRule="auto" w:line="252" w:before="0" w:after="180"/>
        <w:ind w:left="0" w:right="0" w:firstLine="1088"/>
        <w:jc w:val="both"/>
        <w:rPr>
          <w:rFonts w:ascii="Times New Roman;serif" w:hAnsi="Times New Roman;serif"/>
          <w:b w:val="false"/>
          <w:color w:val="000000"/>
          <w:sz w:val="24"/>
        </w:rPr>
      </w:pPr>
      <w:r>
        <w:rPr>
          <w:rFonts w:ascii="Times New Roman;serif" w:hAnsi="Times New Roman;serif"/>
          <w:b w:val="false"/>
          <w:color w:val="000000"/>
          <w:sz w:val="24"/>
        </w:rPr>
        <w:t>This Agreement shall be governed by and construed and interpreted in accordance with the laws of The Commonwealth of Massachusetts without reference to principles of conflict of laws.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19. RESOLUTION OF DISPUTES.</w:t>
      </w:r>
    </w:p>
    <w:p>
      <w:pPr>
        <w:pStyle w:val="TextBody"/>
        <w:bidi w:val="0"/>
        <w:spacing w:lineRule="auto" w:line="252" w:before="0" w:after="180"/>
        <w:ind w:left="0" w:right="0" w:firstLine="1089"/>
        <w:jc w:val="left"/>
        <w:rPr>
          <w:rFonts w:ascii="Times New Roman;serif" w:hAnsi="Times New Roman;serif"/>
          <w:b w:val="false"/>
          <w:color w:val="000000"/>
          <w:sz w:val="24"/>
        </w:rPr>
      </w:pPr>
      <w:r>
        <w:rPr>
          <w:rFonts w:ascii="Times New Roman;serif" w:hAnsi="Times New Roman;serif"/>
          <w:b w:val="false"/>
          <w:color w:val="000000"/>
          <w:sz w:val="24"/>
        </w:rPr>
        <w:t>Any disputes arising under or in connection with this Agreement will, at the election of the Executive or the Company, be resolved by binding arbitration, to be held in Massachusetts in accordance with the Rules and Procedures of the American Arbitration Association. If arbitration is elected, the Executive and the Company shall mutually select the arbitrator. If the Executive and the Company cannot agree on the selection of an arbitrator, each Party shall select an arbitrator and the two arbitrators shall select a third arbitrator, and the three arbitrators shall form an arbitration panel that shall resolve the dispute by majority vote. Judgment upon the award rendered by the arbitrator or arbitrators may be entered in any court having jurisdiction thereof. Costs of the arbitrator or arbitrators and other similar costs in connection with an arbitration shall be shared equally by the Parties; all other costs, such as attorneys' fees incurred by each Party, shall be borne by the Party incurring such costs.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20. NOTICES.</w:t>
      </w:r>
    </w:p>
    <w:p>
      <w:pPr>
        <w:pStyle w:val="TextBody"/>
        <w:bidi w:val="0"/>
        <w:spacing w:lineRule="auto" w:line="252" w:before="0" w:after="180"/>
        <w:ind w:left="0" w:right="0" w:firstLine="1093"/>
        <w:jc w:val="left"/>
        <w:rPr>
          <w:rFonts w:ascii="Times New Roman;serif" w:hAnsi="Times New Roman;serif"/>
          <w:b w:val="false"/>
          <w:color w:val="000000"/>
          <w:sz w:val="24"/>
        </w:rPr>
      </w:pPr>
      <w:r>
        <w:rPr>
          <w:rFonts w:ascii="Times New Roman;serif" w:hAnsi="Times New Roman;serif"/>
          <w:b w:val="false"/>
          <w:color w:val="000000"/>
          <w:sz w:val="24"/>
        </w:rPr>
        <w:t>All notices that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addressed as follows:</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to the Company:    Vertex Pharmaceuticals Incorporated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 Northern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 02210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Corporate Secretary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to the Executive:    at the Executive's home address listed in the Company records.</w:t>
      </w:r>
    </w:p>
    <w:p>
      <w:pPr>
        <w:pStyle w:val="TextBody"/>
        <w:bidi w:val="0"/>
        <w:spacing w:before="0" w:after="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2" w:before="0" w:after="180"/>
        <w:ind w:left="0" w:right="0" w:firstLine="1088"/>
        <w:jc w:val="left"/>
        <w:rPr>
          <w:rFonts w:ascii="Times New Roman;serif" w:hAnsi="Times New Roman;serif"/>
          <w:b w:val="false"/>
          <w:color w:val="000000"/>
          <w:sz w:val="24"/>
        </w:rPr>
      </w:pPr>
      <w:r>
        <w:rPr>
          <w:rFonts w:ascii="Times New Roman;serif" w:hAnsi="Times New Roman;serif"/>
          <w:b w:val="false"/>
          <w:color w:val="000000"/>
          <w:sz w:val="24"/>
        </w:rPr>
        <w:t>Any such notice shall be deemed to have been given: (a) when delivered if personally delivered or sent by facsimile on a business day; (b) on the business day after dispatch if sent by nationally-recognized overnight courier; and/or (c) on the fifth business day following the date of mailing if sent by mail.</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21. HEADINGS.</w:t>
      </w:r>
    </w:p>
    <w:p>
      <w:pPr>
        <w:pStyle w:val="TextBody"/>
        <w:bidi w:val="0"/>
        <w:spacing w:lineRule="auto" w:line="247" w:before="0" w:after="180"/>
        <w:ind w:left="0" w:right="0" w:firstLine="1089"/>
        <w:jc w:val="left"/>
        <w:rPr>
          <w:rFonts w:ascii="Times New Roman;serif" w:hAnsi="Times New Roman;serif"/>
          <w:b w:val="false"/>
          <w:color w:val="000000"/>
          <w:sz w:val="24"/>
        </w:rPr>
      </w:pPr>
      <w:r>
        <w:rPr>
          <w:rFonts w:ascii="Times New Roman;serif" w:hAnsi="Times New Roman;serif"/>
          <w:b w:val="false"/>
          <w:color w:val="000000"/>
          <w:sz w:val="24"/>
        </w:rPr>
        <w:t>The headings of the sections contained in this Agreement are for convenience only and shall not be deemed to control or affect the meaning or construction of any provision of this Agreement.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22. COUNTERPARTS.</w:t>
      </w:r>
    </w:p>
    <w:p>
      <w:pPr>
        <w:pStyle w:val="TextBody"/>
        <w:bidi w:val="0"/>
        <w:spacing w:lineRule="auto" w:line="268" w:before="0" w:after="180"/>
        <w:ind w:left="0" w:right="0" w:firstLine="1089"/>
        <w:jc w:val="left"/>
        <w:rPr>
          <w:rFonts w:ascii="Times New Roman;serif" w:hAnsi="Times New Roman;serif"/>
          <w:b w:val="false"/>
          <w:color w:val="000000"/>
          <w:sz w:val="24"/>
        </w:rPr>
      </w:pPr>
      <w:r>
        <w:rPr>
          <w:rFonts w:ascii="Times New Roman;serif" w:hAnsi="Times New Roman;serif"/>
          <w:b w:val="false"/>
          <w:color w:val="000000"/>
          <w:sz w:val="24"/>
        </w:rPr>
        <w:t>This Agreement may be executed in two or more counterparts.</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23. SECTION 409A OF THE CODE.</w:t>
      </w:r>
    </w:p>
    <w:p>
      <w:pPr>
        <w:pStyle w:val="TextBody"/>
        <w:bidi w:val="0"/>
        <w:spacing w:lineRule="auto" w:line="252" w:before="0" w:after="180"/>
        <w:ind w:left="0" w:right="0" w:firstLine="1085"/>
        <w:jc w:val="left"/>
        <w:rPr>
          <w:rFonts w:ascii="Times New Roman;serif" w:hAnsi="Times New Roman;serif"/>
          <w:b w:val="false"/>
          <w:color w:val="000000"/>
          <w:sz w:val="24"/>
        </w:rPr>
      </w:pPr>
      <w:r>
        <w:rPr>
          <w:rFonts w:ascii="Times New Roman;serif" w:hAnsi="Times New Roman;serif"/>
          <w:b w:val="false"/>
          <w:color w:val="000000"/>
          <w:sz w:val="24"/>
        </w:rPr>
        <w:t>It is the intention of the Company and the Executive that this Agreement and the payments provided for herein are either exempt from or meet the requirements of Section 409A. The Company and the Executive agree to cooperate in good faith in preparing and executing such amendments to this Agreement, if any, as the Company or the Executive may reasonably request solely for the purpose of assuring that this Agreement and the payments provided hereunder remain exempt from or meet the requirements of Section 409A, as applicable. Nothing in this Agreement shall require the Company to increase the Executive's compensation or make the Executive whole for any such changes. In no event, however, shall the Company have any liability relating to the failure or alleged failure of any payment or benefit under this Agreement to comply with, or be exempt from, the requirements of Section 409A.</w:t>
      </w:r>
    </w:p>
    <w:p>
      <w:pPr>
        <w:pStyle w:val="TextBody"/>
        <w:bidi w:val="0"/>
        <w:spacing w:lineRule="auto" w:line="252" w:before="0" w:after="180"/>
        <w:ind w:left="0" w:right="0" w:firstLine="1090"/>
        <w:jc w:val="left"/>
        <w:rPr>
          <w:rFonts w:ascii="Times New Roman;serif" w:hAnsi="Times New Roman;serif"/>
          <w:b w:val="false"/>
          <w:color w:val="000000"/>
          <w:sz w:val="24"/>
        </w:rPr>
      </w:pPr>
      <w:r>
        <w:rPr>
          <w:rFonts w:ascii="Times New Roman;serif" w:hAnsi="Times New Roman;serif"/>
          <w:b w:val="false"/>
          <w:color w:val="000000"/>
          <w:sz w:val="24"/>
        </w:rPr>
        <w:t>Each payment made under this Agreement shall be treated as a separate payment and the right to a series of installment payments under this Agreement is to be treated as a right to a series of separate payments. The Executive's right to payment or reimbursement for any expenses hereunder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pStyle w:val="TextBody"/>
        <w:bidi w:val="0"/>
        <w:spacing w:lineRule="auto" w:line="268" w:before="0" w:after="180"/>
        <w:jc w:val="left"/>
        <w:rPr>
          <w:rFonts w:ascii="Times New Roman;serif" w:hAnsi="Times New Roman;serif"/>
          <w:b w:val="false"/>
          <w:color w:val="000000"/>
          <w:sz w:val="24"/>
        </w:rPr>
      </w:pPr>
      <w:r>
        <w:rPr>
          <w:rFonts w:ascii="Times New Roman;serif" w:hAnsi="Times New Roman;serif"/>
          <w:b w:val="false"/>
          <w:color w:val="000000"/>
          <w:sz w:val="24"/>
        </w:rPr>
        <w:t>24. CLAWBACK.</w:t>
      </w:r>
    </w:p>
    <w:p>
      <w:pPr>
        <w:pStyle w:val="TextBody"/>
        <w:bidi w:val="0"/>
        <w:spacing w:lineRule="auto" w:line="252" w:before="0" w:after="180"/>
        <w:ind w:left="0" w:right="0" w:firstLine="1088"/>
        <w:jc w:val="left"/>
        <w:rPr>
          <w:rFonts w:ascii="Times New Roman;serif" w:hAnsi="Times New Roman;serif"/>
          <w:b w:val="false"/>
          <w:color w:val="000000"/>
          <w:sz w:val="24"/>
        </w:rPr>
      </w:pPr>
      <w:r>
        <w:rPr>
          <w:rFonts w:ascii="Times New Roman;serif" w:hAnsi="Times New Roman;serif"/>
          <w:b w:val="false"/>
          <w:color w:val="000000"/>
          <w:sz w:val="24"/>
        </w:rPr>
        <w:t>The payment of all amounts and the equity granted to the Executive by the Company pursuant to this Agreement or otherwise shall be subject to and shall be deemed amended hereby to incorporate any policy applicable to the executives of the Company adopted by the Company requiring the repayment of compensation paid or provided to the Executive.</w:t>
      </w:r>
    </w:p>
    <w:p>
      <w:pPr>
        <w:pStyle w:val="TextBody"/>
        <w:bidi w:val="0"/>
        <w:spacing w:lineRule="auto" w:line="252" w:before="0" w:after="180"/>
        <w:jc w:val="left"/>
        <w:rPr>
          <w:rFonts w:ascii="Times New Roman;serif" w:hAnsi="Times New Roman;serif"/>
          <w:b w:val="false"/>
          <w:color w:val="000000"/>
          <w:sz w:val="24"/>
        </w:rPr>
      </w:pPr>
      <w:r>
        <w:rPr>
          <w:rFonts w:ascii="Times New Roman;serif" w:hAnsi="Times New Roman;serif"/>
          <w:b w:val="false"/>
          <w:color w:val="000000"/>
          <w:sz w:val="24"/>
        </w:rPr>
        <w:t>25. TAX WITHHOLDING; NO GUARANTEE OF ANY TAX CONSEQUENCES.</w:t>
      </w:r>
    </w:p>
    <w:p>
      <w:pPr>
        <w:pStyle w:val="TextBody"/>
        <w:bidi w:val="0"/>
        <w:spacing w:lineRule="auto" w:line="247" w:before="0" w:after="180"/>
        <w:ind w:left="0" w:right="0" w:firstLine="1074"/>
        <w:jc w:val="left"/>
        <w:rPr>
          <w:rFonts w:ascii="Times New Roman;serif" w:hAnsi="Times New Roman;serif"/>
          <w:b w:val="false"/>
          <w:color w:val="000000"/>
          <w:sz w:val="24"/>
        </w:rPr>
      </w:pPr>
      <w:r>
        <w:rPr>
          <w:rFonts w:ascii="Times New Roman;serif" w:hAnsi="Times New Roman;serif"/>
          <w:b w:val="false"/>
          <w:color w:val="000000"/>
          <w:sz w:val="24"/>
        </w:rPr>
        <w:t>All payments hereunder shall be subject to all applicable withholding for any federal, state or local income taxes including any excise taxes under the Code. Notwithstanding any other provision of this Agreement to the contrary or other representation, the Company does not in any way guarantee the tax consequences of any payment or compensation under this Agreement including, without limitation, under Section 409A.</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180"/>
        <w:ind w:left="0" w:right="0" w:firstLine="107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this Agreement as of the date first written above.</w:t>
      </w:r>
    </w:p>
    <w:p>
      <w:pPr>
        <w:pStyle w:val="TextBody"/>
        <w:bidi w:val="0"/>
        <w:spacing w:before="0" w:after="180"/>
        <w:ind w:left="0" w:right="0" w:firstLine="1070"/>
        <w:jc w:val="left"/>
        <w:rPr/>
      </w:pPr>
      <w:r>
        <w:rPr/>
      </w:r>
    </w:p>
    <w:p>
      <w:pPr>
        <w:pStyle w:val="TextBody"/>
        <w:bidi w:val="0"/>
        <w:spacing w:lineRule="auto" w:line="247" w:before="0" w:after="180"/>
        <w:ind w:left="0" w:right="0" w:firstLine="1070"/>
        <w:jc w:val="left"/>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47" w:before="0" w:after="180"/>
        <w:ind w:left="0" w:right="0" w:firstLine="107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Reshma Kewalramani</w:t>
      </w:r>
    </w:p>
    <w:p>
      <w:pPr>
        <w:pStyle w:val="TextBody"/>
        <w:bidi w:val="0"/>
        <w:spacing w:lineRule="auto" w:line="268" w:before="0" w:after="180"/>
        <w:ind w:left="0" w:right="0" w:firstLine="4658"/>
        <w:jc w:val="left"/>
        <w:rPr>
          <w:rFonts w:ascii="Times New Roman;serif" w:hAnsi="Times New Roman;serif"/>
          <w:b w:val="false"/>
          <w:color w:val="000000"/>
          <w:sz w:val="24"/>
        </w:rPr>
      </w:pPr>
      <w:r>
        <w:rPr>
          <w:rFonts w:ascii="Times New Roman;serif" w:hAnsi="Times New Roman;serif"/>
          <w:b w:val="false"/>
          <w:color w:val="000000"/>
          <w:sz w:val="24"/>
        </w:rPr>
        <w:t>Name: Reshma Kewalramani</w:t>
      </w:r>
    </w:p>
    <w:p>
      <w:pPr>
        <w:pStyle w:val="TextBody"/>
        <w:bidi w:val="0"/>
        <w:spacing w:lineRule="auto" w:line="268" w:before="0" w:after="180"/>
        <w:ind w:left="0" w:right="0" w:firstLine="4658"/>
        <w:jc w:val="left"/>
        <w:rPr>
          <w:rFonts w:ascii="Times New Roman;serif" w:hAnsi="Times New Roman;serif"/>
          <w:b w:val="false"/>
          <w:color w:val="000000"/>
          <w:sz w:val="24"/>
        </w:rPr>
      </w:pPr>
      <w:r>
        <w:rPr>
          <w:rFonts w:ascii="Times New Roman;serif" w:hAnsi="Times New Roman;serif"/>
          <w:b w:val="false"/>
          <w:color w:val="000000"/>
          <w:sz w:val="24"/>
        </w:rPr>
        <w:t>Title: CEO and President</w:t>
      </w:r>
    </w:p>
    <w:p>
      <w:pPr>
        <w:pStyle w:val="TextBody"/>
        <w:bidi w:val="0"/>
        <w:spacing w:before="0" w:after="180"/>
        <w:jc w:val="left"/>
        <w:rPr/>
      </w:pPr>
      <w:r>
        <w:rPr/>
      </w:r>
    </w:p>
    <w:p>
      <w:pPr>
        <w:pStyle w:val="TextBody"/>
        <w:bidi w:val="0"/>
        <w:spacing w:lineRule="auto" w:line="268" w:before="0" w:after="180"/>
        <w:ind w:left="0" w:right="0" w:firstLine="466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lineRule="auto" w:line="268" w:before="0" w:after="180"/>
        <w:ind w:left="0" w:right="0" w:firstLine="466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Carmen Bozic</w:t>
      </w:r>
    </w:p>
    <w:p>
      <w:pPr>
        <w:pStyle w:val="TextBody"/>
        <w:bidi w:val="0"/>
        <w:spacing w:lineRule="auto" w:line="268" w:before="0" w:after="180"/>
        <w:ind w:left="0" w:right="0" w:firstLine="4658"/>
        <w:jc w:val="left"/>
        <w:rPr>
          <w:rFonts w:ascii="Times New Roman;serif" w:hAnsi="Times New Roman;serif"/>
          <w:b w:val="false"/>
          <w:color w:val="000000"/>
          <w:sz w:val="24"/>
        </w:rPr>
      </w:pPr>
      <w:r>
        <w:rPr>
          <w:rFonts w:ascii="Times New Roman;serif" w:hAnsi="Times New Roman;serif"/>
          <w:b w:val="false"/>
          <w:color w:val="000000"/>
          <w:sz w:val="24"/>
        </w:rPr>
        <w:t>Name: Carmen Bozic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10.43</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12382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10"/>
                    <a:stretch>
                      <a:fillRect/>
                    </a:stretch>
                  </pic:blipFill>
                  <pic:spPr bwMode="auto">
                    <a:xfrm>
                      <a:off x="0" y="0"/>
                      <a:ext cx="5943600" cy="12382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October 3, 2022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Carmen Bozic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RE: </w:t>
      </w:r>
      <w:r>
        <w:rPr>
          <w:rFonts w:ascii="Times New Roman;serif" w:hAnsi="Times New Roman;serif"/>
          <w:b w:val="false"/>
          <w:color w:val="000000"/>
          <w:sz w:val="22"/>
          <w:u w:val="single"/>
        </w:rPr>
        <w:t>Change of Control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Carmen: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2"/>
        </w:rPr>
        <w:t>You are a key member of the senior management team of Vertex Pharmaceuticals Incorporated (the "</w:t>
      </w:r>
      <w:r>
        <w:rPr>
          <w:rFonts w:ascii="Times New Roman;serif" w:hAnsi="Times New Roman;serif"/>
          <w:b w:val="false"/>
          <w:color w:val="000000"/>
          <w:sz w:val="22"/>
          <w:u w:val="single"/>
        </w:rPr>
        <w:t>Company</w:t>
      </w:r>
      <w:r>
        <w:rPr>
          <w:rFonts w:ascii="Times New Roman;serif" w:hAnsi="Times New Roman;serif"/>
          <w:b w:val="false"/>
          <w:color w:val="000000"/>
          <w:sz w:val="22"/>
        </w:rPr>
        <w:t>"). As a result, the Company would like to provide you with the following "change of control" benefits to help ensure that if the Company becomes involved in a "change of control" transaction, there will be no distraction from your attention to the needs of the Company.</w:t>
      </w:r>
    </w:p>
    <w:p>
      <w:pPr>
        <w:pStyle w:val="TextBody"/>
        <w:bidi w:val="0"/>
        <w:spacing w:lineRule="auto" w:line="288" w:before="0" w:after="180"/>
        <w:ind w:left="0" w:right="0" w:hanging="360"/>
        <w:jc w:val="left"/>
        <w:rPr/>
      </w:pPr>
      <w:r>
        <w:rPr>
          <w:rFonts w:ascii="Times New Roman;serif" w:hAnsi="Times New Roman;serif"/>
          <w:b w:val="false"/>
          <w:color w:val="000000"/>
          <w:sz w:val="22"/>
        </w:rPr>
        <w:t>I.</w:t>
      </w:r>
      <w:r>
        <w:rPr>
          <w:rFonts w:ascii="Times New Roman;serif" w:hAnsi="Times New Roman;serif"/>
          <w:b w:val="false"/>
          <w:i/>
          <w:color w:val="000000"/>
          <w:sz w:val="22"/>
        </w:rPr>
        <w:t>Definitions</w:t>
      </w:r>
      <w:r>
        <w:rPr>
          <w:rFonts w:ascii="Times New Roman;serif" w:hAnsi="Times New Roman;serif"/>
          <w:b w:val="false"/>
          <w:color w:val="000000"/>
          <w:sz w:val="22"/>
        </w:rPr>
        <w:t>.    For the purposes of this Change of Control Agreement (this “Agreement”), capitalized terms used herein shall have the following meanings:</w:t>
      </w:r>
    </w:p>
    <w:p>
      <w:pPr>
        <w:pStyle w:val="TextBody"/>
        <w:bidi w:val="0"/>
        <w:spacing w:lineRule="auto" w:line="288" w:before="0" w:after="180"/>
        <w:ind w:left="0" w:right="0" w:hanging="360"/>
        <w:jc w:val="left"/>
        <w:rPr/>
      </w:pPr>
      <w:r>
        <w:rPr>
          <w:rFonts w:ascii="Times New Roman;serif" w:hAnsi="Times New Roman;serif"/>
          <w:b w:val="false"/>
          <w:color w:val="000000"/>
          <w:sz w:val="22"/>
        </w:rPr>
        <w:t>1.</w:t>
      </w:r>
      <w:r>
        <w:rPr>
          <w:color w:val="000000"/>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(a)    your conviction of a crime involving moral turpitude;</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(b)    your willful refusal or failure to follow a lawful directive or instruction of the Company's Board of Directors or the individual(s) to whom you report, provided that you receive prior written notice of the directive(s) or instruction(s) that you failed to follow, and provided further that the Company, in good faith, gives you 30 days to correct such failure and further provided that if you correct the failure(s), any termination of your employment on account of such failure shall not be treated for purposes of this Agreement as a termination of employment for "Cause";</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 xml:space="preserve">(c)    your material breach of the Company's insider trading policy or of any provision of the Employment Agreement entered into between you and the Company on the date hereof (the "Employment Agreement") or the agreement between you and the Company entitled "Employee Non-Disclosure, Non-Competition and Inventions Agreement" dated as of April 4, 2019 (the "Inventions Agreement"); or </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(d)    your breach of the code of conduct or any other material policy of the Company or any of its affiliates that is damaging to the financial condition or reputation of the Company or any of its affiliates.</w:t>
      </w:r>
    </w:p>
    <w:p>
      <w:pPr>
        <w:pStyle w:val="TextBody"/>
        <w:bidi w:val="0"/>
        <w:spacing w:lineRule="auto" w:line="288" w:before="0" w:after="180"/>
        <w:ind w:left="0" w:right="0" w:hanging="36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 “Change of Control” shall mean that:</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 xml:space="preserve">(a)    any "person" or "group" as such terms are used in Sections 13(d) and 14(d)(2) of the Securities Exchange Act of 1934, as amended (the "Act"), becomes a beneficial owner, as such term is used in Rule 13d-3 promulgated under the Act, of securities of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the Company representing more than 50% of the combined voting power of the outstanding securities of the Company having the right to vote in the election of directors; or</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(b)    all or substantially all the business or assets of the Company are sold or disposed of, or the Company or a subsidiary of the Company combines with another company pursuant to a merger, consolidation, or other similar transaction, other than (i) a transaction solely for the purpose of reincorporating the Company or one of its subsidiaries in a different jurisdiction or recapitalizing or reclassifying the Company's stock; or (ii) a merger or consolidation in which the shareholders of the Company immediately prior to such merger or consolidation continue to own at least a majority of the outstanding voting securities of the Company or the surviving entity immediately after such merger or consolidation.</w:t>
      </w:r>
    </w:p>
    <w:p>
      <w:pPr>
        <w:pStyle w:val="TextBody"/>
        <w:bidi w:val="0"/>
        <w:spacing w:lineRule="auto" w:line="288" w:before="0" w:after="180"/>
        <w:ind w:left="0" w:right="0" w:hanging="36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w:t>
      </w:r>
    </w:p>
    <w:p>
      <w:pPr>
        <w:pStyle w:val="TextBody"/>
        <w:bidi w:val="0"/>
        <w:spacing w:lineRule="auto" w:line="288" w:before="0" w:after="180"/>
        <w:ind w:left="0" w:right="0" w:hanging="36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pStyle w:val="TextBody"/>
        <w:bidi w:val="0"/>
        <w:spacing w:lineRule="auto" w:line="288" w:before="0" w:after="180"/>
        <w:ind w:left="0" w:right="0" w:hanging="36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shall mean one of the following events has occurred without your consent:</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(a)    you suffer a material reduction in the authorities, duties or job title and responsibilities associated with your position as an Executive Vice President of the Company;</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(b)    your annual base salary is decreased;</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(c)    the office to which you are assigned is relocated to a place 35 or more miles away; or</w:t>
      </w:r>
    </w:p>
    <w:p>
      <w:pPr>
        <w:pStyle w:val="TextBody"/>
        <w:bidi w:val="0"/>
        <w:spacing w:lineRule="auto" w:line="288" w:before="0" w:after="18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(d)    following a Change of Control, the Company's successor fails to assume the Company's rights and obligations under this Agreement;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provided that Good Reason shall not exist unless and until within 30 days after the event giving rise to Good Reason under (a), (b), (c) or (d) above has occurred, you deliver a written termination notice to the Company stating that an event giving rise to Good Reason has occurred and identifying with reasonable detail the event that you assert constitutes Good Reason under (a), (b), (c) or (d) above and the Company fails or refuses to cure or eliminate the event giving rise to Good Reason on or within 30 days after receiving your notice. To avoid doubt, the termination of your employment will become effective at the close of business on the thirtieth day after the Company receives your termination notice, unless the Company cures or eliminates the event giving rise to Good Reason prior to such time.</w:t>
      </w:r>
    </w:p>
    <w:p>
      <w:pPr>
        <w:pStyle w:val="TextBody"/>
        <w:bidi w:val="0"/>
        <w:spacing w:lineRule="auto" w:line="288" w:before="0" w:after="180"/>
        <w:ind w:left="0" w:right="0" w:hanging="36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shall mean the last day of your employment with the Company.</w:t>
      </w:r>
    </w:p>
    <w:p>
      <w:pPr>
        <w:pStyle w:val="TextBody"/>
        <w:bidi w:val="0"/>
        <w:spacing w:lineRule="auto" w:line="288" w:before="0" w:after="180"/>
        <w:jc w:val="left"/>
        <w:rPr/>
      </w:pPr>
      <w:r>
        <w:rPr>
          <w:rFonts w:ascii="Times New Roman;serif" w:hAnsi="Times New Roman;serif"/>
          <w:b w:val="false"/>
          <w:color w:val="000000"/>
          <w:sz w:val="22"/>
        </w:rPr>
        <w:t xml:space="preserve">II. </w:t>
      </w:r>
      <w:r>
        <w:rPr>
          <w:rFonts w:ascii="Times New Roman;serif" w:hAnsi="Times New Roman;serif"/>
          <w:b w:val="false"/>
          <w:i/>
          <w:color w:val="000000"/>
          <w:sz w:val="22"/>
        </w:rPr>
        <w:t>Severance Benefits upon Change of Control</w:t>
      </w:r>
      <w:r>
        <w:rPr>
          <w:rFonts w:ascii="Times New Roman;serif" w:hAnsi="Times New Roman;serif"/>
          <w:b w:val="false"/>
          <w:color w:val="000000"/>
          <w:sz w:val="22"/>
        </w:rPr>
        <w:t>. If:</w:t>
      </w:r>
    </w:p>
    <w:p>
      <w:pPr>
        <w:pStyle w:val="TextBody"/>
        <w:bidi w:val="0"/>
        <w:spacing w:lineRule="auto" w:line="288" w:before="0" w:after="18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    your employment is terminated by the Company (except for termination for Cause or due to a Disability or death) and the Termination date is within 90 days prior to a Change of Control or within 12 months after a Change of Control; or</w:t>
      </w:r>
    </w:p>
    <w:p>
      <w:pPr>
        <w:pStyle w:val="TextBody"/>
        <w:bidi w:val="0"/>
        <w:spacing w:lineRule="auto" w:line="288" w:before="0" w:after="18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    you (i) terminate your employment for Good Reason (in accordance with the notice and cure provisions set forth in Section I.5 above) and (ii) the event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giving rise to Good Reason occurs within 90 days prior to a Change of Control or within 12 months after a Change of Control;</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then, you shall receive the following benefits:</w:t>
      </w:r>
    </w:p>
    <w:p>
      <w:pPr>
        <w:pStyle w:val="TextBody"/>
        <w:bidi w:val="0"/>
        <w:spacing w:lineRule="auto" w:line="288" w:before="0" w:after="180"/>
        <w:ind w:left="0" w:right="0" w:hanging="540"/>
        <w:jc w:val="left"/>
        <w:rPr/>
      </w:pPr>
      <w:r>
        <w:rPr>
          <w:rFonts w:ascii="Times New Roman;serif" w:hAnsi="Times New Roman;serif"/>
          <w:b w:val="false"/>
          <w:color w:val="000000"/>
          <w:sz w:val="22"/>
        </w:rPr>
        <w:t>1</w:t>
      </w:r>
      <w:r>
        <w:rPr>
          <w:rFonts w:ascii="Times New Roman;serif" w:hAnsi="Times New Roman;serif"/>
          <w:b w:val="false"/>
          <w:i/>
          <w:color w:val="000000"/>
          <w:sz w:val="22"/>
        </w:rPr>
        <w:t>.    Severance Payment</w:t>
      </w:r>
      <w:r>
        <w:rPr>
          <w:rFonts w:ascii="Times New Roman;serif" w:hAnsi="Times New Roman;serif"/>
          <w:b w:val="false"/>
          <w:color w:val="000000"/>
          <w:sz w:val="22"/>
        </w:rPr>
        <w:t>. In exchange for your execution of a general release, in a form satisfactory to the Company, of all claims against the Company, its subsidiaries, and its and their officers, directors and representatives, that becomes enforceable and irrevocable within the 60-day period following the Termination Date, the Company shall make a cash payment (the "</w:t>
      </w:r>
      <w:r>
        <w:rPr>
          <w:rFonts w:ascii="Times New Roman;serif" w:hAnsi="Times New Roman;serif"/>
          <w:b w:val="false"/>
          <w:color w:val="000000"/>
          <w:sz w:val="22"/>
          <w:u w:val="single"/>
        </w:rPr>
        <w:t>Severance Payment</w:t>
      </w:r>
      <w:r>
        <w:rPr>
          <w:rFonts w:ascii="Times New Roman;serif" w:hAnsi="Times New Roman;serif"/>
          <w:b w:val="false"/>
          <w:color w:val="000000"/>
          <w:sz w:val="22"/>
        </w:rPr>
        <w:t>") to you in an amount equal to the sum of:</w:t>
      </w:r>
    </w:p>
    <w:p>
      <w:pPr>
        <w:pStyle w:val="TextBody"/>
        <w:bidi w:val="0"/>
        <w:spacing w:lineRule="auto" w:line="288" w:before="0" w:after="180"/>
        <w:ind w:left="0" w:right="0" w:hanging="810"/>
        <w:jc w:val="left"/>
        <w:rPr>
          <w:rFonts w:ascii="Times New Roman;serif" w:hAnsi="Times New Roman;serif"/>
          <w:b w:val="false"/>
          <w:color w:val="000000"/>
          <w:sz w:val="22"/>
        </w:rPr>
      </w:pPr>
      <w:r>
        <w:rPr>
          <w:rFonts w:ascii="Times New Roman;serif" w:hAnsi="Times New Roman;serif"/>
          <w:b w:val="false"/>
          <w:color w:val="000000"/>
          <w:sz w:val="22"/>
        </w:rPr>
        <w:t>(a)    (i) your annual base salary (provided, however, that if you terminate your employment for Good Reason based on a reduction in your annual base salary, then the annual base salary to be used in calculating the Severance Payment shall be your annual base salary in effect immediately prior to such reduction in annual base salary) plus (ii) your target bonus under any bonus program applicable to you for the year in which the Termination Date occurs; plus</w:t>
      </w:r>
    </w:p>
    <w:p>
      <w:pPr>
        <w:pStyle w:val="TextBody"/>
        <w:bidi w:val="0"/>
        <w:spacing w:lineRule="auto" w:line="288" w:before="0" w:after="180"/>
        <w:ind w:left="0" w:right="0" w:hanging="810"/>
        <w:jc w:val="left"/>
        <w:rPr>
          <w:rFonts w:ascii="Times New Roman;serif" w:hAnsi="Times New Roman;serif"/>
          <w:b w:val="false"/>
          <w:color w:val="000000"/>
          <w:sz w:val="22"/>
        </w:rPr>
      </w:pPr>
      <w:r>
        <w:rPr>
          <w:rFonts w:ascii="Times New Roman;serif" w:hAnsi="Times New Roman;serif"/>
          <w:b w:val="false"/>
          <w:color w:val="000000"/>
          <w:sz w:val="22"/>
        </w:rPr>
        <w:t>(b)    a pro rata p01tion of your target bonus for the portion of the year in which the Termination Date occurs under any bonus program applicable to you, calculated based on the number of days you were employed during such year; plus</w:t>
      </w:r>
    </w:p>
    <w:p>
      <w:pPr>
        <w:pStyle w:val="TextBody"/>
        <w:bidi w:val="0"/>
        <w:spacing w:lineRule="auto" w:line="288" w:before="0" w:after="180"/>
        <w:ind w:left="0" w:right="0" w:hanging="810"/>
        <w:jc w:val="left"/>
        <w:rPr>
          <w:rFonts w:ascii="Times New Roman;serif" w:hAnsi="Times New Roman;serif"/>
          <w:b w:val="false"/>
          <w:color w:val="000000"/>
          <w:sz w:val="22"/>
        </w:rPr>
      </w:pPr>
      <w:r>
        <w:rPr>
          <w:rFonts w:ascii="Times New Roman;serif" w:hAnsi="Times New Roman;serif"/>
          <w:b w:val="false"/>
          <w:color w:val="000000"/>
          <w:sz w:val="22"/>
        </w:rPr>
        <w:t>(c)    all other cash incentive compensation awards earned by you but not paid prior to the Termination Date; provided that, if a fiscal year has been completed and the incentive award for such fiscal year has not been determined, the incentive compensation for such completed fiscal year shall equal the target bonus for such fiscal year.</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Except with respect to any portion of the Severance Payment that is delayed as set forth in this paragraph, the Severance Payment shall be made in cash within ten days after the execution by you of the general release referred to above and expiration without revocation of any applicable revocation periods under such general release (or, if the Change of Control resulting in your becoming entitled to such benefits occurs after such execution and expiration, within ten days after the Change of Control), provided that, if the 60-day period during which the general release is required to become effective and irrevocable begins in one calendar year and ends in another calendar year, the Severance Payment shall not be made before the first day of the second calendar year.</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If you are a "specified employee" (as defined below) on the Termination Date, the commencement of the delivery of any such payments that constitute nonqualified deferred compensation payable upon a "separation from service" (as defined below) will be delayed until the first business day that is more than six months after your Termination Date. The determination of whether, and the extent to which, any of the payments to be made to you hereunder are nonqualified deferred compensation shall be made after the application of all applicable exclusions, including those set forth under Treasury Reg. § l.409A-l(b)(9) and Treasury Reg.§ l.409A-l(a)(5). For purposes of this Agreement, to the extent required to ensure compliance with Section 409A of the Code, all references to "termination of employment" and correlative phrases shall be construed to require a "separation from service" (as defined in Treasury Reg. §l.409A-l(h) after giving effect to the presumptions contained therein), and the term "specified employee" means an individual determined by the Company to be a specified employee under Treasury Reg. §l.409A-l(i). Each payment made under this Agreement shall be treated as a separate payment and the right to a series of installment payments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Agreement is to be treated as a right to a series of separate payments. Your right to payment or reimbursement for any expenses hereunder that would constitute nonqualified deferred compensation subject to Section 409A of the Code will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pStyle w:val="TextBody"/>
        <w:bidi w:val="0"/>
        <w:spacing w:lineRule="auto" w:line="288" w:before="0" w:after="180"/>
        <w:ind w:left="0" w:right="0" w:hanging="540"/>
        <w:jc w:val="left"/>
        <w:rPr>
          <w:rFonts w:ascii="Times New Roman;serif" w:hAnsi="Times New Roman;serif"/>
          <w:b w:val="false"/>
          <w:i/>
          <w:color w:val="000000"/>
          <w:sz w:val="22"/>
        </w:rPr>
      </w:pPr>
      <w:r>
        <w:rPr>
          <w:rFonts w:ascii="Times New Roman;serif" w:hAnsi="Times New Roman;serif"/>
          <w:b w:val="false"/>
          <w:i/>
          <w:color w:val="000000"/>
          <w:sz w:val="22"/>
        </w:rPr>
        <w:t>2.    Accelerated Vesting.</w:t>
      </w:r>
    </w:p>
    <w:p>
      <w:pPr>
        <w:pStyle w:val="TextBody"/>
        <w:bidi w:val="0"/>
        <w:spacing w:lineRule="auto" w:line="288" w:before="0" w:after="18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(a)    On the Termination Date, stock options for the purchase of the Company's securities held by you as of the Termination Date and not then vested and exercisable shall immediately become vested and exercisable in full. The options to which this accelerated vesting applies shall remain exercisable until the earlier of (i) the end of the 90-day period immediately following the later of (i) the Termination Date or (ii) the date of the Change of Control and (b) the date the stock option(s) would otherwise expire; and</w:t>
      </w:r>
    </w:p>
    <w:p>
      <w:pPr>
        <w:pStyle w:val="TextBody"/>
        <w:bidi w:val="0"/>
        <w:spacing w:lineRule="auto" w:line="288" w:before="0" w:after="18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(b)    On the Termination Date, each outstanding restricted stock unit grant shall be accelerated and the Shares shall be delivered to you within two business days (subject to (i) your making satisfactory arrangements with the Company providing for the payment to the Company of all required withholding taxes and (ii) with the number of shares subject to the restricted stock unit grants that contain performance criteria vesting at target or, if the applicable perfo1mance criteria have already been certified, based on earned shares or units as set forth in the applicable restricted stock unit grant agreement).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If your employment terminates during the 90-day period prior to a Change of Control, the accelerated vesting and settlement, if applicable, set forth above shall become effective immediately prior to such Change of Control. Notwithstanding anything to the contrary in this Agreement, the terms of any option agreement or restricted stock unit agreement shall govern the acceleration, if any, of vesting and period of exercisability of such awards, as applicable, except to the extent that the terms of this Agreement are more favorable to you.</w:t>
      </w:r>
    </w:p>
    <w:p>
      <w:pPr>
        <w:pStyle w:val="TextBody"/>
        <w:bidi w:val="0"/>
        <w:spacing w:lineRule="auto" w:line="288" w:before="0" w:after="180"/>
        <w:ind w:left="0" w:right="0" w:hanging="540"/>
        <w:jc w:val="left"/>
        <w:rPr/>
      </w:pPr>
      <w:r>
        <w:rPr>
          <w:rFonts w:ascii="Times New Roman;serif" w:hAnsi="Times New Roman;serif"/>
          <w:b w:val="false"/>
          <w:color w:val="000000"/>
          <w:sz w:val="22"/>
        </w:rPr>
        <w:t>3.    </w:t>
      </w:r>
      <w:r>
        <w:rPr>
          <w:rFonts w:ascii="Times New Roman;serif" w:hAnsi="Times New Roman;serif"/>
          <w:b w:val="false"/>
          <w:i/>
          <w:color w:val="000000"/>
          <w:sz w:val="22"/>
        </w:rPr>
        <w:t>Continued Insurance Coverage</w:t>
      </w:r>
      <w:r>
        <w:rPr>
          <w:rFonts w:ascii="Times New Roman;serif" w:hAnsi="Times New Roman;serif"/>
          <w:b w:val="false"/>
          <w:color w:val="000000"/>
          <w:sz w:val="22"/>
        </w:rPr>
        <w:t>. If COBRA coverage is elected by you, the Company shall pay the cost of insurance continuation premiums on your behalf (whether or not covered by COBRA) to continue standard medical, dental and life insurance coverage for you (or the cash equivalent of same if you are ineligible for continued coverage), on a monthly basis, until the earlier of (i) the date 12 months after the Termination Date or (ii) the date you begin receiving substantially equivalent coverage and benefits through a subsequent employer.</w:t>
      </w:r>
    </w:p>
    <w:p>
      <w:pPr>
        <w:pStyle w:val="TextBody"/>
        <w:bidi w:val="0"/>
        <w:spacing w:lineRule="auto" w:line="288" w:before="0" w:after="180"/>
        <w:ind w:left="0" w:right="0" w:hanging="540"/>
        <w:jc w:val="left"/>
        <w:rPr/>
      </w:pPr>
      <w:r>
        <w:rPr>
          <w:rFonts w:ascii="Times New Roman;serif" w:hAnsi="Times New Roman;serif"/>
          <w:b w:val="false"/>
          <w:color w:val="000000"/>
          <w:sz w:val="22"/>
        </w:rPr>
        <w:t>4</w:t>
      </w:r>
      <w:r>
        <w:rPr>
          <w:rFonts w:ascii="Times New Roman;serif" w:hAnsi="Times New Roman;serif"/>
          <w:b w:val="false"/>
          <w:i/>
          <w:color w:val="000000"/>
          <w:sz w:val="22"/>
        </w:rPr>
        <w:t>.    No Mitigation</w:t>
      </w:r>
      <w:r>
        <w:rPr>
          <w:rFonts w:ascii="Times New Roman;serif" w:hAnsi="Times New Roman;serif"/>
          <w:b w:val="false"/>
          <w:color w:val="000000"/>
          <w:sz w:val="22"/>
        </w:rPr>
        <w:t>. You shall not be required to mitigate the amount of the Severance Payment or any other benefit provided under this Agreement by seeking other employment or otherwise, nor shall the amount of any payment or benefit provided for in this Agreement be reduced (except as provided in Article II Section 3(ii)) by any compensation earned by you as the result of other employment, by retirement benefits, or be offset against any amount claimed to be owed by you to the Company or otherwise (except for any required withholding taxes); provided, that if the Company makes any other severance payments to you under any other program or agreement, including the Employment Agreement, such amounts shall be offset against the payments the Company is obligated to make pursuant to this Agreement.</w:t>
      </w:r>
    </w:p>
    <w:p>
      <w:pPr>
        <w:pStyle w:val="TextBody"/>
        <w:bidi w:val="0"/>
        <w:spacing w:lineRule="auto" w:line="288" w:before="0" w:after="180"/>
        <w:jc w:val="left"/>
        <w:rPr/>
      </w:pPr>
      <w:r>
        <w:rPr>
          <w:rFonts w:ascii="Times New Roman;serif" w:hAnsi="Times New Roman;serif"/>
          <w:b w:val="false"/>
          <w:color w:val="000000"/>
          <w:sz w:val="22"/>
        </w:rPr>
        <w:t>III</w:t>
      </w:r>
      <w:r>
        <w:rPr>
          <w:rFonts w:ascii="Times New Roman;serif" w:hAnsi="Times New Roman;serif"/>
          <w:b w:val="false"/>
          <w:i/>
          <w:color w:val="000000"/>
          <w:sz w:val="22"/>
        </w:rPr>
        <w:t>.    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900"/>
        <w:jc w:val="left"/>
        <w:rPr/>
      </w:pPr>
      <w:r>
        <w:rPr>
          <w:rFonts w:ascii="Times New Roman;serif" w:hAnsi="Times New Roman;serif"/>
          <w:b w:val="false"/>
          <w:color w:val="000000"/>
          <w:sz w:val="22"/>
        </w:rPr>
        <w:t>1</w:t>
      </w:r>
      <w:r>
        <w:rPr>
          <w:rFonts w:ascii="Times New Roman;serif" w:hAnsi="Times New Roman;serif"/>
          <w:b w:val="false"/>
          <w:i/>
          <w:color w:val="000000"/>
          <w:sz w:val="22"/>
        </w:rPr>
        <w:t>.    Employee's Obligations</w:t>
      </w:r>
      <w:r>
        <w:rPr>
          <w:rFonts w:ascii="Times New Roman;serif" w:hAnsi="Times New Roman;serif"/>
          <w:b w:val="false"/>
          <w:color w:val="000000"/>
          <w:sz w:val="22"/>
        </w:rPr>
        <w:t>. Upon termination of employment, you shall promptly deliver to the Company all property of the Company and all material documents, statistics, account records, programs and other similar tangible items which may by in your possession or under your control and which relate to the business or affairs of the Company or its subsidiaries, and no copies of any such documents or any part thereof shall be retained by you.</w:t>
      </w:r>
    </w:p>
    <w:p>
      <w:pPr>
        <w:pStyle w:val="TextBody"/>
        <w:bidi w:val="0"/>
        <w:spacing w:lineRule="auto" w:line="288" w:before="0" w:after="180"/>
        <w:ind w:left="0" w:right="0" w:hanging="900"/>
        <w:jc w:val="left"/>
        <w:rPr/>
      </w:pPr>
      <w:r>
        <w:rPr>
          <w:rFonts w:ascii="Times New Roman;serif" w:hAnsi="Times New Roman;serif"/>
          <w:b w:val="false"/>
          <w:color w:val="000000"/>
          <w:sz w:val="22"/>
        </w:rPr>
        <w:t>2.</w:t>
      </w:r>
      <w:r>
        <w:rPr>
          <w:color w:val="000000"/>
        </w:rPr>
        <w:t>    </w:t>
      </w:r>
      <w:r>
        <w:rPr>
          <w:rFonts w:ascii="Times New Roman;serif" w:hAnsi="Times New Roman;serif"/>
          <w:b w:val="false"/>
          <w:i/>
          <w:color w:val="000000"/>
          <w:sz w:val="22"/>
        </w:rPr>
        <w:t>Entire Agreement</w:t>
      </w:r>
      <w:r>
        <w:rPr>
          <w:rFonts w:ascii="Times New Roman;serif" w:hAnsi="Times New Roman;serif"/>
          <w:b w:val="false"/>
          <w:color w:val="000000"/>
          <w:sz w:val="22"/>
        </w:rPr>
        <w:t>. This Agreement, the Employment Agreement and the Inventions Agreement executed by you covers the entire understanding of the parties as to the subject matter hereof, superseding all prior understandings and agreements related hereto. No modification or amendment of the terms and conditions of this Agreement shall be effective unless in writing and signed by the parties or their respective duly authorized agents, provided, however, that the Company may, without your consent, unilaterally adopt amendments that may be required so that this Agreement continues to comply with applicable law or regulation, including without limitation Section 409A of the Code, provided such amendments do not adversely affect the benefits to be provided to you under Section II of this Agreement. In no event shall the Company have any liability relating to the failure or alleged failure of any payment or benefit under this Agreement to comply with or be exempt from, the requirements of Section 409A of the Code.</w:t>
      </w:r>
    </w:p>
    <w:p>
      <w:pPr>
        <w:pStyle w:val="TextBody"/>
        <w:bidi w:val="0"/>
        <w:spacing w:lineRule="auto" w:line="288" w:before="0" w:after="180"/>
        <w:ind w:left="0" w:right="0" w:hanging="900"/>
        <w:jc w:val="left"/>
        <w:rPr/>
      </w:pPr>
      <w:r>
        <w:rPr>
          <w:rFonts w:ascii="Times New Roman;serif" w:hAnsi="Times New Roman;serif"/>
          <w:b w:val="false"/>
          <w:color w:val="000000"/>
          <w:sz w:val="22"/>
        </w:rPr>
        <w:t>3.</w:t>
      </w:r>
      <w:r>
        <w:rPr>
          <w:color w:val="000000"/>
        </w:rPr>
        <w:t>    </w:t>
      </w:r>
      <w:r>
        <w:rPr>
          <w:rFonts w:ascii="Times New Roman;serif" w:hAnsi="Times New Roman;serif"/>
          <w:b w:val="false"/>
          <w:i/>
          <w:color w:val="000000"/>
          <w:sz w:val="22"/>
        </w:rPr>
        <w:t>Governing Law</w:t>
      </w:r>
      <w:r>
        <w:rPr>
          <w:rFonts w:ascii="Times New Roman;serif" w:hAnsi="Times New Roman;serif"/>
          <w:b w:val="false"/>
          <w:color w:val="000000"/>
          <w:sz w:val="22"/>
        </w:rPr>
        <w:t>. This Agreement shall be governed by the laws of The Commonwealth of Massachusetts, as applied to contracts entered into and performed entirely in Massachusetts by Massachusetts residents.</w:t>
      </w:r>
    </w:p>
    <w:p>
      <w:pPr>
        <w:pStyle w:val="TextBody"/>
        <w:bidi w:val="0"/>
        <w:spacing w:lineRule="auto" w:line="288" w:before="0" w:after="180"/>
        <w:ind w:left="0" w:right="0" w:hanging="900"/>
        <w:jc w:val="left"/>
        <w:rPr/>
      </w:pPr>
      <w:r>
        <w:rPr>
          <w:rFonts w:ascii="Times New Roman;serif" w:hAnsi="Times New Roman;serif"/>
          <w:b w:val="false"/>
          <w:color w:val="000000"/>
          <w:sz w:val="22"/>
        </w:rPr>
        <w:t>4.</w:t>
      </w:r>
      <w:r>
        <w:rPr>
          <w:color w:val="000000"/>
        </w:rPr>
        <w:t>    </w:t>
      </w:r>
      <w:r>
        <w:rPr>
          <w:rFonts w:ascii="Times New Roman;serif" w:hAnsi="Times New Roman;serif"/>
          <w:b w:val="false"/>
          <w:i/>
          <w:color w:val="000000"/>
          <w:sz w:val="22"/>
        </w:rPr>
        <w:t xml:space="preserve">Successors and Assigns. </w:t>
      </w:r>
      <w:r>
        <w:rPr>
          <w:rFonts w:ascii="Times New Roman;serif" w:hAnsi="Times New Roman;serif"/>
          <w:b w:val="false"/>
          <w:color w:val="000000"/>
          <w:sz w:val="22"/>
        </w:rPr>
        <w:t>This Agreement may be assigned by the Company upon a sale, transfer or reorganization of the Company. Upon a Change of Control, the Company shall require the successor to assume the Company's rights and obligations under this Agreement. The Company's failure to do so shall constitute Good Reason and a material breach of this Agreement. This Agreement shall be binding upon and inure to the benefit of the parties hereto and their successors, permitted assigns, legal representatives and heirs.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Kindly indicate your acceptance of the foregoing by signing and dating this Agreement as noted below, and returning one fully executed original to my attention.</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Vertex Pharmaceuticals Incorporated</w:t>
      </w:r>
    </w:p>
    <w:p>
      <w:pPr>
        <w:pStyle w:val="TextBody"/>
        <w:bidi w:val="0"/>
        <w:spacing w:lineRule="auto" w:line="288" w:before="0" w:after="18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Reshma Kewalramani    </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Name: Reshma Kewalramani</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Title: CEO and President</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lineRule="auto" w:line="288" w:before="0" w:after="18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Carmen Bozic    </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Carmen Bozic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10.44</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center"/>
        <w:rPr>
          <w:rFonts w:ascii="Times New Roman;serif" w:hAnsi="Times New Roman;serif"/>
          <w:b/>
          <w:color w:val="000000"/>
          <w:sz w:val="22"/>
        </w:rPr>
      </w:pPr>
      <w:r>
        <w:rPr>
          <w:rFonts w:ascii="Times New Roman;serif" w:hAnsi="Times New Roman;serif"/>
          <w:b/>
          <w:color w:val="000000"/>
          <w:sz w:val="22"/>
        </w:rPr>
        <w:t>Vertex Employee Compensation Plan</w:t>
      </w:r>
    </w:p>
    <w:p>
      <w:pPr>
        <w:pStyle w:val="TextBody"/>
        <w:bidi w:val="0"/>
        <w:spacing w:before="0" w:after="120"/>
        <w:jc w:val="left"/>
        <w:rPr/>
      </w:pPr>
      <w:r>
        <w:rPr/>
      </w:r>
    </w:p>
    <w:p>
      <w:pPr>
        <w:pStyle w:val="TextBody"/>
        <w:bidi w:val="0"/>
        <w:spacing w:lineRule="auto" w:line="276"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an annual basis, the Management Development and Compensation Committee of our Board of Directors adopts an employee compensation plan for our officers and other employees, including our named executive officers, together with performance goals for that fiscal year. The plan addresses three components of employee compensation—base salary, performance bonuses, which serve as short-term incentives, and equity grants, which serve as long-term incentives—that are designed to motivate, reward and retain employees by aligning compensation with the achievement of strategic corporate goals. </w:t>
      </w:r>
    </w:p>
    <w:p>
      <w:pPr>
        <w:pStyle w:val="TextBody"/>
        <w:bidi w:val="0"/>
        <w:spacing w:lineRule="auto" w:line="288"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Upon completion of each performance period (usually a calendar year), our Board of Directors assigns a performance rating on the basis of achievement of goals for the company set by the Board, in consultation with our chief executive officer, early in the performance period. The amount available for payment of performance bonuses is established on the basis of this performance rating, and is allocated to employees on the basis of salary tier and individual performance rating. Each executive officer’s base salary is reviewed annually and, when appropriate, increases are recommended to maintain competitiveness relative to peer benchmarks and in consideration of each executive officer’s role scope and contributions. Merit increases to base salaries for other employees are made on the basis of individual performance rating. Annual equity grants, made in the form of restricted and performance stock units, are made on the basis of grade level, individual performance and expected future contributions.</w:t>
      </w:r>
    </w:p>
    <w:p>
      <w:pPr>
        <w:pStyle w:val="TextBody"/>
        <w:bidi w:val="0"/>
        <w:spacing w:lineRule="auto" w:line="288"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of Directors retains broad discretion to determine the appropriate form and level of compensation, particularly for our executives, on the basis of its assessment of our executives, the demand for talent, our performance and other factors. Key corporate performance factors generally include, among other things, achievement of regulatory and commercialization goals, research and development productivity, enhancements of organizational capabilities, financial goals, manufacturing, quality and operations, and other aspects of our performance. We reserve the right to modify the plan, and the key corporate performance factors and criteria under the plan, at any time.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Vertex Pharmaceuticals Incorporated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(San Diego) LLC, a Delaware limited liability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(Distribution) Incorporated, a Delaware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Limited, a Cayman Islands company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(Delaware) LLC, a Delaware limited liability company</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(Puerto Rico)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(Canada) Incorporated, a Canadian company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Holdings, Inc., a Delaware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(Europe) Limited, a United Kingdom company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(Ireland) Limited, an Irish company (5)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(France) SAS, a French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(Germany) GmbH, a German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(Australia) Pty. Ltd., an Australian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(Spain), S.L., a Spanish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(Netherlands) B.V., a Dutch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(Italy) S.r.L., an Italian company</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Farmaceutica do Brasil LTDA, a Brazilian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GmbH, an Austrian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Vertex Pharmaceuticals (Portugal), Unipessoal Lda., a Portuguese company (5)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(CH) GmbH, a Swiss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(Sweden) AB, a Sweden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Single Member Societe Anonyme, a Greek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Vertex Pharmaceuticals (Poland) sp. z.o.o., a Polish company (5)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Vertex Foundation, Inc., a Delaware corporation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Torreyana Insurance Company, Inc., a Vermont corporation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(Czech Republic) s.r.o, a Czech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(Belgium) BV, a Belgian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Limited d.o.o. Beograd, a Serbian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Company for Services and Trade VERTEX PHARMACEUTICALS DOOEL Skopje, a North Macedonian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Plum Cove Capital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ViaCyte, Inc., a Delaware corporation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(Chile) SpA, a Chilean company (5)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Holdings U.S. LLC, a Delaware limited liability company (2)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Vertex Pharmaceuticals Mexico, S. de R.L. de C.V., a Mexican company (2)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UK Holdings Limited, a United Kingdom company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Alpine Immune Sciences, Inc., a Delaware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AIS Operating Co., Inc., a Delaware corporation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Alpine Immune Sciences Australia Pty Ltd, an Australian Company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Vertex Pharmaceuticals LLC, a Saudi Arabian Company (3)</w: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(1) a subsidiary of Vertex Pharmaceuticals (Delaware) LLC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(2) a subsidiary of Vertex Holdings, Inc.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(3) a subsidiary of Vertex Holdings U.S. LLC</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 a subsidiary of Vertex Pharmaceuticals UK Holdings Limited</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(5) a subsidiary of Vertex Pharmaceuticals (Europe) Limited</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(6) a subsidiary of ViaCyte, Inc.</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(7) a subsidiary of Alpine Immune Sciences,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180"/>
        <w:jc w:val="right"/>
        <w:rPr/>
      </w:pPr>
      <w:r>
        <w:rPr/>
      </w:r>
    </w:p>
    <w:p>
      <w:pPr>
        <w:pStyle w:val="TextBody"/>
        <w:bidi w:val="0"/>
        <w:spacing w:lineRule="auto" w:line="331" w:before="0" w:after="18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lineRule="auto" w:line="331"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following Registration Statements: </w:t>
      </w:r>
    </w:p>
    <w:p>
      <w:pPr>
        <w:pStyle w:val="TextBody"/>
        <w:bidi w:val="0"/>
        <w:spacing w:lineRule="auto" w:line="331"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(1)Registration Statement (Form S-3 No. 333-284917) of Vertex Pharmaceuticals Incorporated, </w:t>
      </w:r>
    </w:p>
    <w:p>
      <w:pPr>
        <w:pStyle w:val="TextBody"/>
        <w:bidi w:val="0"/>
        <w:spacing w:lineRule="auto" w:line="331"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(2)Registration Statements (Form S-8 Nos. 333-134482, 333-150946, 333-160442, 333-166803 and 333-184787) pertaining to the Vertex Pharmaceuticals Incorporated Amended and Restated 2006 Stock and Option Plan (formerly known as the Vertex Pharmaceuticals Incorporated 2006 Stock and Option Plan), </w:t>
      </w:r>
    </w:p>
    <w:p>
      <w:pPr>
        <w:pStyle w:val="TextBody"/>
        <w:bidi w:val="0"/>
        <w:spacing w:lineRule="auto" w:line="331"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(3)Registration Statements (Form S-8 Nos. 333-184784 and 333-232945) pertaining to the Vertex Pharmaceuticals Incorporated Employee Stock Purchase Plan, and</w:t>
      </w:r>
    </w:p>
    <w:p>
      <w:pPr>
        <w:pStyle w:val="TextBody"/>
        <w:bidi w:val="0"/>
        <w:spacing w:lineRule="auto" w:line="331"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(4)Registration Statements (Form S-8 Nos. 333-188737, 333-197466, 333-206075, 333-219559, 333-226363, 333-232948 and 333-266582) pertaining to the Amended and Restated Vertex Pharmaceuticals Incorporated 2013 Stock and Option Plan (formerly known as the Vertex Pharmaceuticals Incorporated 2013 Stock and Option Plan); </w:t>
      </w:r>
    </w:p>
    <w:p>
      <w:pPr>
        <w:pStyle w:val="TextBody"/>
        <w:bidi w:val="0"/>
        <w:spacing w:lineRule="auto" w:line="331" w:before="0" w:after="18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13, 2026, with respect to the consolidated financial statements of Vertex Pharmaceuticals Incorporated and the effectiveness of internal control over financial reporting of Vertex Pharmaceuticals Incorporated, included in this Annual Report (Form 10-K) of Vertex Pharmaceuticals Incorporated for the year ended December 31, 2025.</w:t>
      </w:r>
    </w:p>
    <w:p>
      <w:pPr>
        <w:pStyle w:val="TextBody"/>
        <w:bidi w:val="0"/>
        <w:spacing w:lineRule="auto" w:line="331" w:before="0" w:after="180"/>
        <w:jc w:val="both"/>
        <w:rPr>
          <w:color w:val="000000"/>
        </w:rPr>
      </w:pPr>
      <w:r>
        <w:rPr>
          <w:color w:val="000000"/>
        </w:rPr>
        <w:t>        </w:t>
      </w: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Boston, Massachusetts </w:t>
      </w:r>
    </w:p>
    <w:p>
      <w:pPr>
        <w:pStyle w:val="TextBody"/>
        <w:bidi w:val="0"/>
        <w:spacing w:lineRule="auto" w:line="331"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1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45" w:before="100" w:after="283"/>
        <w:jc w:val="left"/>
        <w:rPr>
          <w:rFonts w:ascii="Times New Roman;serif" w:hAnsi="Times New Roman;serif"/>
          <w:b w:val="false"/>
          <w:color w:val="000000"/>
          <w:sz w:val="20"/>
        </w:rPr>
      </w:pPr>
      <w:r>
        <w:rPr>
          <w:rFonts w:ascii="Times New Roman;serif" w:hAnsi="Times New Roman;serif"/>
          <w:b w:val="false"/>
          <w:color w:val="000000"/>
          <w:sz w:val="20"/>
        </w:rPr>
        <w:t>I, Reshma Kewalramani, certify that:</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Vertex Pharmaceuticals Incorporated;</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54"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45" w:before="100" w:after="40"/>
              <w:jc w:val="left"/>
              <w:rPr>
                <w:rFonts w:ascii="Times New Roman;serif" w:hAnsi="Times New Roman;serif"/>
                <w:b w:val="false"/>
                <w:color w:val="000000"/>
                <w:sz w:val="20"/>
              </w:rPr>
            </w:pPr>
            <w:r>
              <w:rPr>
                <w:rFonts w:ascii="Times New Roman;serif" w:hAnsi="Times New Roman;serif"/>
                <w:b w:val="false"/>
                <w:color w:val="000000"/>
                <w:sz w:val="20"/>
              </w:rPr>
              <w:t>Reshma Kewalramani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Charles F. Wagner, Jr.,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Vertex Pharmaceuticals Incorporated;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8"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1608"/>
        <w:gridCol w:w="1608"/>
        <w:gridCol w:w="22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CEO/CFO CERTIFICATION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tbl>
      <w:tblPr>
        <w:tblW w:w="7677"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1607"/>
        <w:gridCol w:w="1607"/>
        <w:gridCol w:w="227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345" w:before="100" w:after="283"/>
              <w:jc w:val="left"/>
              <w:rPr>
                <w:rFonts w:ascii="Times New Roman;serif" w:hAnsi="Times New Roman;serif"/>
                <w:b w:val="false"/>
                <w:color w:val="000000"/>
                <w:sz w:val="20"/>
              </w:rPr>
            </w:pPr>
            <w:r>
              <w:rPr>
                <w:rFonts w:ascii="Times New Roman;serif" w:hAnsi="Times New Roman;serif"/>
                <w:b w:val="false"/>
                <w:color w:val="000000"/>
                <w:sz w:val="20"/>
              </w:rPr>
              <w:t>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hyperlink" Target="https://www.sec.gov/Archives/edgar/data/875320/000087532025000053/a10k_2024-exhibit32.htm" TargetMode="External"/><Relationship Id="rId16" Type="http://schemas.openxmlformats.org/officeDocument/2006/relationships/hyperlink" Target="https://www.sec.gov/Archives/edgar/data/875320/000087532018000009/a10k2017exhibit41.htm" TargetMode="External"/><Relationship Id="rId17" Type="http://schemas.openxmlformats.org/officeDocument/2006/relationships/hyperlink" Target="https://www.sec.gov/Archives/edgar/data/875320/000087532025000053/a10k_2024-exhibit42.htm" TargetMode="External"/><Relationship Id="rId18" Type="http://schemas.openxmlformats.org/officeDocument/2006/relationships/hyperlink" Target="https://www.sec.gov/Archives/edgar/data/0000875320/000087532021000033/a2021q310-qexhibit101.htm" TargetMode="External"/><Relationship Id="rId19" Type="http://schemas.openxmlformats.org/officeDocument/2006/relationships/hyperlink" Target="https://www.sec.gov/Archives/edgar/data/0000875320/000087532021000033/a2021q310-qexhibit101.htm" TargetMode="External"/><Relationship Id="rId20" Type="http://schemas.openxmlformats.org/officeDocument/2006/relationships/hyperlink" Target="https://www.sec.gov/Archives/edgar/data/0000875320/000087532021000033/a2021q310-qexhibit101.htm" TargetMode="External"/><Relationship Id="rId21" Type="http://schemas.openxmlformats.org/officeDocument/2006/relationships/hyperlink" Target="https://www.sec.gov/Archives/edgar/data/0000875320/000087532021000033/a2021q310-qexhibit102.htm" TargetMode="External"/><Relationship Id="rId22" Type="http://schemas.openxmlformats.org/officeDocument/2006/relationships/hyperlink" Target="https://www.sec.gov/Archives/edgar/data/0000875320/000087532021000033/a2021q310-qexhibit102.htm" TargetMode="External"/><Relationship Id="rId23" Type="http://schemas.openxmlformats.org/officeDocument/2006/relationships/hyperlink" Target="https://www.sec.gov/Archives/edgar/data/0000875320/000087532021000033/a2021q310-qexhibit102.htm" TargetMode="External"/><Relationship Id="rId24" Type="http://schemas.openxmlformats.org/officeDocument/2006/relationships/hyperlink" Target="https://www.sec.gov/Archives/edgar/data/875320/000110465911047955/a11-13893_4ex10d6.htm" TargetMode="External"/><Relationship Id="rId25" Type="http://schemas.openxmlformats.org/officeDocument/2006/relationships/hyperlink" Target="https://www.sec.gov/Archives/edgar/data/875320/000110465911047955/a11-13893_4ex10d6.htm" TargetMode="External"/><Relationship Id="rId26" Type="http://schemas.openxmlformats.org/officeDocument/2006/relationships/hyperlink" Target="https://www.sec.gov/Archives/edgar/data/875320/000110465911047955/a11-13893_4ex10d6.htm" TargetMode="External"/><Relationship Id="rId27" Type="http://schemas.openxmlformats.org/officeDocument/2006/relationships/hyperlink" Target="https://www.sec.gov/Archives/edgar/data/0000875320/000087532021000033/a2021q310-qexhibit103.htm" TargetMode="External"/><Relationship Id="rId28" Type="http://schemas.openxmlformats.org/officeDocument/2006/relationships/hyperlink" Target="https://www.sec.gov/Archives/edgar/data/0000875320/000087532021000033/a2021q310-qexhibit103.htm" TargetMode="External"/><Relationship Id="rId29" Type="http://schemas.openxmlformats.org/officeDocument/2006/relationships/hyperlink" Target="https://www.sec.gov/Archives/edgar/data/0000875320/000087532021000033/a2021q310-qexhibit103.htm" TargetMode="External"/><Relationship Id="rId30" Type="http://schemas.openxmlformats.org/officeDocument/2006/relationships/hyperlink" Target="https://www.sec.gov/Archives/edgar/data/0000875320/000087532021000033/a2021q310-qexhibit104.htm" TargetMode="External"/><Relationship Id="rId31" Type="http://schemas.openxmlformats.org/officeDocument/2006/relationships/hyperlink" Target="https://www.sec.gov/Archives/edgar/data/0000875320/000087532021000033/a2021q310-qexhibit104.htm" TargetMode="External"/><Relationship Id="rId32" Type="http://schemas.openxmlformats.org/officeDocument/2006/relationships/hyperlink" Target="https://www.sec.gov/Archives/edgar/data/0000875320/000087532021000033/a2021q310-qexhibit104.htm" TargetMode="External"/><Relationship Id="rId33" Type="http://schemas.openxmlformats.org/officeDocument/2006/relationships/hyperlink" Target="https://www.sec.gov/Archives/edgar/data/0000875320/000087532021000027/a2021q210-qexhibit101.htm" TargetMode="External"/><Relationship Id="rId34" Type="http://schemas.openxmlformats.org/officeDocument/2006/relationships/hyperlink" Target="https://www.sec.gov/Archives/edgar/data/0000875320/000087532021000027/a2021q210-qexhibit101.htm" TargetMode="External"/><Relationship Id="rId35" Type="http://schemas.openxmlformats.org/officeDocument/2006/relationships/hyperlink" Target="https://www.sec.gov/Archives/edgar/data/0000875320/000087532021000027/a2021q210-qexhibit101.htm" TargetMode="External"/><Relationship Id="rId36" Type="http://schemas.openxmlformats.org/officeDocument/2006/relationships/hyperlink" Target="https://www.sec.gov/Archives/edgar/data/0000875320/000087532021000027/a2021q210-qexhibit101.htm" TargetMode="External"/><Relationship Id="rId37" Type="http://schemas.openxmlformats.org/officeDocument/2006/relationships/hyperlink" Target="https://www.sec.gov/Archives/edgar/data/875320/000087532024000062/a10k_2023-exhibit107.htm" TargetMode="External"/><Relationship Id="rId38" Type="http://schemas.openxmlformats.org/officeDocument/2006/relationships/hyperlink" Target="https://www.sec.gov/Archives/edgar/data/875320/000087532024000062/a10k_2023-exhibit107.htm" TargetMode="External"/><Relationship Id="rId39" Type="http://schemas.openxmlformats.org/officeDocument/2006/relationships/hyperlink" Target="https://www.sec.gov/Archives/edgar/data/875320/000087532024000062/a10k_2023-exhibit107.htm" TargetMode="External"/><Relationship Id="rId40" Type="http://schemas.openxmlformats.org/officeDocument/2006/relationships/hyperlink" Target="https://www.sec.gov/Archives/edgar/data/875320/000087532024000062/a10k_2023-exhibit107.htm" TargetMode="External"/><Relationship Id="rId41" Type="http://schemas.openxmlformats.org/officeDocument/2006/relationships/hyperlink" Target="https://www.sec.gov/Archives/edgar/data/875320/000087532024000062/a10k_2023-exhibit107.htm" TargetMode="External"/><Relationship Id="rId42" Type="http://schemas.openxmlformats.org/officeDocument/2006/relationships/hyperlink" Target="https://www.sec.gov/Archives/edgar/data/0000875320/000087532021000027/a2021q210-qexhibit102.htm" TargetMode="External"/><Relationship Id="rId43" Type="http://schemas.openxmlformats.org/officeDocument/2006/relationships/hyperlink" Target="https://www.sec.gov/Archives/edgar/data/0000875320/000087532021000027/a2021q210-qexhibit102.htm" TargetMode="External"/><Relationship Id="rId44" Type="http://schemas.openxmlformats.org/officeDocument/2006/relationships/hyperlink" Target="https://www.sec.gov/Archives/edgar/data/875320/000087532024000223/a2024q310-qexhibit101.htm" TargetMode="External"/><Relationship Id="rId45" Type="http://schemas.openxmlformats.org/officeDocument/2006/relationships/hyperlink" Target="https://www.sec.gov/Archives/edgar/data/875320/000087532024000223/a2024q310-qexhibit101.htm" TargetMode="External"/><Relationship Id="rId46" Type="http://schemas.openxmlformats.org/officeDocument/2006/relationships/hyperlink" Target="https://www.sec.gov/Archives/edgar/data/0000875320/000087532021000027/a2021q210-qexhibit103.htm" TargetMode="External"/><Relationship Id="rId47" Type="http://schemas.openxmlformats.org/officeDocument/2006/relationships/hyperlink" Target="https://www.sec.gov/Archives/edgar/data/0000875320/000087532021000027/a2021q210-qexhibit103.htm" TargetMode="External"/><Relationship Id="rId48" Type="http://schemas.openxmlformats.org/officeDocument/2006/relationships/hyperlink" Target="https://www.sec.gov/Archives/edgar/data/875320/000087532024000223/a2024q310-qexhibit102.htm" TargetMode="External"/><Relationship Id="rId49" Type="http://schemas.openxmlformats.org/officeDocument/2006/relationships/hyperlink" Target="https://www.sec.gov/Archives/edgar/data/875320/000087532024000223/a2024q310-qexhibit102.htm" TargetMode="External"/><Relationship Id="rId50" Type="http://schemas.openxmlformats.org/officeDocument/2006/relationships/hyperlink" Target="https://www.sec.gov/Archives/edgar/data/875320/000087532022000030/a2022q210-qexhibit101.htm" TargetMode="External"/><Relationship Id="rId51" Type="http://schemas.openxmlformats.org/officeDocument/2006/relationships/hyperlink" Target="https://www.sec.gov/Archives/edgar/data/875320/000087532022000030/a2022q210-qexhibit101.htm" TargetMode="External"/><Relationship Id="rId52" Type="http://schemas.openxmlformats.org/officeDocument/2006/relationships/hyperlink" Target="https://www.sec.gov/Archives/edgar/data/875320/000087532022000030/a2022q210-qexhibit101.htm" TargetMode="External"/><Relationship Id="rId53" Type="http://schemas.openxmlformats.org/officeDocument/2006/relationships/hyperlink" Target="https://www.sec.gov/Archives/edgar/data/875320/000087532024000198/a2024q210-qexhibit101.htm" TargetMode="External"/><Relationship Id="rId54" Type="http://schemas.openxmlformats.org/officeDocument/2006/relationships/hyperlink" Target="https://www.sec.gov/Archives/edgar/data/875320/000087532024000198/a2024q210-qexhibit101.htm" TargetMode="External"/><Relationship Id="rId55" Type="http://schemas.openxmlformats.org/officeDocument/2006/relationships/hyperlink" Target="https://www.sec.gov/Archives/edgar/data/875320/000087532018000029/a2018q310-q_exhibit101.htm" TargetMode="External"/><Relationship Id="rId56" Type="http://schemas.openxmlformats.org/officeDocument/2006/relationships/hyperlink" Target="https://www.sec.gov/Archives/edgar/data/875320/000087532015000012/vrtx10k_2014-exhibit1020.htm" TargetMode="External"/><Relationship Id="rId57" Type="http://schemas.openxmlformats.org/officeDocument/2006/relationships/hyperlink" Target="https://www.sec.gov/Archives/edgar/data/875320/000087532015000012/vrtx10k_2014-exhibit1020.htm" TargetMode="External"/><Relationship Id="rId58" Type="http://schemas.openxmlformats.org/officeDocument/2006/relationships/hyperlink" Target="https://www.sec.gov/Archives/edgar/data/875320/000130817922000210/lvrtx2022_def14a.htm" TargetMode="External"/><Relationship Id="rId59" Type="http://schemas.openxmlformats.org/officeDocument/2006/relationships/hyperlink" Target="https://www.sec.gov/Archives/edgar/data/875320/000087532015000012/vrtx10k_2014-exhibit1017.htm" TargetMode="External"/><Relationship Id="rId60" Type="http://schemas.openxmlformats.org/officeDocument/2006/relationships/hyperlink" Target="https://www.sec.gov/Archives/edgar/data/875320/000087532015000012/vrtx10k_2014-exhibit1017.htm" TargetMode="External"/><Relationship Id="rId61" Type="http://schemas.openxmlformats.org/officeDocument/2006/relationships/hyperlink" Target="https://www.sec.gov/Archives/edgar/data/875320/000087532016000067/vrtx10k_2015-exhibit1025.htm" TargetMode="External"/><Relationship Id="rId62" Type="http://schemas.openxmlformats.org/officeDocument/2006/relationships/hyperlink" Target="https://www.sec.gov/Archives/edgar/data/875320/000087532016000067/vrtx10k_2015-exhibit1025.htm" TargetMode="External"/><Relationship Id="rId63" Type="http://schemas.openxmlformats.org/officeDocument/2006/relationships/hyperlink" Target="https://www.sec.gov/Archives/edgar/data/875320/000087532015000012/vrtx10k_2014-exhibit1019.htm" TargetMode="External"/><Relationship Id="rId64" Type="http://schemas.openxmlformats.org/officeDocument/2006/relationships/hyperlink" Target="https://www.sec.gov/Archives/edgar/data/875320/000087532015000012/vrtx10k_2014-exhibit1019.htm" TargetMode="External"/><Relationship Id="rId65" Type="http://schemas.openxmlformats.org/officeDocument/2006/relationships/hyperlink" Target="https://www.sec.gov/Archives/edgar/data/875320/000087532020000007/a10k2019-exhibit1017.htm" TargetMode="External"/><Relationship Id="rId66" Type="http://schemas.openxmlformats.org/officeDocument/2006/relationships/hyperlink" Target="https://www.sec.gov/Archives/edgar/data/875320/000087532025000053/a10k_2024-exhibit1021.htm" TargetMode="External"/><Relationship Id="rId67" Type="http://schemas.openxmlformats.org/officeDocument/2006/relationships/hyperlink" Target="https://www.sec.gov/Archives/edgar/data/875320/000087532025000053/a10k_2024-exhibit1021.htm" TargetMode="External"/><Relationship Id="rId68" Type="http://schemas.openxmlformats.org/officeDocument/2006/relationships/hyperlink" Target="https://www.sec.gov/Archives/edgar/data/875320/000087532025000053/a10k_2024-exhibit1022.htm" TargetMode="External"/><Relationship Id="rId69" Type="http://schemas.openxmlformats.org/officeDocument/2006/relationships/hyperlink" Target="https://www.sec.gov/Archives/edgar/data/875320/000087532025000053/a10k_2024-exhibit1022.htm" TargetMode="External"/><Relationship Id="rId70" Type="http://schemas.openxmlformats.org/officeDocument/2006/relationships/hyperlink" Target="https://www.sec.gov/Archives/edgar/data/875320/000087532016000067/vrtx10k_2015-exhibit1027.htm" TargetMode="External"/><Relationship Id="rId71" Type="http://schemas.openxmlformats.org/officeDocument/2006/relationships/hyperlink" Target="https://www.sec.gov/Archives/edgar/data/875320/000130817919000189/lvrt2019_def14a.htm" TargetMode="External"/><Relationship Id="rId72" Type="http://schemas.openxmlformats.org/officeDocument/2006/relationships/hyperlink" Target="https://www.sec.gov/Archives/edgar/data/875320/000087532020000011/employmentagreement.htm" TargetMode="External"/><Relationship Id="rId73" Type="http://schemas.openxmlformats.org/officeDocument/2006/relationships/hyperlink" Target="https://www.sec.gov/Archives/edgar/data/875320/000087532020000011/employmentagreement.htm" TargetMode="External"/><Relationship Id="rId74" Type="http://schemas.openxmlformats.org/officeDocument/2006/relationships/hyperlink" Target="https://www.sec.gov/Archives/edgar/data/875320/000087532022000007/a10k_2021-exhibit1024.htm" TargetMode="External"/><Relationship Id="rId75" Type="http://schemas.openxmlformats.org/officeDocument/2006/relationships/hyperlink" Target="https://www.sec.gov/Archives/edgar/data/875320/000087532022000007/a10k_2021-exhibit1024.htm" TargetMode="External"/><Relationship Id="rId76" Type="http://schemas.openxmlformats.org/officeDocument/2006/relationships/hyperlink" Target="https://www.sec.gov/Archives/edgar/data/875320/000087532023000007/a10k_2022-exhibit1023.htm" TargetMode="External"/><Relationship Id="rId77" Type="http://schemas.openxmlformats.org/officeDocument/2006/relationships/hyperlink" Target="https://www.sec.gov/Archives/edgar/data/875320/000087532023000007/a10k_2022-exhibit1023.htm" TargetMode="External"/><Relationship Id="rId78" Type="http://schemas.openxmlformats.org/officeDocument/2006/relationships/hyperlink" Target="https://www.sec.gov/Archives/edgar/data/875320/000087532024000223/a2024q310-qexhibit103.htm" TargetMode="External"/><Relationship Id="rId79" Type="http://schemas.openxmlformats.org/officeDocument/2006/relationships/hyperlink" Target="https://www.sec.gov/Archives/edgar/data/875320/000087532024000223/a2024q310-qexhibit103.htm" TargetMode="External"/><Relationship Id="rId80" Type="http://schemas.openxmlformats.org/officeDocument/2006/relationships/hyperlink" Target="https://www.sec.gov/Archives/edgar/data/875320/000104746912001298/a2206536zex-10_35.htm" TargetMode="External"/><Relationship Id="rId81" Type="http://schemas.openxmlformats.org/officeDocument/2006/relationships/hyperlink" Target="https://www.sec.gov/Archives/edgar/data/875320/000104746912001298/a2206536zex-10_35.htm" TargetMode="External"/><Relationship Id="rId82" Type="http://schemas.openxmlformats.org/officeDocument/2006/relationships/hyperlink" Target="https://www.sec.gov/Archives/edgar/data/875320/000104746912001298/a2206536zex-10_35.htm" TargetMode="External"/><Relationship Id="rId83" Type="http://schemas.openxmlformats.org/officeDocument/2006/relationships/hyperlink" Target="https://www.sec.gov/Archives/edgar/data/875320/000087532019000026/executiveemploymentagreeme.htm" TargetMode="External"/><Relationship Id="rId84" Type="http://schemas.openxmlformats.org/officeDocument/2006/relationships/hyperlink" Target="https://www.sec.gov/Archives/edgar/data/875320/000087532019000026/executiveemploymentagreeme.htm" TargetMode="External"/><Relationship Id="rId85" Type="http://schemas.openxmlformats.org/officeDocument/2006/relationships/hyperlink" Target="https://www.sec.gov/Archives/edgar/data/875320/000087532019000026/changeofcontrol-rk1.htm" TargetMode="External"/><Relationship Id="rId86" Type="http://schemas.openxmlformats.org/officeDocument/2006/relationships/hyperlink" Target="https://www.sec.gov/Archives/edgar/data/875320/000087532019000026/changeofcontrol-rk1.htm" TargetMode="External"/><Relationship Id="rId87" Type="http://schemas.openxmlformats.org/officeDocument/2006/relationships/hyperlink" Target="https://www.sec.gov/Archives/edgar/data/875320/000104746912010125/a2211595zex-10_1.htm" TargetMode="External"/><Relationship Id="rId88" Type="http://schemas.openxmlformats.org/officeDocument/2006/relationships/hyperlink" Target="https://www.sec.gov/Archives/edgar/data/875320/000104746912010125/a2211595zex-10_1.htm" TargetMode="External"/><Relationship Id="rId89" Type="http://schemas.openxmlformats.org/officeDocument/2006/relationships/hyperlink" Target="https://www.sec.gov/Archives/edgar/data/875320/000104746912010125/a2211595zex-10_2.htm" TargetMode="External"/><Relationship Id="rId90" Type="http://schemas.openxmlformats.org/officeDocument/2006/relationships/hyperlink" Target="https://www.sec.gov/Archives/edgar/data/875320/000104746912010125/a2211595zex-10_2.htm" TargetMode="External"/><Relationship Id="rId91" Type="http://schemas.openxmlformats.org/officeDocument/2006/relationships/hyperlink" Target="https://www.sec.gov/Archives/edgar/data/875320/000087532016000067/vrtx10-k_2015xexhibit1034.htm" TargetMode="External"/><Relationship Id="rId92" Type="http://schemas.openxmlformats.org/officeDocument/2006/relationships/hyperlink" Target="https://www.sec.gov/Archives/edgar/data/875320/000087532016000067/vrtx10-k_2015xexhibit1034.htm" TargetMode="External"/><Relationship Id="rId93" Type="http://schemas.openxmlformats.org/officeDocument/2006/relationships/hyperlink" Target="https://www.sec.gov/Archives/edgar/data/875320/000087532016000067/vrtx10-k2015xexhibit1035.htm" TargetMode="External"/><Relationship Id="rId94" Type="http://schemas.openxmlformats.org/officeDocument/2006/relationships/hyperlink" Target="https://www.sec.gov/Archives/edgar/data/875320/000087532016000067/vrtx10-k2015xexhibit1035.htm" TargetMode="External"/><Relationship Id="rId95" Type="http://schemas.openxmlformats.org/officeDocument/2006/relationships/hyperlink" Target="https://www.sec.gov/Archives/edgar/data/875320/000087532017000017/a10k_2016-exhibit1042.htm" TargetMode="External"/><Relationship Id="rId96" Type="http://schemas.openxmlformats.org/officeDocument/2006/relationships/hyperlink" Target="https://www.sec.gov/Archives/edgar/data/875320/000087532017000017/a10k_2016-exhibit1042.htm" TargetMode="External"/><Relationship Id="rId97" Type="http://schemas.openxmlformats.org/officeDocument/2006/relationships/hyperlink" Target="https://www.sec.gov/Archives/edgar/data/875320/000087532017000017/a10k_2016-exhibit1043.htm" TargetMode="External"/><Relationship Id="rId98" Type="http://schemas.openxmlformats.org/officeDocument/2006/relationships/hyperlink" Target="https://www.sec.gov/Archives/edgar/data/875320/000087532017000017/a10k_2016-exhibit1043.htm" TargetMode="External"/><Relationship Id="rId99" Type="http://schemas.openxmlformats.org/officeDocument/2006/relationships/hyperlink" Target="https://www.sec.gov/Archives/edgar/data/875320/000087532025000192/a2025q110-qexhibit101.htm" TargetMode="External"/><Relationship Id="rId100" Type="http://schemas.openxmlformats.org/officeDocument/2006/relationships/hyperlink" Target="https://www.sec.gov/Archives/edgar/data/875320/000087532025000192/a2025q110-qexhibit101.htm" TargetMode="External"/><Relationship Id="rId101" Type="http://schemas.openxmlformats.org/officeDocument/2006/relationships/hyperlink" Target="https://www.sec.gov/Archives/edgar/data/875320/000087532025000053/a10k_2024-exhibit1039.htm" TargetMode="External"/><Relationship Id="rId102" Type="http://schemas.openxmlformats.org/officeDocument/2006/relationships/hyperlink" Target="https://www.sec.gov/Archives/edgar/data/875320/000087532025000053/a10k_2024-exhibit1039.htm" TargetMode="External"/><Relationship Id="rId103" Type="http://schemas.openxmlformats.org/officeDocument/2006/relationships/hyperlink" Target="https://www.sec.gov/Archives/edgar/data/875320/000087532022000007/a10k_2021-exhibit1036.htm" TargetMode="External"/><Relationship Id="rId104" Type="http://schemas.openxmlformats.org/officeDocument/2006/relationships/hyperlink" Target="https://www.sec.gov/Archives/edgar/data/875320/000087532022000007/a10k_2021-exhibit1036.htm" TargetMode="External"/><Relationship Id="rId105" Type="http://schemas.openxmlformats.org/officeDocument/2006/relationships/hyperlink" Target="https://www.sec.gov/Archives/edgar/data/875320/000087532022000007/a10k_2021-exhibit1037.htm" TargetMode="External"/><Relationship Id="rId106" Type="http://schemas.openxmlformats.org/officeDocument/2006/relationships/hyperlink" Target="https://www.sec.gov/Archives/edgar/data/875320/000087532022000007/a10k_2021-exhibit1037.htm" TargetMode="External"/><Relationship Id="rId107" Type="http://schemas.openxmlformats.org/officeDocument/2006/relationships/hyperlink" Target="https://www.sec.gov/Archives/edgar/data/875320/000087532025000053/a10k_2024-exhibit1043.htm" TargetMode="External"/><Relationship Id="rId108" Type="http://schemas.openxmlformats.org/officeDocument/2006/relationships/hyperlink" Target="https://www.sec.gov/Archives/edgar/data/875320/000087532025000053/a10k_2024-exhibit191.htm" TargetMode="External"/><Relationship Id="rId109" Type="http://schemas.openxmlformats.org/officeDocument/2006/relationships/hyperlink" Target="https://www.sec.gov/Archives/edgar/data/875320/000087532024000062/a10k_2023-exhibit971.htm" TargetMode="External"/><Relationship Id="rId110" Type="http://schemas.openxmlformats.org/officeDocument/2006/relationships/image" Target="media/image14.jpeg"/><Relationship Id="rId111" Type="http://schemas.openxmlformats.org/officeDocument/2006/relationships/fontTable" Target="fontTable.xml"/><Relationship Id="rId1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73732</Words>
  <Characters>424276</Characters>
  <CharactersWithSpaces>493879</CharactersWithSpaces>
  <Paragraphs>7652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