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26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200660</wp:posOffset>
            </wp:positionV>
            <wp:extent cx="7246620" cy="26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March 31, 2008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VERTEX PHARMACEUTICALS INCORPORATED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1460"/>
          </w:cols>
          <w:pgMar w:left="240" w:top="530" w:right="199" w:bottom="0" w:gutter="0" w:footer="0" w:header="0"/>
        </w:sect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MASSACHUSETTS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i w:val="1"/>
          <w:iCs w:val="1"/>
          <w:color w:val="auto"/>
        </w:rPr>
        <w:t>(State or other jurisdiction 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000-19319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i w:val="1"/>
          <w:iCs w:val="1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04-3039129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i w:val="1"/>
          <w:iCs w:val="1"/>
          <w:color w:val="auto"/>
        </w:rPr>
        <w:t>(IRS Employer Identification No.)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020" w:space="720"/>
            <w:col w:w="2920" w:space="720"/>
            <w:col w:w="3080"/>
          </w:cols>
          <w:pgMar w:left="240" w:top="530" w:right="199" w:bottom="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130 Waverly Street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Cambridge, Massachusetts 02139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i w:val="1"/>
          <w:iCs w:val="1"/>
          <w:color w:val="auto"/>
        </w:rPr>
        <w:t>(Address of principal executive offices) (Zip Code)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(617) 444-6100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i w:val="1"/>
          <w:iCs w:val="1"/>
          <w:color w:val="auto"/>
        </w:rPr>
        <w:t>(Registrant’s telephone number, including area code)</w:t>
      </w:r>
    </w:p>
    <w:p>
      <w:pPr>
        <w:sectPr>
          <w:pgSz w:w="11900" w:h="16838" w:orient="portrait"/>
          <w:cols w:equalWidth="0" w:num="1">
            <w:col w:w="11460"/>
          </w:cols>
          <w:pgMar w:left="240" w:top="530" w:right="199" w:bottom="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right="16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Written communications pursuant to Rule 425 under the Securities Act (17 CFR 230.425)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Soliciting material pursuant to Rule 14a-12 under the Exchange Act (17 CFR 240.14a-12)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Pre-commencement communications pursuant to Rule 14d-2(b) under the Exchange Act (17 CFR 240.14d-2(b))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289560</wp:posOffset>
            </wp:positionV>
            <wp:extent cx="7246620" cy="26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332105</wp:posOffset>
            </wp:positionV>
            <wp:extent cx="7246620" cy="26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561975</wp:posOffset>
            </wp:positionV>
            <wp:extent cx="7267575" cy="29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8.01. Other Events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right="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On March 31, 2008, an abstract entitled “A Study of Telaprevir (TVR) with Peginterferon alfa-2A (P) and Ribavirin (R) in Subjects with Well-documented prior P/R Null Response, Non-Response or relapse: Preliminary Results” for a poster to be presented at the 43</w:t>
      </w:r>
      <w:r>
        <w:rPr>
          <w:rFonts w:ascii="Arial" w:cs="Arial" w:eastAsia="Arial" w:hAnsi="Arial"/>
          <w:sz w:val="28"/>
          <w:szCs w:val="28"/>
          <w:color w:val="auto"/>
          <w:vertAlign w:val="superscript"/>
        </w:rPr>
        <w:t>rd</w:t>
      </w:r>
      <w:r>
        <w:rPr>
          <w:rFonts w:ascii="Arial" w:cs="Arial" w:eastAsia="Arial" w:hAnsi="Arial"/>
          <w:sz w:val="17"/>
          <w:szCs w:val="17"/>
          <w:color w:val="auto"/>
        </w:rPr>
        <w:t xml:space="preserve"> Annual Meeting of the European Association for Study of the Liver, or EASL, was posted on the internet at http://www.easl.ch/liver-meeting/program/SessionIndex.asp by EASL. A copy of the abstract is attached to this Current Report on Form 8-K as Exhibit 99.1 and is incorporated herein by reference.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9.01. Financial Statements and Exhibits.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(d) Exhibits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Exhibit</w:t>
            </w: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Description of Document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11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Abstract entitled “A Study of Telaprevir (TVR) with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6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Peginterferon alfa-2A (P) and Ribavirin (R) in Subjects with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Well-documented prior P/R Null Response, Non-Response or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relapse: Preliminary Results”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ind w:left="3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18"/>
        </w:trPr>
        <w:tc>
          <w:tcPr>
            <w:tcW w:w="126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7258050</wp:posOffset>
            </wp:positionH>
            <wp:positionV relativeFrom="paragraph">
              <wp:posOffset>-29210</wp:posOffset>
            </wp:positionV>
            <wp:extent cx="12700" cy="29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-29210</wp:posOffset>
            </wp:positionV>
            <wp:extent cx="12700" cy="298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right="46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VERTEX PHARMACEUTICALS INCORPORATED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8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(Registrant)</w:t>
      </w:r>
    </w:p>
    <w:p>
      <w:pPr>
        <w:sectPr>
          <w:pgSz w:w="11900" w:h="16838" w:orient="portrait"/>
          <w:cols w:equalWidth="0" w:num="1">
            <w:col w:w="11460"/>
          </w:cols>
          <w:pgMar w:left="240" w:top="530" w:right="19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3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March 31, 2008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Kenneth S. Boger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95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80" w:type="dxa"/>
            <w:vAlign w:val="bottom"/>
          </w:tcPr>
          <w:p>
            <w:pPr>
              <w:ind w:left="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Kenneth S. Boger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0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Senior Vice President and General Counsel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740" w:type="dxa"/>
            <w:vAlign w:val="bottom"/>
            <w:gridSpan w:val="2"/>
          </w:tcPr>
          <w:p>
            <w:pPr>
              <w:jc w:val="right"/>
              <w:ind w:right="5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32"/>
        </w:trPr>
        <w:tc>
          <w:tcPr>
            <w:tcW w:w="366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10101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7258050</wp:posOffset>
            </wp:positionH>
            <wp:positionV relativeFrom="paragraph">
              <wp:posOffset>-29210</wp:posOffset>
            </wp:positionV>
            <wp:extent cx="12700" cy="298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-29210</wp:posOffset>
            </wp:positionV>
            <wp:extent cx="12700" cy="298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60"/>
          </w:cols>
          <w:pgMar w:left="240" w:top="125" w:right="199" w:bottom="1440" w:gutter="0" w:footer="0" w:header="0"/>
        </w:sectPr>
      </w:pPr>
    </w:p>
    <w:bookmarkStart w:id="2" w:name="page3"/>
    <w:bookmarkEnd w:id="2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right="1200"/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 STUDY OF TELAPREVIR (TVR) WITH PEGINTERFERON ALFA-2A (P) AND RIBAVIRIN (R) IN SUBJECTS WITH WELL-DOCUMENTED PRIOR P/R NULL RESPONSE, NON-RESPONSE OR RELAPSE: PRELIMINARY RESULTS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right="2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Fred Poordad, Mitchell Shiffman, Kenneth Sherman, Jill Smith, Min Yao, Shelley George, Nathalie Adda, John McHutchison for the VX06-950-107 Study Team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31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Background: </w:t>
      </w:r>
      <w:r>
        <w:rPr>
          <w:rFonts w:ascii="Arial" w:cs="Arial" w:eastAsia="Arial" w:hAnsi="Arial"/>
          <w:sz w:val="16"/>
          <w:szCs w:val="16"/>
          <w:color w:val="auto"/>
        </w:rPr>
        <w:t>VX06-950-107 is an ongoing open-label study of TVR/P/R in genotype 1 HCV subjects who failed to achieve SVR in the control arms (P/R)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6"/>
          <w:szCs w:val="16"/>
          <w:color w:val="auto"/>
        </w:rPr>
        <w:t>of the TVR Phase 2 studies. Study 107 provides a unique opportunity to correlate within individual subjects the anti-viral response to TVR/P/R with that of their original response to P/R. In this preliminary analysis we evaluated the anti-viral response to TVR/P/R at week 4 in non-responders to P/R.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31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Methods: </w:t>
      </w:r>
      <w:r>
        <w:rPr>
          <w:rFonts w:ascii="Arial" w:cs="Arial" w:eastAsia="Arial" w:hAnsi="Arial"/>
          <w:sz w:val="16"/>
          <w:szCs w:val="16"/>
          <w:color w:val="auto"/>
        </w:rPr>
        <w:t>Null-responders (NR) (&lt;1 log</w:t>
      </w:r>
      <w:r>
        <w:rPr>
          <w:rFonts w:ascii="Arial" w:cs="Arial" w:eastAsia="Arial" w:hAnsi="Arial"/>
          <w:sz w:val="22"/>
          <w:szCs w:val="22"/>
          <w:color w:val="auto"/>
          <w:vertAlign w:val="subscript"/>
        </w:rPr>
        <w:t>10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6"/>
          <w:szCs w:val="16"/>
          <w:color w:val="auto"/>
        </w:rPr>
        <w:t>decrease at week 4 or &lt; 2 log</w:t>
      </w:r>
      <w:r>
        <w:rPr>
          <w:rFonts w:ascii="Arial" w:cs="Arial" w:eastAsia="Arial" w:hAnsi="Arial"/>
          <w:sz w:val="22"/>
          <w:szCs w:val="22"/>
          <w:color w:val="auto"/>
          <w:vertAlign w:val="subscript"/>
        </w:rPr>
        <w:t>10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6"/>
          <w:szCs w:val="16"/>
          <w:color w:val="auto"/>
        </w:rPr>
        <w:t>decrease at week 12), non-responders at W24 (HCV RNA detectable) and relapsers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6"/>
          <w:szCs w:val="16"/>
          <w:color w:val="auto"/>
        </w:rPr>
        <w:t>from the P/R arms of PROVE studies were eligible. Study dosing consisted of 12 weeks TVR 750 mg q8 hour + P/R at standard doses, followed by 12 weeks P/R. In this study, subjects with HCV RNA &gt;25IU/mL (Taqman™ assay; LOQ 25 IU/mL) at Week 4 met a stopping rule and discontinued.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jc w:val="both"/>
        <w:ind w:right="5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Results: </w:t>
      </w:r>
      <w:r>
        <w:rPr>
          <w:rFonts w:ascii="Arial" w:cs="Arial" w:eastAsia="Arial" w:hAnsi="Arial"/>
          <w:sz w:val="18"/>
          <w:szCs w:val="18"/>
          <w:color w:val="auto"/>
        </w:rPr>
        <w:t>To date 54 subjects were enrolled, 52 were dosed and 32 completed Week 4 assessment: 24 male/8 female with median age of 51.5 years, 28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Caucasians, 3 Blacks, 1 Hispanic. Median baseline HCV RNA was 6.9 Log</w:t>
      </w:r>
      <w:r>
        <w:rPr>
          <w:rFonts w:ascii="Arial" w:cs="Arial" w:eastAsia="Arial" w:hAnsi="Arial"/>
          <w:sz w:val="25"/>
          <w:szCs w:val="25"/>
          <w:color w:val="auto"/>
          <w:vertAlign w:val="subscript"/>
        </w:rPr>
        <w:t>10</w:t>
      </w:r>
      <w:r>
        <w:rPr>
          <w:rFonts w:ascii="Arial" w:cs="Arial" w:eastAsia="Arial" w:hAnsi="Arial"/>
          <w:sz w:val="18"/>
          <w:szCs w:val="18"/>
          <w:color w:val="auto"/>
        </w:rPr>
        <w:t>IU/ml. 1 subject discontinued TVR and R due to fatigue. Results by prior virologic response to P/R regimen are summarized below: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HCV RNA at Week 4 on TVR/P/R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3"/>
              </w:rPr>
              <w:t>(12+12 regimen)</w:t>
            </w:r>
          </w:p>
        </w:tc>
        <w:tc>
          <w:tcPr>
            <w:tcW w:w="2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jc w:val="center"/>
              <w:ind w:right="2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&lt;25 IU/mL</w:t>
            </w:r>
          </w:p>
        </w:tc>
        <w:tc>
          <w:tcPr>
            <w:tcW w:w="2560" w:type="dxa"/>
            <w:vAlign w:val="bottom"/>
          </w:tcPr>
          <w:p>
            <w:pPr>
              <w:jc w:val="center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≥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25 IU/mL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9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Prior P/R Virologic Responses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jc w:val="center"/>
              <w:ind w:righ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 (%)</w:t>
            </w:r>
          </w:p>
        </w:tc>
        <w:tc>
          <w:tcPr>
            <w:tcW w:w="2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 (%)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</w:t>
            </w:r>
          </w:p>
        </w:tc>
        <w:tc>
          <w:tcPr>
            <w:tcW w:w="2940" w:type="dxa"/>
            <w:vAlign w:val="bottom"/>
            <w:gridSpan w:val="2"/>
          </w:tcPr>
          <w:p>
            <w:pPr>
              <w:jc w:val="center"/>
              <w:ind w:righ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1"/>
              </w:rPr>
              <w:t>Did not meet</w:t>
            </w:r>
          </w:p>
        </w:tc>
        <w:tc>
          <w:tcPr>
            <w:tcW w:w="2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4"/>
              </w:rPr>
              <w:t>Met Stopping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 Phase 2 Studies</w:t>
            </w: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2"/>
              </w:rPr>
              <w:t>Stopping Rule</w:t>
            </w:r>
          </w:p>
        </w:tc>
        <w:tc>
          <w:tcPr>
            <w:tcW w:w="2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2"/>
              </w:rPr>
              <w:t>Rule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70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Week 4 NR</w:t>
            </w:r>
          </w:p>
        </w:tc>
        <w:tc>
          <w:tcPr>
            <w:tcW w:w="18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17</w:t>
            </w:r>
          </w:p>
        </w:tc>
        <w:tc>
          <w:tcPr>
            <w:tcW w:w="26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12 (71)</w:t>
            </w:r>
          </w:p>
        </w:tc>
        <w:tc>
          <w:tcPr>
            <w:tcW w:w="24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5(a) (29)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Week 12 NR</w:t>
            </w:r>
          </w:p>
        </w:tc>
        <w:tc>
          <w:tcPr>
            <w:tcW w:w="2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2 (67)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1(b) (33)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960" w:type="dxa"/>
            <w:vAlign w:val="bottom"/>
            <w:gridSpan w:val="3"/>
            <w:shd w:val="clear" w:color="auto" w:fill="CCEEFF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Week 24 detectable</w:t>
            </w:r>
          </w:p>
        </w:tc>
        <w:tc>
          <w:tcPr>
            <w:tcW w:w="270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7</w:t>
            </w:r>
          </w:p>
        </w:tc>
        <w:tc>
          <w:tcPr>
            <w:tcW w:w="2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7 (100)</w:t>
            </w:r>
          </w:p>
        </w:tc>
        <w:tc>
          <w:tcPr>
            <w:tcW w:w="2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Week 20 Breakthrough</w:t>
            </w:r>
          </w:p>
        </w:tc>
        <w:tc>
          <w:tcPr>
            <w:tcW w:w="2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1 (100)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960" w:type="dxa"/>
            <w:vAlign w:val="bottom"/>
            <w:gridSpan w:val="3"/>
            <w:shd w:val="clear" w:color="auto" w:fill="CCEEFF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Relapsers</w:t>
            </w:r>
          </w:p>
        </w:tc>
        <w:tc>
          <w:tcPr>
            <w:tcW w:w="270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4</w:t>
            </w:r>
          </w:p>
        </w:tc>
        <w:tc>
          <w:tcPr>
            <w:tcW w:w="26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4 (100)</w:t>
            </w:r>
          </w:p>
        </w:tc>
        <w:tc>
          <w:tcPr>
            <w:tcW w:w="240" w:type="dxa"/>
            <w:vAlign w:val="bottom"/>
            <w:shd w:val="clear" w:color="auto" w:fill="CCEEFF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 with 33, 1 with 43, 3 with &gt;100 IU/mL</w:t>
      </w:r>
    </w:p>
    <w:p>
      <w:pPr>
        <w:spacing w:after="0" w:line="2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 with 28 IU/mL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440"/>
        <w:spacing w:after="0" w:line="3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Conclusions: </w:t>
      </w:r>
      <w:r>
        <w:rPr>
          <w:rFonts w:ascii="Arial" w:cs="Arial" w:eastAsia="Arial" w:hAnsi="Arial"/>
          <w:sz w:val="16"/>
          <w:szCs w:val="16"/>
          <w:color w:val="auto"/>
        </w:rPr>
        <w:t>With TVR/P/R, 70% (14/20) of null responder subjects, 100% (7/7) of Week 24 detectable and 100% (4/4) relapsers to P/R achieved &lt; 25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6"/>
          <w:szCs w:val="16"/>
          <w:color w:val="auto"/>
        </w:rPr>
        <w:t>IU/mL at week 4. Only one subject had a virologic breakthrough. These results are promising, however SVR rates are yet to be determined.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426720</wp:posOffset>
            </wp:positionV>
            <wp:extent cx="7267575" cy="298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20"/>
      </w:cols>
      <w:pgMar w:left="240" w:top="33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(%1)"/>
      <w:numFmt w:val="lowerLetter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2019-12-13T20:06:58Z</dcterms:created>
  <dcterms:modified xsi:type="dcterms:W3CDTF">2019-12-13T20:06:58Z</dcterms:modified>
</cp:coreProperties>
</file>